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C6" w:rsidRDefault="00E14BC6" w:rsidP="00E14BC6">
      <w:pPr>
        <w:tabs>
          <w:tab w:val="left" w:pos="0"/>
          <w:tab w:val="left" w:pos="6237"/>
        </w:tabs>
        <w:jc w:val="center"/>
        <w:rPr>
          <w:b/>
          <w:caps/>
          <w:szCs w:val="24"/>
          <w:lang w:eastAsia="lt-LT"/>
        </w:rPr>
      </w:pPr>
      <w:bookmarkStart w:id="0" w:name="_GoBack"/>
      <w:bookmarkEnd w:id="0"/>
      <w:proofErr w:type="gramStart"/>
      <w:r>
        <w:rPr>
          <w:b/>
          <w:caps/>
          <w:szCs w:val="24"/>
          <w:lang w:eastAsia="lt-LT"/>
        </w:rPr>
        <w:t>Lietuvos Respublikos susisiekimo ministerija</w:t>
      </w:r>
      <w:proofErr w:type="gramEnd"/>
    </w:p>
    <w:p w:rsidR="00E14BC6" w:rsidRDefault="00E14BC6" w:rsidP="00E14BC6">
      <w:pPr>
        <w:tabs>
          <w:tab w:val="left" w:pos="0"/>
          <w:tab w:val="left" w:pos="6237"/>
        </w:tabs>
        <w:jc w:val="center"/>
        <w:rPr>
          <w:b/>
          <w:caps/>
          <w:szCs w:val="24"/>
          <w:lang w:eastAsia="lt-LT"/>
        </w:rPr>
      </w:pPr>
    </w:p>
    <w:p w:rsidR="00E14BC6" w:rsidRDefault="00E14BC6" w:rsidP="00E14BC6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2014–2020 M. </w:t>
      </w:r>
      <w:proofErr w:type="gramStart"/>
      <w:r>
        <w:rPr>
          <w:b/>
          <w:szCs w:val="24"/>
          <w:lang w:eastAsia="lt-LT"/>
        </w:rPr>
        <w:t>EUROPOS SĄJUNGOS</w:t>
      </w:r>
      <w:proofErr w:type="gramEnd"/>
      <w:r>
        <w:rPr>
          <w:b/>
          <w:szCs w:val="24"/>
          <w:lang w:eastAsia="lt-LT"/>
        </w:rPr>
        <w:t xml:space="preserve"> FONDŲ INVESTICIJŲ VEIKSMŲ PROGRAMOS PRIORITETŲ ĮGYVENDINIMO </w:t>
      </w:r>
      <w:r>
        <w:rPr>
          <w:b/>
          <w:caps/>
          <w:szCs w:val="24"/>
          <w:lang w:eastAsia="lt-LT"/>
        </w:rPr>
        <w:t>Priemonių įgyvendinimo planas</w:t>
      </w:r>
    </w:p>
    <w:p w:rsidR="00E14BC6" w:rsidRDefault="00E14BC6" w:rsidP="00E14BC6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</w:p>
    <w:p w:rsidR="00E14BC6" w:rsidRDefault="00E14BC6" w:rsidP="00E14BC6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  <w:proofErr w:type="gramStart"/>
      <w:r>
        <w:rPr>
          <w:b/>
          <w:caps/>
          <w:szCs w:val="24"/>
          <w:lang w:eastAsia="lt-LT"/>
        </w:rPr>
        <w:t>I skyrius</w:t>
      </w:r>
      <w:proofErr w:type="gramEnd"/>
    </w:p>
    <w:p w:rsidR="00E14BC6" w:rsidRDefault="00E14BC6" w:rsidP="00E14BC6">
      <w:pPr>
        <w:tabs>
          <w:tab w:val="left" w:pos="0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 xml:space="preserve">2014–2020 M. </w:t>
      </w:r>
      <w:proofErr w:type="gramStart"/>
      <w:r>
        <w:rPr>
          <w:b/>
          <w:szCs w:val="24"/>
          <w:lang w:eastAsia="lt-LT"/>
        </w:rPr>
        <w:t>EUROPOS SĄJUNGOS</w:t>
      </w:r>
      <w:proofErr w:type="gramEnd"/>
      <w:r>
        <w:rPr>
          <w:b/>
          <w:szCs w:val="24"/>
          <w:lang w:eastAsia="lt-LT"/>
        </w:rPr>
        <w:t xml:space="preserve"> FONDŲ INVESTICIJŲ VEIKSMŲ PROGRAMOS (TOLIAU – VEIKSMŲ PROGRAMA) 6 PRIORITETO „</w:t>
      </w:r>
      <w:r>
        <w:rPr>
          <w:rFonts w:eastAsia="AngsanaUPC"/>
          <w:b/>
          <w:bCs/>
          <w:caps/>
          <w:szCs w:val="24"/>
          <w:lang w:eastAsia="lt-LT"/>
        </w:rPr>
        <w:t>DarnAUS transporto IR pagrindinių tinklų infrastruktūros PLĖTRA</w:t>
      </w:r>
      <w:r>
        <w:rPr>
          <w:b/>
          <w:szCs w:val="24"/>
          <w:lang w:eastAsia="lt-LT"/>
        </w:rPr>
        <w:t>“ ĮGYVENDINIMO PRIEMONĖS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 xml:space="preserve">(TOLIAU – </w:t>
      </w:r>
      <w:r>
        <w:rPr>
          <w:b/>
          <w:caps/>
          <w:szCs w:val="24"/>
          <w:lang w:eastAsia="lt-LT"/>
        </w:rPr>
        <w:t>priemonė</w:t>
      </w:r>
      <w:r>
        <w:rPr>
          <w:b/>
          <w:szCs w:val="24"/>
          <w:lang w:eastAsia="lt-LT"/>
        </w:rPr>
        <w:t>)</w:t>
      </w:r>
    </w:p>
    <w:p w:rsidR="00E14BC6" w:rsidRDefault="00E14BC6" w:rsidP="00823738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</w:p>
    <w:p w:rsidR="00823738" w:rsidRDefault="00823738" w:rsidP="00823738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KETVIRTASIS SKIRSNIS</w:t>
      </w:r>
      <w:r>
        <w:rPr>
          <w:szCs w:val="24"/>
          <w:lang w:eastAsia="lt-LT"/>
        </w:rPr>
        <w:t xml:space="preserve"> </w:t>
      </w:r>
    </w:p>
    <w:p w:rsidR="00823738" w:rsidRDefault="00823738" w:rsidP="00823738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 w:rsidR="00E14BC6">
        <w:rPr>
          <w:b/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NR.</w:t>
      </w:r>
      <w:r>
        <w:rPr>
          <w:szCs w:val="24"/>
          <w:lang w:eastAsia="lt-LT"/>
        </w:rPr>
        <w:t xml:space="preserve"> </w:t>
      </w:r>
      <w:r>
        <w:rPr>
          <w:b/>
          <w:bCs/>
          <w:szCs w:val="24"/>
          <w:lang w:eastAsia="lt-LT"/>
        </w:rPr>
        <w:t>06.2</w:t>
      </w:r>
      <w:r>
        <w:rPr>
          <w:b/>
          <w:bCs/>
          <w:szCs w:val="24"/>
          <w:lang w:val="en-US" w:eastAsia="lt-LT"/>
        </w:rPr>
        <w:t>.1</w:t>
      </w:r>
      <w:r>
        <w:rPr>
          <w:b/>
          <w:bCs/>
          <w:szCs w:val="24"/>
          <w:lang w:eastAsia="lt-LT"/>
        </w:rPr>
        <w:t>-TID</w:t>
      </w:r>
      <w:proofErr w:type="gramStart"/>
      <w:r>
        <w:rPr>
          <w:b/>
          <w:bCs/>
          <w:szCs w:val="24"/>
          <w:lang w:eastAsia="lt-LT"/>
        </w:rPr>
        <w:t>-</w:t>
      </w:r>
      <w:proofErr w:type="gramEnd"/>
      <w:r>
        <w:rPr>
          <w:b/>
          <w:bCs/>
          <w:szCs w:val="24"/>
          <w:lang w:eastAsia="lt-LT"/>
        </w:rPr>
        <w:t>V-508</w:t>
      </w:r>
      <w:r>
        <w:rPr>
          <w:rFonts w:eastAsia="Calibri"/>
          <w:i/>
          <w:szCs w:val="24"/>
          <w:lang w:eastAsia="lt-LT"/>
        </w:rPr>
        <w:t xml:space="preserve"> </w:t>
      </w:r>
      <w:r>
        <w:rPr>
          <w:rFonts w:eastAsia="Calibri"/>
          <w:b/>
          <w:szCs w:val="24"/>
          <w:lang w:eastAsia="lt-LT"/>
        </w:rPr>
        <w:t>„</w:t>
      </w:r>
      <w:r>
        <w:rPr>
          <w:b/>
          <w:caps/>
          <w:szCs w:val="24"/>
          <w:lang w:eastAsia="lt-LT"/>
        </w:rPr>
        <w:t>VIENO LYGIO EISMO SANKIRTŲ ELIMINAVIMAS</w:t>
      </w:r>
      <w:r>
        <w:rPr>
          <w:b/>
          <w:szCs w:val="24"/>
          <w:lang w:eastAsia="lt-LT"/>
        </w:rPr>
        <w:t xml:space="preserve">“ </w:t>
      </w:r>
    </w:p>
    <w:p w:rsidR="00823738" w:rsidRDefault="00823738" w:rsidP="0082373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823738" w:rsidRDefault="00823738" w:rsidP="00823738">
      <w:pPr>
        <w:ind w:firstLine="720"/>
        <w:jc w:val="both"/>
        <w:rPr>
          <w:szCs w:val="24"/>
          <w:lang w:eastAsia="zh-TW"/>
        </w:rPr>
      </w:pPr>
      <w:r>
        <w:rPr>
          <w:spacing w:val="-2"/>
          <w:szCs w:val="24"/>
          <w:lang w:eastAsia="lt-LT"/>
        </w:rPr>
        <w:t xml:space="preserve">1. </w:t>
      </w:r>
      <w:r>
        <w:rPr>
          <w:szCs w:val="24"/>
          <w:lang w:eastAsia="zh-TW"/>
        </w:rPr>
        <w:t>Priemonės aprašymas</w:t>
      </w:r>
    </w:p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23738" w:rsidTr="00AC52D7">
        <w:tc>
          <w:tcPr>
            <w:tcW w:w="9746" w:type="dxa"/>
            <w:hideMark/>
          </w:tcPr>
          <w:p w:rsidR="00823738" w:rsidRDefault="00823738" w:rsidP="00AC52D7">
            <w:pPr>
              <w:tabs>
                <w:tab w:val="left" w:pos="0"/>
                <w:tab w:val="left" w:pos="1026"/>
              </w:tabs>
              <w:ind w:left="360" w:firstLine="24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 xml:space="preserve"> Priemonės įgyvendinimas finansuojamas </w:t>
            </w:r>
            <w:r>
              <w:t xml:space="preserve">Europos regioninės plėtros fondo </w:t>
            </w:r>
            <w:r>
              <w:rPr>
                <w:szCs w:val="24"/>
                <w:lang w:eastAsia="lt-LT"/>
              </w:rPr>
              <w:t>lėšomis.</w:t>
            </w:r>
          </w:p>
        </w:tc>
      </w:tr>
      <w:tr w:rsidR="00823738" w:rsidTr="00AC52D7">
        <w:tc>
          <w:tcPr>
            <w:tcW w:w="9746" w:type="dxa"/>
            <w:hideMark/>
          </w:tcPr>
          <w:p w:rsidR="00823738" w:rsidRDefault="00823738" w:rsidP="00AC52D7">
            <w:pPr>
              <w:tabs>
                <w:tab w:val="left" w:pos="34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ab/>
            </w:r>
            <w:r>
              <w:rPr>
                <w:i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Įgyvendinant priemonę, prisidedama prie uždavinio </w:t>
            </w:r>
            <w:r>
              <w:t xml:space="preserve">„Padidinti regionų </w:t>
            </w:r>
            <w:proofErr w:type="spellStart"/>
            <w:r>
              <w:t>judumą</w:t>
            </w:r>
            <w:proofErr w:type="spellEnd"/>
            <w:r>
              <w:t xml:space="preserve"> plėtojant regionų jungtis su pagrindiniu šalies transporto tinklu ir diegiant eismo saugos priemones“</w:t>
            </w:r>
            <w:r>
              <w:rPr>
                <w:b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įgyvendinimo</w:t>
            </w:r>
            <w:r>
              <w:rPr>
                <w:i/>
                <w:szCs w:val="24"/>
                <w:lang w:eastAsia="lt-LT"/>
              </w:rPr>
              <w:t>.</w:t>
            </w:r>
          </w:p>
        </w:tc>
      </w:tr>
      <w:tr w:rsidR="00823738" w:rsidTr="00AC52D7">
        <w:tc>
          <w:tcPr>
            <w:tcW w:w="9746" w:type="dxa"/>
          </w:tcPr>
          <w:p w:rsidR="00823738" w:rsidRDefault="00823738" w:rsidP="00AC52D7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</w:t>
            </w:r>
            <w:r>
              <w:rPr>
                <w:szCs w:val="24"/>
                <w:lang w:eastAsia="lt-LT"/>
              </w:rPr>
              <w:tab/>
              <w:t xml:space="preserve"> Remiamos veiklos:</w:t>
            </w:r>
          </w:p>
          <w:p w:rsidR="00823738" w:rsidRDefault="00823738" w:rsidP="00AC52D7">
            <w:pPr>
              <w:tabs>
                <w:tab w:val="left" w:pos="0"/>
                <w:tab w:val="left" w:pos="1026"/>
              </w:tabs>
              <w:ind w:firstLine="601"/>
              <w:jc w:val="both"/>
            </w:pPr>
            <w:r>
              <w:rPr>
                <w:szCs w:val="24"/>
                <w:lang w:eastAsia="lt-LT"/>
              </w:rPr>
              <w:t xml:space="preserve">1.3.1. </w:t>
            </w:r>
            <w:r>
              <w:rPr>
                <w:bCs/>
                <w:color w:val="000000"/>
                <w:szCs w:val="24"/>
              </w:rPr>
              <w:t>geležinkelio viadukų,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>
              <w:t xml:space="preserve">viadukų per geležinkelį </w:t>
            </w:r>
            <w:proofErr w:type="gramStart"/>
            <w:r>
              <w:t>ir jų prieigų rekonstrukcija ir statyba</w:t>
            </w:r>
            <w:proofErr w:type="gramEnd"/>
            <w:r>
              <w:t>;</w:t>
            </w:r>
          </w:p>
          <w:p w:rsidR="00823738" w:rsidRDefault="00823738" w:rsidP="00AC52D7">
            <w:pPr>
              <w:tabs>
                <w:tab w:val="left" w:pos="0"/>
                <w:tab w:val="left" w:pos="1026"/>
              </w:tabs>
              <w:ind w:firstLine="601"/>
              <w:jc w:val="both"/>
            </w:pPr>
            <w:r>
              <w:t>1.3.2</w:t>
            </w:r>
            <w:r>
              <w:rPr>
                <w:szCs w:val="24"/>
                <w:lang w:eastAsia="lt-LT"/>
              </w:rPr>
              <w:t xml:space="preserve">. </w:t>
            </w:r>
            <w:r>
              <w:t>tunelių po geležinkeliu ir jų prieigų rekonstrukcija ir statyba;</w:t>
            </w:r>
          </w:p>
          <w:p w:rsidR="00823738" w:rsidRDefault="00823738" w:rsidP="00AC52D7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szCs w:val="24"/>
                <w:lang w:eastAsia="lt-LT"/>
              </w:rPr>
            </w:pPr>
            <w:r>
              <w:t>1.3.3. eismo organizavimo ir eismo saugos priemonių diegimas geležinkelio perėjose, pervažose ir jų prieigose.</w:t>
            </w:r>
          </w:p>
        </w:tc>
      </w:tr>
      <w:tr w:rsidR="00823738" w:rsidTr="00AC52D7">
        <w:tc>
          <w:tcPr>
            <w:tcW w:w="9746" w:type="dxa"/>
          </w:tcPr>
          <w:p w:rsidR="00823738" w:rsidRDefault="00823738" w:rsidP="00AC52D7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  <w:r>
              <w:rPr>
                <w:szCs w:val="24"/>
                <w:lang w:eastAsia="lt-LT"/>
              </w:rPr>
              <w:tab/>
              <w:t xml:space="preserve"> Galimi pareiškėjai:</w:t>
            </w:r>
          </w:p>
          <w:p w:rsidR="00823738" w:rsidRDefault="00823738" w:rsidP="00AC52D7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Lietuvos automobilių kelių direkcija prie Susisiekimo ministerijos;</w:t>
            </w:r>
          </w:p>
          <w:p w:rsidR="00823738" w:rsidRDefault="00823738" w:rsidP="00AC52D7">
            <w:pPr>
              <w:tabs>
                <w:tab w:val="left" w:pos="0"/>
                <w:tab w:val="left" w:pos="1026"/>
              </w:tabs>
              <w:ind w:left="34" w:firstLine="567"/>
              <w:jc w:val="both"/>
            </w:pPr>
            <w:r>
              <w:rPr>
                <w:szCs w:val="24"/>
                <w:lang w:eastAsia="lt-LT"/>
              </w:rPr>
              <w:t xml:space="preserve">1.4.2. </w:t>
            </w:r>
            <w:r>
              <w:t>AB „Lietuvos geležinkeliai“;</w:t>
            </w:r>
          </w:p>
          <w:p w:rsidR="00823738" w:rsidRDefault="00823738" w:rsidP="00AC52D7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t>1.4.3</w:t>
            </w:r>
            <w:r>
              <w:rPr>
                <w:szCs w:val="24"/>
                <w:lang w:eastAsia="lt-LT"/>
              </w:rPr>
              <w:t xml:space="preserve">. </w:t>
            </w:r>
            <w:proofErr w:type="gramStart"/>
            <w:r>
              <w:t>savivaldybių administracijos</w:t>
            </w:r>
            <w:proofErr w:type="gramEnd"/>
            <w:r>
              <w:t>.</w:t>
            </w:r>
          </w:p>
        </w:tc>
      </w:tr>
      <w:tr w:rsidR="00823738" w:rsidTr="00AC52D7">
        <w:tc>
          <w:tcPr>
            <w:tcW w:w="9746" w:type="dxa"/>
          </w:tcPr>
          <w:p w:rsidR="00823738" w:rsidRDefault="00823738" w:rsidP="00AC52D7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</w:t>
            </w:r>
            <w:r>
              <w:rPr>
                <w:szCs w:val="24"/>
                <w:lang w:eastAsia="lt-LT"/>
              </w:rPr>
              <w:tab/>
              <w:t>Galimi partneriai:</w:t>
            </w:r>
          </w:p>
          <w:p w:rsidR="00823738" w:rsidRDefault="00823738" w:rsidP="00AC52D7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 AB „Lietuvos geležinkeliai“;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</w:p>
          <w:p w:rsidR="00823738" w:rsidRDefault="00823738" w:rsidP="00AC52D7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1.5.2. Lietuvos automobilių kelių direkcija prie Susisiekimo ministerijos;</w:t>
            </w:r>
          </w:p>
          <w:p w:rsidR="00823738" w:rsidRDefault="00823738" w:rsidP="00AC52D7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1.5.3. </w:t>
            </w:r>
            <w:proofErr w:type="gramStart"/>
            <w:r>
              <w:rPr>
                <w:szCs w:val="24"/>
                <w:lang w:eastAsia="lt-LT"/>
              </w:rPr>
              <w:t>savivaldybių administracijos</w:t>
            </w:r>
            <w:proofErr w:type="gramEnd"/>
            <w:r>
              <w:rPr>
                <w:szCs w:val="24"/>
                <w:lang w:eastAsia="lt-LT"/>
              </w:rPr>
              <w:t>.</w:t>
            </w:r>
          </w:p>
        </w:tc>
      </w:tr>
    </w:tbl>
    <w:p w:rsidR="00823738" w:rsidRDefault="00823738" w:rsidP="00823738">
      <w:pPr>
        <w:ind w:firstLine="720"/>
        <w:jc w:val="both"/>
        <w:rPr>
          <w:szCs w:val="24"/>
          <w:lang w:eastAsia="lt-LT"/>
        </w:rPr>
      </w:pPr>
    </w:p>
    <w:p w:rsidR="00823738" w:rsidRDefault="00823738" w:rsidP="00823738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823738" w:rsidRDefault="00823738" w:rsidP="00823738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3-401</w:t>
        </w:r>
      </w:hyperlink>
      <w:r>
        <w:rPr>
          <w:rFonts w:eastAsia="MS Mincho"/>
          <w:i/>
          <w:iCs/>
          <w:sz w:val="20"/>
        </w:rPr>
        <w:t>, 2018-08-03, paskelbta TAR 2018-08-03, i. k. 2018</w:t>
      </w:r>
      <w:proofErr w:type="gramStart"/>
      <w:r>
        <w:rPr>
          <w:rFonts w:eastAsia="MS Mincho"/>
          <w:i/>
          <w:iCs/>
          <w:sz w:val="20"/>
        </w:rPr>
        <w:t>-</w:t>
      </w:r>
      <w:proofErr w:type="gramEnd"/>
      <w:r>
        <w:rPr>
          <w:rFonts w:eastAsia="MS Mincho"/>
          <w:i/>
          <w:iCs/>
          <w:sz w:val="20"/>
        </w:rPr>
        <w:t>12818</w:t>
      </w:r>
    </w:p>
    <w:p w:rsidR="00823738" w:rsidRDefault="00823738" w:rsidP="00823738"/>
    <w:p w:rsidR="00823738" w:rsidRDefault="00823738" w:rsidP="00823738">
      <w:pPr>
        <w:tabs>
          <w:tab w:val="left" w:pos="0"/>
          <w:tab w:val="left" w:pos="567"/>
        </w:tabs>
        <w:ind w:left="1070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23738" w:rsidTr="00AC52D7">
        <w:tc>
          <w:tcPr>
            <w:tcW w:w="10029" w:type="dxa"/>
          </w:tcPr>
          <w:p w:rsidR="00823738" w:rsidRDefault="00823738" w:rsidP="00AC52D7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subsidija.</w:t>
            </w:r>
          </w:p>
        </w:tc>
      </w:tr>
    </w:tbl>
    <w:p w:rsidR="00823738" w:rsidRDefault="00823738" w:rsidP="0082373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823738" w:rsidRDefault="00823738" w:rsidP="00823738">
      <w:pPr>
        <w:tabs>
          <w:tab w:val="left" w:pos="0"/>
          <w:tab w:val="left" w:pos="567"/>
        </w:tabs>
        <w:ind w:left="1070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23738" w:rsidTr="00AC52D7">
        <w:tc>
          <w:tcPr>
            <w:tcW w:w="10029" w:type="dxa"/>
          </w:tcPr>
          <w:p w:rsidR="00823738" w:rsidRDefault="00823738" w:rsidP="00AC52D7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projektų planavimas.</w:t>
            </w:r>
          </w:p>
        </w:tc>
      </w:tr>
    </w:tbl>
    <w:p w:rsidR="00823738" w:rsidRDefault="00823738" w:rsidP="0082373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823738" w:rsidRDefault="00823738" w:rsidP="00823738">
      <w:pPr>
        <w:tabs>
          <w:tab w:val="left" w:pos="0"/>
          <w:tab w:val="left" w:pos="567"/>
        </w:tabs>
        <w:ind w:left="1070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23738" w:rsidTr="00AC52D7">
        <w:tc>
          <w:tcPr>
            <w:tcW w:w="10029" w:type="dxa"/>
          </w:tcPr>
          <w:p w:rsidR="00823738" w:rsidRDefault="00823738" w:rsidP="00AC52D7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Transporto investicijų direkcija.</w:t>
            </w:r>
          </w:p>
        </w:tc>
      </w:tr>
    </w:tbl>
    <w:p w:rsidR="00823738" w:rsidRDefault="00823738" w:rsidP="00823738">
      <w:pPr>
        <w:tabs>
          <w:tab w:val="left" w:pos="567"/>
          <w:tab w:val="left" w:pos="644"/>
        </w:tabs>
        <w:ind w:left="644"/>
        <w:jc w:val="both"/>
        <w:rPr>
          <w:szCs w:val="24"/>
          <w:lang w:eastAsia="lt-LT"/>
        </w:rPr>
      </w:pPr>
    </w:p>
    <w:p w:rsidR="00823738" w:rsidRDefault="00823738" w:rsidP="00823738">
      <w:pPr>
        <w:ind w:firstLine="709"/>
        <w:rPr>
          <w:szCs w:val="24"/>
          <w:lang w:val="en-US" w:eastAsia="lt-LT"/>
        </w:rPr>
      </w:pPr>
      <w:r>
        <w:rPr>
          <w:color w:val="000000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23738" w:rsidTr="00AC52D7">
        <w:tc>
          <w:tcPr>
            <w:tcW w:w="9746" w:type="dxa"/>
            <w:hideMark/>
          </w:tcPr>
          <w:p w:rsidR="00823738" w:rsidRDefault="00823738" w:rsidP="00AC52D7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Priemonės lėšomis nefinansuojamas intelektinių transporto (eismo saugos, saugumo, eismo informavimo ir srautų valdymo) sistemų diegimas TEN</w:t>
            </w: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T tinkle.</w:t>
            </w:r>
          </w:p>
        </w:tc>
      </w:tr>
    </w:tbl>
    <w:p w:rsidR="00823738" w:rsidRDefault="00823738" w:rsidP="00823738">
      <w:pPr>
        <w:ind w:firstLine="720"/>
        <w:jc w:val="both"/>
        <w:rPr>
          <w:bCs/>
          <w:szCs w:val="24"/>
          <w:lang w:eastAsia="lt-LT"/>
        </w:rPr>
      </w:pPr>
    </w:p>
    <w:p w:rsidR="00823738" w:rsidRDefault="00823738" w:rsidP="00823738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823738" w:rsidRDefault="00823738" w:rsidP="00823738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3-401</w:t>
        </w:r>
      </w:hyperlink>
      <w:r>
        <w:rPr>
          <w:rFonts w:eastAsia="MS Mincho"/>
          <w:i/>
          <w:iCs/>
          <w:sz w:val="20"/>
        </w:rPr>
        <w:t>, 2018-08-03, paskelbta TAR 2018-08-03, i. k. 2018</w:t>
      </w:r>
      <w:proofErr w:type="gramStart"/>
      <w:r>
        <w:rPr>
          <w:rFonts w:eastAsia="MS Mincho"/>
          <w:i/>
          <w:iCs/>
          <w:sz w:val="20"/>
        </w:rPr>
        <w:t>-</w:t>
      </w:r>
      <w:proofErr w:type="gramEnd"/>
      <w:r>
        <w:rPr>
          <w:rFonts w:eastAsia="MS Mincho"/>
          <w:i/>
          <w:iCs/>
          <w:sz w:val="20"/>
        </w:rPr>
        <w:t>12818</w:t>
      </w:r>
    </w:p>
    <w:p w:rsidR="00823738" w:rsidRDefault="00823738" w:rsidP="00823738"/>
    <w:p w:rsidR="00823738" w:rsidRDefault="00823738" w:rsidP="00823738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</w:t>
      </w:r>
      <w:r>
        <w:rPr>
          <w:szCs w:val="24"/>
          <w:lang w:eastAsia="lt-LT"/>
        </w:rPr>
        <w:tab/>
        <w:t>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823738" w:rsidTr="00AC52D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38" w:rsidRDefault="00823738" w:rsidP="00AC52D7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823738" w:rsidTr="00AC52D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R.N.506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widowControl w:val="0"/>
              <w:tabs>
                <w:tab w:val="left" w:pos="622"/>
              </w:tabs>
              <w:rPr>
                <w:iCs/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„Žuvusiųjų ir sužeistųjų geležinkelio pervažose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</w:tr>
      <w:tr w:rsidR="00823738" w:rsidTr="00AC52D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P.S.343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>
              <w:rPr>
                <w:szCs w:val="24"/>
                <w:lang w:eastAsia="lt-LT"/>
              </w:rPr>
              <w:t xml:space="preserve">aplinkosaugos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priemonės, iš kurių: geležinkelio pervažose“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</w:tr>
      <w:tr w:rsidR="00823738" w:rsidTr="00AC52D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„Įdiegtos saugų eismą gerinančios ir aplinkos apsaugos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</w:tr>
    </w:tbl>
    <w:p w:rsidR="00823738" w:rsidRDefault="00823738" w:rsidP="00823738"/>
    <w:p w:rsidR="00823738" w:rsidRDefault="00823738" w:rsidP="00823738">
      <w:pPr>
        <w:tabs>
          <w:tab w:val="left" w:pos="0"/>
          <w:tab w:val="left" w:pos="567"/>
        </w:tabs>
        <w:ind w:left="1070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>
        <w:rPr>
          <w:szCs w:val="24"/>
          <w:lang w:eastAsia="lt-LT"/>
        </w:rPr>
        <w:tab/>
        <w:t xml:space="preserve"> </w:t>
      </w:r>
      <w:r>
        <w:rPr>
          <w:bCs/>
          <w:szCs w:val="24"/>
          <w:lang w:eastAsia="lt-LT"/>
        </w:rPr>
        <w:t>Priemonės finansavimo šaltiniai</w:t>
      </w:r>
    </w:p>
    <w:p w:rsidR="00823738" w:rsidRDefault="00823738" w:rsidP="00823738">
      <w:pPr>
        <w:tabs>
          <w:tab w:val="left" w:pos="0"/>
          <w:tab w:val="left" w:pos="142"/>
          <w:tab w:val="left" w:pos="7088"/>
          <w:tab w:val="left" w:pos="8364"/>
        </w:tabs>
        <w:ind w:right="2664" w:firstLine="3720"/>
        <w:jc w:val="right"/>
        <w:rPr>
          <w:rFonts w:eastAsia="Calibri"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390"/>
        <w:gridCol w:w="1250"/>
        <w:gridCol w:w="1525"/>
        <w:gridCol w:w="1525"/>
        <w:gridCol w:w="1387"/>
        <w:gridCol w:w="1389"/>
      </w:tblGrid>
      <w:tr w:rsidR="00823738" w:rsidTr="00AC52D7">
        <w:trPr>
          <w:trHeight w:val="454"/>
          <w:tblHeader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38" w:rsidRDefault="00823738" w:rsidP="00AC52D7">
            <w:pPr>
              <w:tabs>
                <w:tab w:val="left" w:pos="0"/>
                <w:tab w:val="left" w:pos="142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Projektams skiriamas finansavimas</w:t>
            </w: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  <w:tab w:val="left" w:pos="142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Kiti projektų finansavimo šaltiniai</w:t>
            </w:r>
          </w:p>
        </w:tc>
      </w:tr>
      <w:tr w:rsidR="00823738" w:rsidTr="00AC52D7">
        <w:trPr>
          <w:trHeight w:val="454"/>
          <w:tblHeader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ind w:right="-108"/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ES struktūrinių fondų</w:t>
            </w:r>
          </w:p>
          <w:p w:rsidR="00823738" w:rsidRDefault="00823738" w:rsidP="00AC52D7">
            <w:pPr>
              <w:ind w:left="-108" w:right="-108"/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lėšos – iki</w:t>
            </w:r>
          </w:p>
        </w:tc>
        <w:tc>
          <w:tcPr>
            <w:tcW w:w="42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  <w:tab w:val="left" w:pos="142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Nacionalinės lėšos</w:t>
            </w:r>
          </w:p>
        </w:tc>
      </w:tr>
      <w:tr w:rsidR="00823738" w:rsidTr="00AC52D7">
        <w:trPr>
          <w:cantSplit/>
          <w:trHeight w:val="1020"/>
          <w:tblHeader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738" w:rsidRDefault="00823738" w:rsidP="00AC52D7">
            <w:pPr>
              <w:jc w:val="center"/>
              <w:rPr>
                <w:bCs/>
                <w:spacing w:val="-6"/>
                <w:szCs w:val="24"/>
                <w:lang w:eastAsia="lt-LT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38" w:rsidRDefault="00823738" w:rsidP="00AC52D7">
            <w:pPr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Projektų vykdytojų lėšos</w:t>
            </w:r>
          </w:p>
        </w:tc>
      </w:tr>
      <w:tr w:rsidR="00823738" w:rsidTr="00AC52D7">
        <w:trPr>
          <w:cantSplit/>
          <w:trHeight w:val="1020"/>
          <w:tblHeader/>
        </w:trPr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38" w:rsidRDefault="00823738" w:rsidP="00AC52D7">
            <w:pPr>
              <w:jc w:val="center"/>
              <w:rPr>
                <w:bCs/>
                <w:spacing w:val="-6"/>
                <w:szCs w:val="24"/>
                <w:lang w:eastAsia="lt-LT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38" w:rsidRDefault="00823738" w:rsidP="00AC52D7">
            <w:pPr>
              <w:jc w:val="center"/>
              <w:rPr>
                <w:bCs/>
                <w:spacing w:val="-6"/>
                <w:szCs w:val="24"/>
                <w:highlight w:val="yellow"/>
                <w:lang w:eastAsia="lt-LT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ind w:right="-108"/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Iš viso – ne mažiau kaip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38" w:rsidRDefault="00823738" w:rsidP="00AC52D7">
            <w:pPr>
              <w:tabs>
                <w:tab w:val="left" w:pos="0"/>
              </w:tabs>
              <w:ind w:right="-108"/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Savivaldybės biudžeto</w:t>
            </w:r>
          </w:p>
          <w:p w:rsidR="00823738" w:rsidRDefault="00823738" w:rsidP="00AC52D7">
            <w:pPr>
              <w:tabs>
                <w:tab w:val="left" w:pos="0"/>
              </w:tabs>
              <w:ind w:right="-108"/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lėšos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38" w:rsidRDefault="00823738" w:rsidP="00AC52D7">
            <w:pPr>
              <w:tabs>
                <w:tab w:val="left" w:pos="0"/>
              </w:tabs>
              <w:ind w:right="-108"/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Kitos viešosios lėšos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Privačios lėšos</w:t>
            </w:r>
          </w:p>
        </w:tc>
      </w:tr>
      <w:tr w:rsidR="00823738" w:rsidTr="00AC52D7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38" w:rsidRDefault="00823738" w:rsidP="00AC52D7">
            <w:pPr>
              <w:tabs>
                <w:tab w:val="left" w:pos="0"/>
              </w:tabs>
              <w:ind w:left="488" w:hanging="283"/>
              <w:rPr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1.</w:t>
            </w:r>
            <w:r>
              <w:rPr>
                <w:spacing w:val="-6"/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823738" w:rsidTr="00AC52D7">
        <w:trPr>
          <w:trHeight w:val="249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47 931 356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10 190 951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3 245 826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6 945 125</w:t>
            </w:r>
          </w:p>
        </w:tc>
      </w:tr>
      <w:tr w:rsidR="00823738" w:rsidTr="00AC52D7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38" w:rsidRDefault="00823738" w:rsidP="00AC52D7">
            <w:pPr>
              <w:tabs>
                <w:tab w:val="left" w:pos="0"/>
              </w:tabs>
              <w:ind w:left="488" w:hanging="283"/>
              <w:rPr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2.</w:t>
            </w:r>
            <w:r>
              <w:rPr>
                <w:spacing w:val="-6"/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823738" w:rsidTr="00AC52D7">
        <w:trPr>
          <w:trHeight w:val="249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3 059 447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650 485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207 180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443 305</w:t>
            </w:r>
          </w:p>
        </w:tc>
      </w:tr>
      <w:tr w:rsidR="00823738" w:rsidTr="00AC52D7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ind w:left="488" w:hanging="283"/>
              <w:rPr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3.</w:t>
            </w:r>
            <w:r>
              <w:rPr>
                <w:spacing w:val="-6"/>
                <w:szCs w:val="24"/>
                <w:lang w:eastAsia="lt-LT"/>
              </w:rPr>
              <w:tab/>
              <w:t xml:space="preserve">Iš viso </w:t>
            </w:r>
          </w:p>
        </w:tc>
      </w:tr>
      <w:tr w:rsidR="00823738" w:rsidTr="00AC52D7">
        <w:trPr>
          <w:trHeight w:val="249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50 990 803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10 841 436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3 453 006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Cs/>
                <w:spacing w:val="-6"/>
                <w:szCs w:val="24"/>
                <w:lang w:eastAsia="lt-LT"/>
              </w:rPr>
            </w:pPr>
            <w:r>
              <w:rPr>
                <w:bCs/>
                <w:spacing w:val="-6"/>
                <w:szCs w:val="24"/>
                <w:lang w:eastAsia="lt-LT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8" w:rsidRDefault="00823738" w:rsidP="00AC52D7">
            <w:pPr>
              <w:tabs>
                <w:tab w:val="left" w:pos="0"/>
              </w:tabs>
              <w:jc w:val="center"/>
              <w:rPr>
                <w:b/>
                <w:spacing w:val="-6"/>
                <w:szCs w:val="24"/>
                <w:lang w:eastAsia="lt-LT"/>
              </w:rPr>
            </w:pPr>
            <w:r>
              <w:rPr>
                <w:spacing w:val="-6"/>
                <w:szCs w:val="24"/>
                <w:lang w:eastAsia="lt-LT"/>
              </w:rPr>
              <w:t>7 388 430</w:t>
            </w:r>
          </w:p>
        </w:tc>
      </w:tr>
    </w:tbl>
    <w:p w:rsidR="00823738" w:rsidRDefault="00823738" w:rsidP="00823738">
      <w:pPr>
        <w:ind w:firstLine="720"/>
        <w:jc w:val="both"/>
      </w:pPr>
    </w:p>
    <w:p w:rsidR="00823738" w:rsidRDefault="00823738" w:rsidP="00823738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823738" w:rsidRDefault="00823738" w:rsidP="00823738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3-233</w:t>
        </w:r>
      </w:hyperlink>
      <w:r>
        <w:rPr>
          <w:rFonts w:eastAsia="MS Mincho"/>
          <w:i/>
          <w:iCs/>
          <w:sz w:val="20"/>
        </w:rPr>
        <w:t>, 2017-05-18, paskelbta TAR 2017-05-19, i. k. 2017</w:t>
      </w:r>
      <w:proofErr w:type="gramStart"/>
      <w:r>
        <w:rPr>
          <w:rFonts w:eastAsia="MS Mincho"/>
          <w:i/>
          <w:iCs/>
          <w:sz w:val="20"/>
        </w:rPr>
        <w:t>-</w:t>
      </w:r>
      <w:proofErr w:type="gramEnd"/>
      <w:r>
        <w:rPr>
          <w:rFonts w:eastAsia="MS Mincho"/>
          <w:i/>
          <w:iCs/>
          <w:sz w:val="20"/>
        </w:rPr>
        <w:t>08387</w:t>
      </w:r>
    </w:p>
    <w:p w:rsidR="00F77597" w:rsidRDefault="00F77597"/>
    <w:sectPr w:rsidR="00F775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8"/>
    <w:rsid w:val="00550B92"/>
    <w:rsid w:val="00677A98"/>
    <w:rsid w:val="00823738"/>
    <w:rsid w:val="00954C84"/>
    <w:rsid w:val="00C338B9"/>
    <w:rsid w:val="00E14BC6"/>
    <w:rsid w:val="00F7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237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237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egalAct.html?documentId=66ae61303bd011e7b66ae890e13683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9d1a60c096ec11e8b93ad15b34c9248c" TargetMode="External"/><Relationship Id="rId5" Type="http://schemas.openxmlformats.org/officeDocument/2006/relationships/hyperlink" Target="https://www.e-tar.lt/portal/legalAct.html?documentId=9d1a60c096ec11e8b93ad15b34c924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Gelžinytė-Marcinkevičė</dc:creator>
  <cp:lastModifiedBy>Nora Martinkėnienė</cp:lastModifiedBy>
  <cp:revision>3</cp:revision>
  <cp:lastPrinted>2018-11-12T14:59:00Z</cp:lastPrinted>
  <dcterms:created xsi:type="dcterms:W3CDTF">2018-11-12T09:45:00Z</dcterms:created>
  <dcterms:modified xsi:type="dcterms:W3CDTF">2018-11-12T14:59:00Z</dcterms:modified>
</cp:coreProperties>
</file>