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C3" w:rsidRPr="007348C3" w:rsidRDefault="007348C3" w:rsidP="007348C3">
      <w:pPr>
        <w:pStyle w:val="Betarp"/>
        <w:jc w:val="center"/>
      </w:pPr>
      <w:r w:rsidRPr="007348C3">
        <w:t>Vertinimo apžvalga</w:t>
      </w:r>
    </w:p>
    <w:p w:rsidR="007348C3" w:rsidRPr="007348C3" w:rsidRDefault="007348C3" w:rsidP="007348C3">
      <w:pPr>
        <w:pStyle w:val="Betarp"/>
        <w:jc w:val="center"/>
      </w:pPr>
      <w:r w:rsidRPr="007348C3">
        <w:t>Finansų politikos departamento Ekonominės analizės ir vertinimo skyriaus darbo dokumentas</w:t>
      </w:r>
    </w:p>
    <w:p w:rsidR="007348C3" w:rsidRDefault="007348C3" w:rsidP="007348C3">
      <w:pPr>
        <w:pStyle w:val="Betarp"/>
        <w:jc w:val="center"/>
        <w:rPr>
          <w:b/>
        </w:rPr>
      </w:pPr>
    </w:p>
    <w:p w:rsidR="00F54B98" w:rsidRPr="00E20973" w:rsidRDefault="00F54B98" w:rsidP="00F54B98">
      <w:pPr>
        <w:pStyle w:val="Betarp"/>
        <w:jc w:val="both"/>
        <w:rPr>
          <w:b/>
        </w:rPr>
      </w:pPr>
      <w:r w:rsidRPr="00E20973">
        <w:rPr>
          <w:b/>
        </w:rPr>
        <w:t>2014–2020 metų Europos Sąjungos fondų investicijų veiksmų programos švietimo ir mokslo srities prioritetų „Mokslinių tyrimų, eksperimentinės plėtros ir inovacijų skatinimas“ ir „Visuomenės švietimas ir žmogiškųjų išteklių potencialo didinimas“ poveikio vertinimas</w:t>
      </w:r>
    </w:p>
    <w:p w:rsidR="00F54B98" w:rsidRPr="00311695" w:rsidRDefault="00F54B98" w:rsidP="00F54B98">
      <w:pPr>
        <w:pStyle w:val="Betarp"/>
      </w:pPr>
    </w:p>
    <w:p w:rsidR="00F54B98" w:rsidRPr="00311695" w:rsidRDefault="00F54B98" w:rsidP="00F54B98">
      <w:pPr>
        <w:pStyle w:val="Betarp"/>
      </w:pPr>
      <w:r w:rsidRPr="00311695">
        <w:t xml:space="preserve">Užsakovas: Lietuvos Respublikos švietimo, mokslo ir sporto ministerija </w:t>
      </w:r>
    </w:p>
    <w:p w:rsidR="00F54B98" w:rsidRPr="00311695" w:rsidRDefault="00F54B98" w:rsidP="00F54B98">
      <w:pPr>
        <w:pStyle w:val="Betarp"/>
      </w:pPr>
      <w:r w:rsidRPr="00311695">
        <w:t xml:space="preserve">Vertinimą atliko: PPMI </w:t>
      </w:r>
      <w:proofErr w:type="spellStart"/>
      <w:r w:rsidRPr="00311695">
        <w:t>Group</w:t>
      </w:r>
      <w:proofErr w:type="spellEnd"/>
      <w:r w:rsidRPr="00311695">
        <w:t>, UAB</w:t>
      </w:r>
      <w:r>
        <w:t>, 2020 m.</w:t>
      </w:r>
    </w:p>
    <w:p w:rsidR="00F54B98" w:rsidRPr="00311695" w:rsidRDefault="00F54B98" w:rsidP="00F54B98">
      <w:pPr>
        <w:pStyle w:val="Betarp"/>
      </w:pPr>
    </w:p>
    <w:p w:rsidR="00F54B98" w:rsidRPr="00E20973" w:rsidRDefault="00F54B98" w:rsidP="00F54B98">
      <w:pPr>
        <w:pStyle w:val="Betarp"/>
        <w:jc w:val="both"/>
        <w:rPr>
          <w:b/>
        </w:rPr>
      </w:pPr>
      <w:r w:rsidRPr="00E20973">
        <w:rPr>
          <w:b/>
        </w:rPr>
        <w:t>Vertinimo tikslas, uždaviniai, apimtis, metodai</w:t>
      </w:r>
    </w:p>
    <w:p w:rsidR="00F54B98" w:rsidRPr="00E20973" w:rsidRDefault="00F54B98" w:rsidP="00F54B98">
      <w:pPr>
        <w:pStyle w:val="Betarp"/>
        <w:jc w:val="both"/>
        <w:rPr>
          <w:b/>
        </w:rPr>
      </w:pPr>
      <w:r w:rsidRPr="00E20973">
        <w:rPr>
          <w:b/>
        </w:rPr>
        <w:t xml:space="preserve">Tikslas </w:t>
      </w:r>
    </w:p>
    <w:p w:rsidR="00F54B98" w:rsidRDefault="00F54B98" w:rsidP="00F54B98">
      <w:pPr>
        <w:pStyle w:val="Betarp"/>
        <w:jc w:val="both"/>
      </w:pPr>
      <w:r>
        <w:t>Nustatyti</w:t>
      </w:r>
      <w:r w:rsidRPr="005C19A6">
        <w:t xml:space="preserve"> švietimo ir mokslo srities prioritetų „Mokslinių tyrimų, eksperimentinės plėtros ir inovacijų skatinimas“ ir „Visuomenės švietimas ir žmogiškųjų išteklių potencialo didinimas“ pažangą ir poveikį siekiant VP nustatytų tikslų ir konkrečių uždavinių</w:t>
      </w:r>
    </w:p>
    <w:p w:rsidR="00F54B98" w:rsidRPr="00E20973" w:rsidRDefault="00F54B98" w:rsidP="00F54B98">
      <w:pPr>
        <w:pStyle w:val="Betarp"/>
        <w:jc w:val="both"/>
        <w:rPr>
          <w:b/>
        </w:rPr>
      </w:pPr>
      <w:r w:rsidRPr="00E20973">
        <w:rPr>
          <w:b/>
        </w:rPr>
        <w:t xml:space="preserve">Uždaviniai </w:t>
      </w:r>
    </w:p>
    <w:p w:rsidR="00F54B98" w:rsidRDefault="00F54B98" w:rsidP="00F54B98">
      <w:pPr>
        <w:pStyle w:val="Betarp"/>
        <w:jc w:val="both"/>
      </w:pPr>
      <w:r>
        <w:t xml:space="preserve">Siekiant vertinimo tikslo, </w:t>
      </w:r>
      <w:r w:rsidR="007348C3">
        <w:t>nustatyti tokie</w:t>
      </w:r>
      <w:bookmarkStart w:id="0" w:name="_GoBack"/>
      <w:bookmarkEnd w:id="0"/>
      <w:r>
        <w:t xml:space="preserve"> vertinimo uždaviniai:</w:t>
      </w:r>
    </w:p>
    <w:p w:rsidR="00F54B98" w:rsidRDefault="00F54B98" w:rsidP="00F54B98">
      <w:pPr>
        <w:pStyle w:val="Betarp"/>
        <w:jc w:val="both"/>
      </w:pPr>
      <w:r>
        <w:t>1. Įvertinti VP 1 prioriteto poveikį;</w:t>
      </w:r>
    </w:p>
    <w:p w:rsidR="00F54B98" w:rsidRDefault="00F54B98" w:rsidP="00F54B98">
      <w:pPr>
        <w:pStyle w:val="Betarp"/>
        <w:jc w:val="both"/>
      </w:pPr>
      <w:r>
        <w:t xml:space="preserve">2. Įvertinti VP 9 prioriteto poveikį; </w:t>
      </w:r>
    </w:p>
    <w:p w:rsidR="00F54B98" w:rsidRDefault="00F54B98" w:rsidP="00F54B98">
      <w:pPr>
        <w:pStyle w:val="Betarp"/>
        <w:jc w:val="both"/>
      </w:pPr>
      <w:r>
        <w:t>3. Pateikti detalias išvadas ir rekomendacijas dėl:</w:t>
      </w:r>
    </w:p>
    <w:p w:rsidR="00F54B98" w:rsidRDefault="00F54B98" w:rsidP="00F54B98">
      <w:pPr>
        <w:pStyle w:val="Betarp"/>
        <w:jc w:val="both"/>
      </w:pPr>
      <w:r>
        <w:t>3.1. tinkamiausių veiksmų sėkmingesniam prioritetų ir priemonių įgyvendinimui 2014–2020 m. laikotarpiu</w:t>
      </w:r>
    </w:p>
    <w:p w:rsidR="00F54B98" w:rsidRDefault="00F54B98" w:rsidP="00F54B98">
      <w:pPr>
        <w:pStyle w:val="Betarp"/>
        <w:jc w:val="both"/>
      </w:pPr>
      <w:r>
        <w:t>3.2. efektyvesnių priemonių įgyvendinimo mechanizmų 2021–2027 m. ES fondų investicijų laikotarpiu.</w:t>
      </w:r>
    </w:p>
    <w:p w:rsidR="00F54B98" w:rsidRPr="00E20973" w:rsidRDefault="00F54B98" w:rsidP="00F54B98">
      <w:pPr>
        <w:pStyle w:val="Betarp"/>
        <w:jc w:val="both"/>
        <w:rPr>
          <w:b/>
        </w:rPr>
      </w:pPr>
      <w:r w:rsidRPr="00E20973">
        <w:rPr>
          <w:b/>
        </w:rPr>
        <w:t xml:space="preserve">Naudoti metodai </w:t>
      </w:r>
    </w:p>
    <w:p w:rsidR="00F54B98" w:rsidRDefault="00F54B98" w:rsidP="00F54B98">
      <w:pPr>
        <w:pStyle w:val="Betarp"/>
        <w:jc w:val="both"/>
      </w:pPr>
      <w:r>
        <w:t>Vertinimui atlikti buvo taikomas kaitos teorija grįstas vertinimo požiūris, skirtas priežastiniams ryšiams tarp intervencijos ir laukiamų rezultatų bei poveikio įvertinti. Vertinimui atlikti pasitelkti šie metodai:</w:t>
      </w:r>
    </w:p>
    <w:p w:rsidR="00F54B98" w:rsidRDefault="00F54B98" w:rsidP="00F54B98">
      <w:pPr>
        <w:pStyle w:val="Betarp"/>
        <w:numPr>
          <w:ilvl w:val="0"/>
          <w:numId w:val="1"/>
        </w:numPr>
        <w:jc w:val="both"/>
      </w:pPr>
      <w:r>
        <w:t>pirminių ir antrinių šaltinių analizė;</w:t>
      </w:r>
    </w:p>
    <w:p w:rsidR="00F54B98" w:rsidRDefault="00F54B98" w:rsidP="00F54B98">
      <w:pPr>
        <w:pStyle w:val="Betarp"/>
        <w:numPr>
          <w:ilvl w:val="0"/>
          <w:numId w:val="1"/>
        </w:numPr>
        <w:jc w:val="both"/>
      </w:pPr>
      <w:proofErr w:type="spellStart"/>
      <w:r>
        <w:t>stebėsenos</w:t>
      </w:r>
      <w:proofErr w:type="spellEnd"/>
      <w:r>
        <w:t xml:space="preserve"> ir administracinių duomenų analizė; </w:t>
      </w:r>
    </w:p>
    <w:p w:rsidR="00F54B98" w:rsidRDefault="00F54B98" w:rsidP="00F54B98">
      <w:pPr>
        <w:pStyle w:val="Betarp"/>
        <w:numPr>
          <w:ilvl w:val="0"/>
          <w:numId w:val="1"/>
        </w:numPr>
        <w:jc w:val="both"/>
      </w:pPr>
      <w:r>
        <w:t>Nacionalinės švietimo agentūros (toliau – NŠA) pateiktų 2017 m. ir 2019 m. Nacionalinių mokinių pasiekimų patikrinimų ir Pagrindinių ugdymo pasiekimų patikrinimų duomenų analizė;</w:t>
      </w:r>
    </w:p>
    <w:p w:rsidR="00F54B98" w:rsidRDefault="00F54B98" w:rsidP="00F54B98">
      <w:pPr>
        <w:pStyle w:val="Betarp"/>
        <w:numPr>
          <w:ilvl w:val="0"/>
          <w:numId w:val="1"/>
        </w:numPr>
        <w:jc w:val="both"/>
      </w:pPr>
      <w:r>
        <w:t>interviu su ES fondų investicijas administruojančių ir kitų institucijų atstovais bei projektų vykdytojais;</w:t>
      </w:r>
    </w:p>
    <w:p w:rsidR="00F54B98" w:rsidRDefault="00F54B98" w:rsidP="00F54B98">
      <w:pPr>
        <w:pStyle w:val="Betarp"/>
        <w:numPr>
          <w:ilvl w:val="0"/>
          <w:numId w:val="1"/>
        </w:numPr>
        <w:jc w:val="both"/>
      </w:pPr>
      <w:r>
        <w:t>projektų vykdytojų ir partnerių, projektinių paraiškų teikėjų ir partnerių apklausos;</w:t>
      </w:r>
    </w:p>
    <w:p w:rsidR="00F54B98" w:rsidRDefault="00F54B98" w:rsidP="00F54B98">
      <w:pPr>
        <w:pStyle w:val="Betarp"/>
        <w:numPr>
          <w:ilvl w:val="0"/>
          <w:numId w:val="1"/>
        </w:numPr>
        <w:jc w:val="both"/>
      </w:pPr>
      <w:r>
        <w:t>atvejų analizė.</w:t>
      </w:r>
    </w:p>
    <w:p w:rsidR="00F54B98" w:rsidRDefault="00F54B98" w:rsidP="00F54B98">
      <w:pPr>
        <w:pStyle w:val="Betarp"/>
        <w:jc w:val="both"/>
      </w:pPr>
    </w:p>
    <w:p w:rsidR="00F54B98" w:rsidRPr="005C19A6" w:rsidRDefault="00F54B98" w:rsidP="00F54B98">
      <w:pPr>
        <w:pStyle w:val="Betarp"/>
        <w:jc w:val="both"/>
        <w:rPr>
          <w:b/>
        </w:rPr>
      </w:pPr>
      <w:r w:rsidRPr="005C19A6">
        <w:rPr>
          <w:b/>
        </w:rPr>
        <w:t>Vert</w:t>
      </w:r>
      <w:r>
        <w:rPr>
          <w:b/>
        </w:rPr>
        <w:t>inimo išvados ir rekomendacijos</w:t>
      </w:r>
    </w:p>
    <w:p w:rsidR="00F54B98" w:rsidRPr="005C19A6" w:rsidRDefault="00F54B98" w:rsidP="00F54B98">
      <w:pPr>
        <w:pStyle w:val="Betarp"/>
        <w:jc w:val="both"/>
        <w:rPr>
          <w:b/>
        </w:rPr>
      </w:pPr>
      <w:r w:rsidRPr="00311695">
        <w:t>1</w:t>
      </w:r>
      <w:r w:rsidRPr="005C19A6">
        <w:rPr>
          <w:b/>
        </w:rPr>
        <w:t>. ES investicijų poveikis ikimokyklinio, priešmokyklinio ir bendrojo ugdymo bei neformalaus vaikų švietimo srityje.</w:t>
      </w:r>
    </w:p>
    <w:p w:rsidR="00F54B98" w:rsidRPr="00311695" w:rsidRDefault="00F54B98" w:rsidP="00F54B98">
      <w:pPr>
        <w:pStyle w:val="Betarp"/>
        <w:jc w:val="both"/>
      </w:pPr>
      <w:r>
        <w:t xml:space="preserve">• </w:t>
      </w:r>
      <w:r w:rsidRPr="00311695">
        <w:t>ES investicijų poveikio švietimo įstaigų tinklo efektyvumui analizė parodė, kad VP investicijos į ikimokyklinio ugdymo įstaigų infrastruktūrą sudaro sąlygas pagerinti ugdymo aplinką tik apie 10 proc. visų ikimokykliniame ir priešmokykliniame ugdyme dalyvaujančių vaikų ir, nepaisant šio ženklaus indėlio, investicijų poveikis bus mažesnis nei planuota.</w:t>
      </w:r>
    </w:p>
    <w:p w:rsidR="00F54B98" w:rsidRPr="00311695" w:rsidRDefault="00F54B98" w:rsidP="00F54B98">
      <w:pPr>
        <w:pStyle w:val="Betarp"/>
        <w:jc w:val="both"/>
      </w:pPr>
      <w:r>
        <w:t xml:space="preserve">• </w:t>
      </w:r>
      <w:r w:rsidRPr="00311695">
        <w:t>Nepaisant ženklaus ES investicijų indėlio į ikimokyklinio ir priešmokyklinio ugdymo prieinamumo gerinimą, VP investicijos neatliepė iššūkių, susijusių su dalyvavimo ikimokykliniame ir priešmokykliniame ugdyme skirtumais mieste ir kaimo vietovėse bei pagal SEK (socialinis, ekonominis ir kultūrinis) statusą.</w:t>
      </w:r>
    </w:p>
    <w:p w:rsidR="00F54B98" w:rsidRPr="00311695" w:rsidRDefault="00F54B98" w:rsidP="00F54B98">
      <w:pPr>
        <w:pStyle w:val="Betarp"/>
        <w:jc w:val="both"/>
      </w:pPr>
      <w:r>
        <w:lastRenderedPageBreak/>
        <w:t xml:space="preserve">• </w:t>
      </w:r>
      <w:r w:rsidRPr="00311695">
        <w:t>Nors naudotis įrengtų regioninių STEAM centrų laboratorijomis galės visos Lietuvos mokyklos, šios investicijos neprisideda prie strateginio tikslo ženkliai padidinti mokinių, turinčių galimybę savo mokykloje naudotis gamtos mokslų laboratorija, dalį iki 80 proc. Siekiant gerinti mokinių pasiekimus, 2021–2027 m. laikotarpiu svarbu aprūpinti mokyklas laboratorine įranga, užtikrinant mokinių galimybes ja naudotis mokymosi procese.</w:t>
      </w:r>
    </w:p>
    <w:p w:rsidR="00F54B98" w:rsidRPr="00311695" w:rsidRDefault="00F54B98" w:rsidP="00F54B98">
      <w:pPr>
        <w:pStyle w:val="Betarp"/>
        <w:jc w:val="both"/>
      </w:pPr>
      <w:r>
        <w:t xml:space="preserve">• </w:t>
      </w:r>
      <w:r w:rsidRPr="00311695">
        <w:t>Nors VP investicijos yra nukreiptos į kokybės ir prieinamumo pokyčius skirtingais bendrojo ugdymo valdymo lygmenimis (sisteminiu, instituciniu ir individualiu), jos neapima tikslinių, į mokinį nukreiptų priemonių, skirtų gerinti ugdymo pasiekimus.</w:t>
      </w:r>
    </w:p>
    <w:p w:rsidR="00F54B98" w:rsidRPr="005C19A6" w:rsidRDefault="00F54B98" w:rsidP="00F54B98">
      <w:pPr>
        <w:pStyle w:val="Betarp"/>
        <w:jc w:val="both"/>
        <w:rPr>
          <w:b/>
        </w:rPr>
      </w:pPr>
      <w:r w:rsidRPr="005C19A6">
        <w:rPr>
          <w:b/>
        </w:rPr>
        <w:t>2. ES investicijų poveikis studijų srityje.</w:t>
      </w:r>
    </w:p>
    <w:p w:rsidR="00F54B98" w:rsidRPr="00311695" w:rsidRDefault="00F54B98" w:rsidP="00F54B98">
      <w:pPr>
        <w:pStyle w:val="Betarp"/>
        <w:jc w:val="both"/>
      </w:pPr>
      <w:r>
        <w:t xml:space="preserve">• </w:t>
      </w:r>
      <w:r w:rsidRPr="00311695">
        <w:t xml:space="preserve">ES investicijų įgyvendinimui studijų kokybės ir prieinamumo srityje tiesioginės įtakos turi XVII Vyriausybės inicijuota struktūrinė švietimo reforma, kuri studijų srityje numato universitetų tinklo optimizavimą, kokybės gerinimą ir tyrėjų prestižo didinimą. Nepaisant ambicingų tikslų, reformos įgyvendinimą ribojo nepakankamas universitetų jungimo proceso koordinavimas, reguliacinių ir administracinių priemonių, reikalingų įgyvendinti universitetų tinklo optimizavimo planą, stoka. </w:t>
      </w:r>
    </w:p>
    <w:p w:rsidR="00F54B98" w:rsidRPr="00311695" w:rsidRDefault="00F54B98" w:rsidP="00F54B98">
      <w:pPr>
        <w:pStyle w:val="Betarp"/>
        <w:jc w:val="both"/>
      </w:pPr>
      <w:r>
        <w:t xml:space="preserve">• </w:t>
      </w:r>
      <w:r w:rsidRPr="00311695">
        <w:t>Nors investicijos į studijų infrastruktūrą turėjo pirmiausia prisidėti prie studijų infrastruktūros koncentravimo ir tobulinimo, įgyvendinant universitetų tinklo pertvarkos planą, šiuo metu valstybės projektų planavimo būdu atrinkti ir įgyvendinami projektai apima ir kolegijų infrastruktūros tobulinimą.</w:t>
      </w:r>
    </w:p>
    <w:p w:rsidR="00F54B98" w:rsidRPr="00311695" w:rsidRDefault="00F54B98" w:rsidP="00F54B98">
      <w:pPr>
        <w:pStyle w:val="Betarp"/>
        <w:jc w:val="both"/>
      </w:pPr>
      <w:r>
        <w:t xml:space="preserve">• </w:t>
      </w:r>
      <w:r w:rsidRPr="00311695">
        <w:t xml:space="preserve">Planuojamas investicijas gavusių aštuonių universitetų ir devynių kolegijų švietimo infrastruktūros pajėgumas sudarė daugiau nei 40 proc. visų aukštojo mokslo studentų 2019–2020 m., todėl galima teigti, kad reikšmingos investicijos į studijų aplinkos gerinimą sudaro sąlygas siekti studijų kokybės tikslų didžiausią potencialą turinčiose studijų institucijose, kurios pritraukia didelę dalį studentų. </w:t>
      </w:r>
    </w:p>
    <w:p w:rsidR="00F54B98" w:rsidRPr="00311695" w:rsidRDefault="00F54B98" w:rsidP="00F54B98">
      <w:pPr>
        <w:pStyle w:val="Betarp"/>
        <w:jc w:val="both"/>
      </w:pPr>
      <w:r>
        <w:t xml:space="preserve">• </w:t>
      </w:r>
      <w:r w:rsidRPr="00311695">
        <w:t>Vertinimo metu surinkta informacija rodo, kad siekiant toliau optimizuoti aukštojo mokslo įstaigų tinklą ir didinti studijų kokybę bei prieinamumą, būtina:</w:t>
      </w:r>
    </w:p>
    <w:p w:rsidR="00F54B98" w:rsidRPr="00311695" w:rsidRDefault="00F54B98" w:rsidP="00F54B98">
      <w:pPr>
        <w:pStyle w:val="Betarp"/>
        <w:jc w:val="both"/>
      </w:pPr>
      <w:r>
        <w:t xml:space="preserve">-  </w:t>
      </w:r>
      <w:r w:rsidRPr="00311695">
        <w:t>veiksmingiau koordinuoti universiteto tinklo pertvarkos įgyvendinimą;</w:t>
      </w:r>
    </w:p>
    <w:p w:rsidR="00F54B98" w:rsidRPr="00311695" w:rsidRDefault="00F54B98" w:rsidP="00F54B98">
      <w:pPr>
        <w:pStyle w:val="Betarp"/>
        <w:jc w:val="both"/>
      </w:pPr>
      <w:r>
        <w:t xml:space="preserve">-  </w:t>
      </w:r>
      <w:r w:rsidRPr="00311695">
        <w:t>padidinti galimybės siekti aukštojo mokslo mokiniams iš socialiai pažeidžiamų grupių bei žemesnio SEK statuso, mažinant mokinių pasiekimų rezultatų netolygumus.</w:t>
      </w:r>
    </w:p>
    <w:p w:rsidR="00F54B98" w:rsidRPr="00360B63" w:rsidRDefault="00F54B98" w:rsidP="00F54B98">
      <w:pPr>
        <w:pStyle w:val="Betarp"/>
        <w:jc w:val="both"/>
        <w:rPr>
          <w:b/>
        </w:rPr>
      </w:pPr>
      <w:r w:rsidRPr="00360B63">
        <w:rPr>
          <w:b/>
        </w:rPr>
        <w:t>3. ES investicijų poveikis viešojo sektoriaus tyrėjų gebėjimų stiprinimui.</w:t>
      </w:r>
    </w:p>
    <w:p w:rsidR="00F54B98" w:rsidRPr="00311695" w:rsidRDefault="00F54B98" w:rsidP="00F54B98">
      <w:pPr>
        <w:pStyle w:val="Betarp"/>
        <w:jc w:val="both"/>
      </w:pPr>
      <w:r>
        <w:t xml:space="preserve">• </w:t>
      </w:r>
      <w:r w:rsidRPr="00311695">
        <w:t xml:space="preserve">VP įgyvendinamos priemonės efektyviai prisideda ugdant ir stiprinant mokslininkų ir tyrėjų kompetencijas bei atliepia didžiausius Lietuvos tyrėjams ir mokslininkams kylančius iššūkius, susijusius su </w:t>
      </w:r>
      <w:r>
        <w:t xml:space="preserve"> </w:t>
      </w:r>
      <w:r w:rsidRPr="00311695">
        <w:t xml:space="preserve">kompetencijų ir įgūdžių stygiumi. </w:t>
      </w:r>
    </w:p>
    <w:p w:rsidR="00F54B98" w:rsidRPr="00311695" w:rsidRDefault="00F54B98" w:rsidP="00F54B98">
      <w:pPr>
        <w:pStyle w:val="Betarp"/>
        <w:jc w:val="both"/>
      </w:pPr>
      <w:r>
        <w:t xml:space="preserve">• </w:t>
      </w:r>
      <w:r w:rsidRPr="00311695">
        <w:t>Įgyvendinamos priemonės gana nuosekliai užtikrina visapusišką mokslinių kompetencijų ugdymą, o vėliau ir stiprinimą visais karjeros etapais (studentų gebėjimų stiprinimas, doktorantūros studijų plėtra, mokslininkų ir tyrėjų kompetencijų ugdymas).</w:t>
      </w:r>
    </w:p>
    <w:p w:rsidR="00F54B98" w:rsidRPr="00311695" w:rsidRDefault="00F54B98" w:rsidP="00F54B98">
      <w:pPr>
        <w:pStyle w:val="Betarp"/>
        <w:jc w:val="both"/>
      </w:pPr>
      <w:r>
        <w:t xml:space="preserve">• </w:t>
      </w:r>
      <w:r w:rsidRPr="00311695">
        <w:t>Nepaisant ženklaus ES investicijų poveikio stiprinant viešojo sektoriaus tyrėjų gebėjimus, vertinimas parodė, kad siekiant efektyviau investuoti į tyrėjų ir mokslininkų kompetencijų ugdymą, būtina atsižvelgti į šiuos veiksnius:</w:t>
      </w:r>
    </w:p>
    <w:p w:rsidR="00F54B98" w:rsidRPr="00311695" w:rsidRDefault="00F54B98" w:rsidP="00F54B98">
      <w:pPr>
        <w:jc w:val="both"/>
      </w:pPr>
      <w:r>
        <w:rPr>
          <w:b/>
        </w:rPr>
        <w:t xml:space="preserve">-  </w:t>
      </w:r>
      <w:r w:rsidRPr="00311695">
        <w:t>Žemi tyrėjų atlyginimai mažina ne tik tyrėjų motyvaciją ir pasiryžimą dirbti, bet ir tyrėjo bei mokslininko profesijos patrauklumą jaunimui, neleidžia pritraukti tyrėjų iš užsienio, tarp jų ir išvykusių bei užsienyje studijuojančių ar dirbančių lietuvių.</w:t>
      </w:r>
    </w:p>
    <w:p w:rsidR="00F54B98" w:rsidRPr="00311695" w:rsidRDefault="00F54B98" w:rsidP="00F54B98">
      <w:pPr>
        <w:jc w:val="both"/>
      </w:pPr>
      <w:r>
        <w:t xml:space="preserve">-  </w:t>
      </w:r>
      <w:r w:rsidRPr="00311695">
        <w:t>Svarbu ne tik užtikrinti kuo didesnę administracinę bei vadybinę pagalbą projektų vykdytojams mokslo ir studijų institucijose, bet ir stiprinti intervencijas įgyvendinančių institucijų darbuotojų vadybines kompetencijas, siekti mažinti projektų administravimui skirtą laiką.</w:t>
      </w:r>
    </w:p>
    <w:p w:rsidR="00F54B98" w:rsidRPr="00311695" w:rsidRDefault="00F54B98" w:rsidP="00F54B98">
      <w:pPr>
        <w:jc w:val="both"/>
      </w:pPr>
      <w:r>
        <w:t xml:space="preserve">-  </w:t>
      </w:r>
      <w:r w:rsidRPr="00311695">
        <w:t>Didesnis lankstumas įtraukiant ir įgyvendinant paraiškoje nesuplanuotas veiklas suteiktų galimybę didesniam inovaciniam proveržiui. MTEP srityje mokslininkams svarbu suteikti galimybę rizikuoti ir eksperimentuoti, taip sukuriant naujas žinias, produktus, procesus ir įrenginius.</w:t>
      </w:r>
    </w:p>
    <w:p w:rsidR="00F54B98" w:rsidRPr="00360B63" w:rsidRDefault="00F54B98" w:rsidP="00F54B98">
      <w:pPr>
        <w:jc w:val="both"/>
        <w:rPr>
          <w:b/>
        </w:rPr>
      </w:pPr>
      <w:r w:rsidRPr="00360B63">
        <w:rPr>
          <w:b/>
        </w:rPr>
        <w:t>4. ES investicijų poveikis profesinio ir suaugusiųjų mokymo srityje.</w:t>
      </w:r>
    </w:p>
    <w:p w:rsidR="00F54B98" w:rsidRPr="00311695" w:rsidRDefault="00F54B98" w:rsidP="00F54B98">
      <w:pPr>
        <w:jc w:val="both"/>
      </w:pPr>
      <w:r>
        <w:t xml:space="preserve">• </w:t>
      </w:r>
      <w:r w:rsidRPr="00311695">
        <w:t xml:space="preserve">Lietuvos mokymosi visą gyvenimą rodikliai vis dar išlieka gerokai žemesni nei ES vidurkis. Atlikta išsami investicijų į mokymąsi visą gyvenimą tinkamumo ir suderinamumo analizė  identifikavo daug spragų informacijos, konsultacijų, socialinių partnerių, darbuotojų kompetencijų, </w:t>
      </w:r>
      <w:r w:rsidRPr="00311695">
        <w:lastRenderedPageBreak/>
        <w:t>prieinamumo ir kitose mokymosi visą gyvenimą srityse. Didžiuliu iššūkiu išlieka ir mokymosi visą gyvenimą poreikio nebuvimas, kurį būtų galima sieti su mokymosi kultūros stoka. Tai rodo išliekantį investicijų į šią sritį aktualumą.</w:t>
      </w:r>
    </w:p>
    <w:p w:rsidR="00F54B98" w:rsidRPr="00311695" w:rsidRDefault="00F54B98" w:rsidP="00F54B98">
      <w:pPr>
        <w:jc w:val="both"/>
      </w:pPr>
      <w:r>
        <w:t xml:space="preserve">• </w:t>
      </w:r>
      <w:r w:rsidRPr="00311695">
        <w:t xml:space="preserve">Atkreiptinas dėmesys į tai, kad 2014–2020 m. investicijos į suaugusiųjų mokymą yra labai fragmentuotos ir ŠMSM intervencijos, kurios yra tiesiogiai skirtos didinti suaugusiųjų mokymosi apimtis, apėmė tik atskiras tikslines grupes. </w:t>
      </w:r>
    </w:p>
    <w:p w:rsidR="00F54B98" w:rsidRPr="00311695" w:rsidRDefault="00F54B98" w:rsidP="00F54B98">
      <w:pPr>
        <w:jc w:val="both"/>
      </w:pPr>
      <w:r>
        <w:t xml:space="preserve">• </w:t>
      </w:r>
      <w:r w:rsidRPr="00311695">
        <w:t>Ateityje, siekiant valdyti riziką dėl perteklinių profesinio ir suaugusiųjų mokymo infrastruktūros pajėgumų, būtina ieškoti efektyvių mokymosi visą gyvenimą veiklų paklausos skatinimo būdų, įskaitant ir suaugusiųjų mokymo finansavimą, taikant individualių mokymosi paskyrų modelį.</w:t>
      </w:r>
    </w:p>
    <w:p w:rsidR="00F54B98" w:rsidRPr="00360B63" w:rsidRDefault="00F54B98" w:rsidP="00F54B98">
      <w:pPr>
        <w:jc w:val="both"/>
        <w:rPr>
          <w:b/>
        </w:rPr>
      </w:pPr>
      <w:r w:rsidRPr="00360B63">
        <w:rPr>
          <w:b/>
        </w:rPr>
        <w:t xml:space="preserve">5. ES investicijų poveikis mokslo ir verslo bendradarbiavimui ir žinių </w:t>
      </w:r>
      <w:proofErr w:type="spellStart"/>
      <w:r w:rsidRPr="00360B63">
        <w:rPr>
          <w:b/>
        </w:rPr>
        <w:t>komercinimui</w:t>
      </w:r>
      <w:proofErr w:type="spellEnd"/>
      <w:r w:rsidRPr="00360B63">
        <w:rPr>
          <w:b/>
        </w:rPr>
        <w:t>.</w:t>
      </w:r>
    </w:p>
    <w:p w:rsidR="00F54B98" w:rsidRPr="00311695" w:rsidRDefault="00F54B98" w:rsidP="00F54B98">
      <w:pPr>
        <w:jc w:val="both"/>
      </w:pPr>
      <w:r>
        <w:t xml:space="preserve">• </w:t>
      </w:r>
      <w:r w:rsidRPr="00311695">
        <w:t xml:space="preserve">VP priemonės kol kas ribotai prisideda prie sukurtos MTEPI infrastruktūros </w:t>
      </w:r>
      <w:proofErr w:type="spellStart"/>
      <w:r w:rsidRPr="00311695">
        <w:t>įveiklinimo</w:t>
      </w:r>
      <w:proofErr w:type="spellEnd"/>
      <w:r w:rsidRPr="00311695">
        <w:t xml:space="preserve"> ir išorės vartotojų iš ūkio subjektų pritraukimo, nes didelė dalis ŠMSM administruojamų lėšų buvo sukoncentruota į MTEPI infrastruktūros plėtrą, atnaujinimą ir integraciją į tarptautinius tinklus. Kita vertus, dalis įgyvendinamų veiklų turi potencialo sustiprinti šalies MTEPI sistemos gebėjimus ir paskatinti bendradarbiavimą su verslo įmonėmis bei žinių </w:t>
      </w:r>
      <w:proofErr w:type="spellStart"/>
      <w:r w:rsidRPr="00311695">
        <w:t>komercinimą</w:t>
      </w:r>
      <w:proofErr w:type="spellEnd"/>
      <w:r w:rsidRPr="00311695">
        <w:t>.</w:t>
      </w:r>
    </w:p>
    <w:p w:rsidR="00F54B98" w:rsidRPr="00311695" w:rsidRDefault="00F54B98" w:rsidP="00F54B98">
      <w:pPr>
        <w:jc w:val="both"/>
      </w:pPr>
      <w:r>
        <w:t xml:space="preserve">• </w:t>
      </w:r>
      <w:r w:rsidRPr="00311695">
        <w:t xml:space="preserve">Esminiam pokyčiui pasiekti yra reikalingos papildomos priemonės, nukreiptos į MTEPI ekosistemos dalyvių – mokslo ir studijų institucijų, verslo įmonių bei viešojo ir privataus sektoriaus tyrėjų – elgesio pokyčius. Norint išnaudoti sukurtos viešosios MTEPI infrastruktūros potencialą, svarbu skatinti viešojo sektoriaus MTEP rezultatų </w:t>
      </w:r>
      <w:proofErr w:type="spellStart"/>
      <w:r w:rsidRPr="00311695">
        <w:t>komercinimą</w:t>
      </w:r>
      <w:proofErr w:type="spellEnd"/>
      <w:r w:rsidRPr="00311695">
        <w:t>, mokslo ir verslo bendradarbiavimą, inovacijų ekosistemų kūrimąsi, siekiant viešųjų investicijų ilgalaikio poveikio ir naudos visuomenei</w:t>
      </w:r>
      <w:r>
        <w:t>.</w:t>
      </w:r>
    </w:p>
    <w:p w:rsidR="00AD775A" w:rsidRDefault="00AD775A"/>
    <w:sectPr w:rsidR="00AD775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63A20"/>
    <w:multiLevelType w:val="hybridMultilevel"/>
    <w:tmpl w:val="5CFC8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10"/>
    <w:rsid w:val="00732A10"/>
    <w:rsid w:val="007348C3"/>
    <w:rsid w:val="00AD775A"/>
    <w:rsid w:val="00F54B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54B9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54B98"/>
    <w:pPr>
      <w:spacing w:after="0"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54B9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54B98"/>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5604</Words>
  <Characters>3195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Šemetienė</dc:creator>
  <cp:lastModifiedBy>Vilija Šemetienė</cp:lastModifiedBy>
  <cp:revision>3</cp:revision>
  <dcterms:created xsi:type="dcterms:W3CDTF">2020-11-18T19:05:00Z</dcterms:created>
  <dcterms:modified xsi:type="dcterms:W3CDTF">2020-11-19T14:45:00Z</dcterms:modified>
</cp:coreProperties>
</file>