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F07" w:rsidRPr="00697AD2" w:rsidRDefault="004609E7" w:rsidP="00280C4A">
      <w:pPr>
        <w:widowControl w:val="0"/>
        <w:spacing w:line="360" w:lineRule="atLeast"/>
        <w:ind w:firstLine="1296"/>
        <w:jc w:val="center"/>
        <w:textAlignment w:val="baseline"/>
        <w:rPr>
          <w:rFonts w:ascii="Times New Roman" w:hAnsi="Times New Roman" w:cs="Times New Roman"/>
          <w:sz w:val="28"/>
          <w:szCs w:val="28"/>
        </w:rPr>
      </w:pPr>
      <w:bookmarkStart w:id="0" w:name="_top"/>
      <w:bookmarkEnd w:id="0"/>
      <w:proofErr w:type="gramStart"/>
      <w:r w:rsidRPr="00697AD2">
        <w:rPr>
          <w:rFonts w:ascii="Times New Roman" w:hAnsi="Times New Roman" w:cs="Times New Roman"/>
          <w:sz w:val="28"/>
          <w:szCs w:val="28"/>
        </w:rPr>
        <w:t>LIETUVOS RESPUBLIKOS FINANSŲ MINISTERIJA</w:t>
      </w:r>
      <w:proofErr w:type="gramEnd"/>
    </w:p>
    <w:p w:rsidR="00F160EB" w:rsidRPr="00697AD2" w:rsidRDefault="00F160EB" w:rsidP="00F160EB">
      <w:pPr>
        <w:widowControl w:val="0"/>
        <w:spacing w:line="360" w:lineRule="atLeast"/>
        <w:jc w:val="center"/>
        <w:textAlignment w:val="baseline"/>
        <w:rPr>
          <w:rFonts w:ascii="Times New Roman" w:hAnsi="Times New Roman" w:cs="Times New Roman"/>
          <w:sz w:val="24"/>
          <w:szCs w:val="24"/>
        </w:rPr>
      </w:pPr>
    </w:p>
    <w:p w:rsidR="00363D3C" w:rsidRPr="00697AD2" w:rsidRDefault="00363D3C" w:rsidP="00BF4840">
      <w:pPr>
        <w:shd w:val="clear" w:color="auto" w:fill="FFFFFF"/>
        <w:jc w:val="center"/>
        <w:rPr>
          <w:rFonts w:ascii="Times New Roman" w:hAnsi="Times New Roman" w:cs="Times New Roman"/>
          <w:b/>
          <w:color w:val="000000"/>
          <w:sz w:val="24"/>
          <w:szCs w:val="24"/>
        </w:rPr>
      </w:pPr>
      <w:r w:rsidRPr="00697AD2">
        <w:rPr>
          <w:rFonts w:ascii="Times New Roman" w:hAnsi="Times New Roman" w:cs="Times New Roman"/>
          <w:b/>
          <w:color w:val="000000"/>
          <w:sz w:val="24"/>
          <w:szCs w:val="24"/>
        </w:rPr>
        <w:t xml:space="preserve">PASIŪLYMAS KEISTI 2014–2020 M. </w:t>
      </w:r>
      <w:proofErr w:type="gramStart"/>
      <w:r w:rsidRPr="00697AD2">
        <w:rPr>
          <w:rFonts w:ascii="Times New Roman" w:hAnsi="Times New Roman" w:cs="Times New Roman"/>
          <w:b/>
          <w:color w:val="000000"/>
          <w:sz w:val="24"/>
          <w:szCs w:val="24"/>
        </w:rPr>
        <w:t>EUROPOS SĄJUNGOS</w:t>
      </w:r>
      <w:proofErr w:type="gramEnd"/>
      <w:r w:rsidRPr="00697AD2">
        <w:rPr>
          <w:rFonts w:ascii="Times New Roman" w:hAnsi="Times New Roman" w:cs="Times New Roman"/>
          <w:b/>
          <w:color w:val="000000"/>
          <w:sz w:val="24"/>
          <w:szCs w:val="24"/>
        </w:rPr>
        <w:t xml:space="preserve"> FONDŲ INVESTICIJŲ VEIKSMŲ PROGRAMĄ</w:t>
      </w:r>
    </w:p>
    <w:p w:rsidR="00363D3C" w:rsidRPr="00697AD2" w:rsidRDefault="00363D3C" w:rsidP="00BF4840">
      <w:pPr>
        <w:widowControl w:val="0"/>
        <w:shd w:val="clear" w:color="auto" w:fill="FFFFFF"/>
        <w:jc w:val="center"/>
        <w:textAlignment w:val="baseline"/>
        <w:rPr>
          <w:rFonts w:ascii="Times New Roman" w:hAnsi="Times New Roman" w:cs="Times New Roman"/>
          <w:color w:val="000000"/>
          <w:sz w:val="24"/>
          <w:szCs w:val="24"/>
        </w:rPr>
      </w:pPr>
    </w:p>
    <w:p w:rsidR="00363D3C" w:rsidRPr="00697AD2" w:rsidRDefault="00363D3C" w:rsidP="00BF4840">
      <w:pPr>
        <w:widowControl w:val="0"/>
        <w:shd w:val="clear" w:color="auto" w:fill="FFFFFF"/>
        <w:jc w:val="center"/>
        <w:textAlignment w:val="baseline"/>
        <w:rPr>
          <w:rFonts w:ascii="Times New Roman" w:hAnsi="Times New Roman" w:cs="Times New Roman"/>
          <w:color w:val="000000"/>
          <w:sz w:val="24"/>
          <w:szCs w:val="24"/>
        </w:rPr>
      </w:pPr>
      <w:r w:rsidRPr="00697AD2">
        <w:rPr>
          <w:rFonts w:ascii="Times New Roman" w:hAnsi="Times New Roman" w:cs="Times New Roman"/>
          <w:color w:val="000000"/>
          <w:sz w:val="24"/>
          <w:szCs w:val="24"/>
        </w:rPr>
        <w:t>20</w:t>
      </w:r>
      <w:r w:rsidR="00B010DD">
        <w:rPr>
          <w:rFonts w:ascii="Times New Roman" w:hAnsi="Times New Roman" w:cs="Times New Roman"/>
          <w:color w:val="000000"/>
          <w:sz w:val="24"/>
          <w:szCs w:val="24"/>
        </w:rPr>
        <w:t>20</w:t>
      </w:r>
      <w:r w:rsidRPr="00697AD2">
        <w:rPr>
          <w:rFonts w:ascii="Times New Roman" w:hAnsi="Times New Roman" w:cs="Times New Roman"/>
          <w:color w:val="000000"/>
          <w:sz w:val="24"/>
          <w:szCs w:val="24"/>
        </w:rPr>
        <w:t xml:space="preserve"> m</w:t>
      </w:r>
      <w:r w:rsidR="0069351F" w:rsidRPr="00697AD2">
        <w:rPr>
          <w:rFonts w:ascii="Times New Roman" w:hAnsi="Times New Roman" w:cs="Times New Roman"/>
          <w:color w:val="000000"/>
          <w:sz w:val="24"/>
          <w:szCs w:val="24"/>
        </w:rPr>
        <w:t xml:space="preserve">. </w:t>
      </w:r>
      <w:r w:rsidR="0094602D">
        <w:rPr>
          <w:rFonts w:ascii="Times New Roman" w:hAnsi="Times New Roman" w:cs="Times New Roman"/>
          <w:color w:val="000000"/>
          <w:sz w:val="24"/>
          <w:szCs w:val="24"/>
        </w:rPr>
        <w:t>lapkričio</w:t>
      </w:r>
      <w:r w:rsidR="00F72F17">
        <w:rPr>
          <w:rFonts w:ascii="Times New Roman" w:hAnsi="Times New Roman" w:cs="Times New Roman"/>
          <w:color w:val="000000"/>
          <w:sz w:val="24"/>
          <w:szCs w:val="24"/>
        </w:rPr>
        <w:t xml:space="preserve"> </w:t>
      </w:r>
      <w:r w:rsidR="006B25FD">
        <w:rPr>
          <w:rFonts w:ascii="Times New Roman" w:hAnsi="Times New Roman" w:cs="Times New Roman"/>
          <w:color w:val="000000"/>
          <w:sz w:val="24"/>
          <w:szCs w:val="24"/>
        </w:rPr>
        <w:t>19</w:t>
      </w:r>
      <w:r w:rsidR="001131A5" w:rsidRPr="00697AD2">
        <w:rPr>
          <w:rFonts w:ascii="Times New Roman" w:hAnsi="Times New Roman" w:cs="Times New Roman"/>
          <w:color w:val="000000"/>
          <w:sz w:val="24"/>
          <w:szCs w:val="24"/>
        </w:rPr>
        <w:t xml:space="preserve"> d.</w:t>
      </w:r>
    </w:p>
    <w:p w:rsidR="00645016" w:rsidRPr="00697AD2" w:rsidRDefault="00645016" w:rsidP="00BF4840">
      <w:pPr>
        <w:widowControl w:val="0"/>
        <w:shd w:val="clear" w:color="auto" w:fill="FFFFFF"/>
        <w:jc w:val="center"/>
        <w:textAlignment w:val="baseline"/>
        <w:rPr>
          <w:rFonts w:ascii="Times New Roman" w:hAnsi="Times New Roman" w:cs="Times New Roman"/>
          <w:color w:val="000000"/>
          <w:sz w:val="24"/>
          <w:szCs w:val="24"/>
        </w:rPr>
      </w:pPr>
    </w:p>
    <w:p w:rsidR="00A11DB7" w:rsidRDefault="00A11DB7" w:rsidP="00645016">
      <w:pPr>
        <w:widowControl w:val="0"/>
        <w:shd w:val="clear" w:color="auto" w:fill="FFFFFF"/>
        <w:ind w:right="142"/>
        <w:jc w:val="both"/>
        <w:textAlignment w:val="baseline"/>
        <w:rPr>
          <w:rFonts w:ascii="Times New Roman" w:hAnsi="Times New Roman" w:cs="Times New Roman"/>
          <w:b/>
          <w:caps/>
          <w:color w:val="000000"/>
          <w:sz w:val="24"/>
          <w:szCs w:val="24"/>
        </w:rPr>
      </w:pPr>
      <w:r w:rsidRPr="00697AD2">
        <w:rPr>
          <w:rFonts w:ascii="Times New Roman" w:hAnsi="Times New Roman" w:cs="Times New Roman"/>
          <w:b/>
          <w:color w:val="000000"/>
          <w:sz w:val="24"/>
          <w:szCs w:val="24"/>
        </w:rPr>
        <w:t xml:space="preserve">2014–2020 METŲ </w:t>
      </w:r>
      <w:proofErr w:type="gramStart"/>
      <w:r w:rsidRPr="00697AD2">
        <w:rPr>
          <w:rFonts w:ascii="Times New Roman" w:hAnsi="Times New Roman" w:cs="Times New Roman"/>
          <w:b/>
          <w:color w:val="000000"/>
          <w:sz w:val="24"/>
          <w:szCs w:val="24"/>
        </w:rPr>
        <w:t>EUROPOS SĄJUNGOS</w:t>
      </w:r>
      <w:proofErr w:type="gramEnd"/>
      <w:r w:rsidRPr="00697AD2">
        <w:rPr>
          <w:rFonts w:ascii="Times New Roman" w:hAnsi="Times New Roman" w:cs="Times New Roman"/>
          <w:b/>
          <w:color w:val="000000"/>
          <w:sz w:val="24"/>
          <w:szCs w:val="24"/>
        </w:rPr>
        <w:t xml:space="preserve"> FONDŲ INVESTICIJŲ VEIKSMŲ PROGRAMOS (TOLIAU – VEIKSMŲ PROGRAMA)</w:t>
      </w:r>
      <w:r w:rsidRPr="00697AD2">
        <w:rPr>
          <w:rFonts w:ascii="Times New Roman" w:hAnsi="Times New Roman" w:cs="Times New Roman"/>
          <w:color w:val="000000"/>
          <w:sz w:val="24"/>
          <w:szCs w:val="24"/>
        </w:rPr>
        <w:t xml:space="preserve"> </w:t>
      </w:r>
      <w:r w:rsidRPr="00697AD2">
        <w:rPr>
          <w:rFonts w:ascii="Times New Roman" w:hAnsi="Times New Roman" w:cs="Times New Roman"/>
          <w:b/>
          <w:caps/>
          <w:color w:val="000000"/>
          <w:sz w:val="24"/>
          <w:szCs w:val="24"/>
        </w:rPr>
        <w:t>3 „SMULKIOJO IR VIDUTINIO VERSLO KONKURENCINGUMO SKATINIMAS“, 6 „DARNAUS TRANSPORTO IR PAGRINDINIŲ</w:t>
      </w:r>
      <w:r w:rsidR="001F4C4B">
        <w:rPr>
          <w:rFonts w:ascii="Times New Roman" w:hAnsi="Times New Roman" w:cs="Times New Roman"/>
          <w:b/>
          <w:caps/>
          <w:color w:val="000000"/>
          <w:sz w:val="24"/>
          <w:szCs w:val="24"/>
        </w:rPr>
        <w:t xml:space="preserve"> TINKLŲ INFRASTRUKTŪROS PLĖTRA“</w:t>
      </w:r>
      <w:r w:rsidR="0094602D">
        <w:rPr>
          <w:rFonts w:ascii="Times New Roman" w:hAnsi="Times New Roman" w:cs="Times New Roman"/>
          <w:b/>
          <w:caps/>
          <w:color w:val="000000"/>
          <w:sz w:val="24"/>
          <w:szCs w:val="24"/>
        </w:rPr>
        <w:t>,</w:t>
      </w:r>
      <w:r w:rsidR="00706591">
        <w:rPr>
          <w:rFonts w:ascii="Times New Roman" w:hAnsi="Times New Roman" w:cs="Times New Roman"/>
          <w:b/>
          <w:caps/>
          <w:color w:val="000000"/>
          <w:sz w:val="24"/>
          <w:szCs w:val="24"/>
        </w:rPr>
        <w:t xml:space="preserve"> 13 </w:t>
      </w:r>
      <w:r w:rsidR="00706591" w:rsidRPr="001F4C4B">
        <w:rPr>
          <w:rFonts w:ascii="Times New Roman" w:hAnsi="Times New Roman" w:cs="Times New Roman"/>
          <w:b/>
          <w:caps/>
          <w:sz w:val="24"/>
          <w:szCs w:val="24"/>
        </w:rPr>
        <w:t>„</w:t>
      </w:r>
      <w:r w:rsidR="00E5740B" w:rsidRPr="001F4C4B">
        <w:rPr>
          <w:rFonts w:ascii="Times New Roman" w:hAnsi="Times New Roman" w:cs="Times New Roman"/>
          <w:b/>
          <w:caps/>
          <w:sz w:val="24"/>
          <w:szCs w:val="24"/>
        </w:rPr>
        <w:t xml:space="preserve">Veiksmų, skirtų COVID-19 pandemijos sukeltai krizei įveikti, skatinimas ir pasirengimas </w:t>
      </w:r>
      <w:r w:rsidR="00A04B6A">
        <w:rPr>
          <w:rFonts w:ascii="Times New Roman" w:hAnsi="Times New Roman" w:cs="Times New Roman"/>
          <w:b/>
          <w:caps/>
          <w:sz w:val="24"/>
          <w:szCs w:val="24"/>
        </w:rPr>
        <w:t>APLINKĄ TAUSOJANČIAM</w:t>
      </w:r>
      <w:r w:rsidR="00E5740B" w:rsidRPr="001F4C4B">
        <w:rPr>
          <w:rFonts w:ascii="Times New Roman" w:hAnsi="Times New Roman" w:cs="Times New Roman"/>
          <w:b/>
          <w:caps/>
          <w:sz w:val="24"/>
          <w:szCs w:val="24"/>
        </w:rPr>
        <w:t>, skaitmenin</w:t>
      </w:r>
      <w:r w:rsidR="00A04B6A">
        <w:rPr>
          <w:rFonts w:ascii="Times New Roman" w:hAnsi="Times New Roman" w:cs="Times New Roman"/>
          <w:b/>
          <w:caps/>
          <w:sz w:val="24"/>
          <w:szCs w:val="24"/>
        </w:rPr>
        <w:t>TAM</w:t>
      </w:r>
      <w:r w:rsidR="00E5740B" w:rsidRPr="001F4C4B">
        <w:rPr>
          <w:rFonts w:ascii="Times New Roman" w:hAnsi="Times New Roman" w:cs="Times New Roman"/>
          <w:b/>
          <w:caps/>
          <w:sz w:val="24"/>
          <w:szCs w:val="24"/>
        </w:rPr>
        <w:t xml:space="preserve"> ir </w:t>
      </w:r>
      <w:r w:rsidR="00A04B6A">
        <w:rPr>
          <w:rFonts w:ascii="Times New Roman" w:hAnsi="Times New Roman" w:cs="Times New Roman"/>
          <w:b/>
          <w:caps/>
          <w:sz w:val="24"/>
          <w:szCs w:val="24"/>
        </w:rPr>
        <w:t>TVARIAM</w:t>
      </w:r>
      <w:r w:rsidR="00E5740B" w:rsidRPr="001F4C4B">
        <w:rPr>
          <w:rFonts w:ascii="Times New Roman" w:hAnsi="Times New Roman" w:cs="Times New Roman"/>
          <w:b/>
          <w:caps/>
          <w:sz w:val="24"/>
          <w:szCs w:val="24"/>
        </w:rPr>
        <w:t xml:space="preserve"> ekonomikos atgaivinimui</w:t>
      </w:r>
      <w:r w:rsidR="00A04B6A">
        <w:rPr>
          <w:rFonts w:ascii="Times New Roman" w:hAnsi="Times New Roman" w:cs="Times New Roman"/>
          <w:b/>
          <w:caps/>
          <w:sz w:val="24"/>
          <w:szCs w:val="24"/>
        </w:rPr>
        <w:t>“</w:t>
      </w:r>
      <w:r w:rsidR="0094602D">
        <w:rPr>
          <w:rFonts w:ascii="Times New Roman" w:hAnsi="Times New Roman" w:cs="Times New Roman"/>
          <w:b/>
          <w:caps/>
          <w:sz w:val="24"/>
          <w:szCs w:val="24"/>
        </w:rPr>
        <w:t xml:space="preserve"> IR 14 „</w:t>
      </w:r>
      <w:r w:rsidR="0094602D" w:rsidRPr="001F4C4B">
        <w:rPr>
          <w:rFonts w:ascii="Times New Roman" w:hAnsi="Times New Roman" w:cs="Times New Roman"/>
          <w:b/>
          <w:caps/>
          <w:sz w:val="24"/>
          <w:szCs w:val="24"/>
        </w:rPr>
        <w:t>Veiksmų, skirtų COVID-19 pandemijos sukelt</w:t>
      </w:r>
      <w:r w:rsidR="00A04B6A">
        <w:rPr>
          <w:rFonts w:ascii="Times New Roman" w:hAnsi="Times New Roman" w:cs="Times New Roman"/>
          <w:b/>
          <w:caps/>
          <w:sz w:val="24"/>
          <w:szCs w:val="24"/>
        </w:rPr>
        <w:t>ai krizei įveikti, skatinimas, SIEKIANT DIDINTI UŽIMTUMĄ IR SOCIALINĘ ĮTRAUKTĮ</w:t>
      </w:r>
      <w:r w:rsidR="00B010DD" w:rsidRPr="001F4C4B">
        <w:rPr>
          <w:rFonts w:ascii="Times New Roman" w:hAnsi="Times New Roman" w:cs="Times New Roman"/>
          <w:b/>
          <w:caps/>
          <w:sz w:val="24"/>
          <w:szCs w:val="24"/>
        </w:rPr>
        <w:t>“</w:t>
      </w:r>
      <w:r w:rsidR="009909E8" w:rsidRPr="001F4C4B">
        <w:rPr>
          <w:rFonts w:ascii="Times New Roman" w:hAnsi="Times New Roman" w:cs="Times New Roman"/>
          <w:b/>
          <w:caps/>
          <w:sz w:val="24"/>
          <w:szCs w:val="24"/>
        </w:rPr>
        <w:t xml:space="preserve"> </w:t>
      </w:r>
      <w:r w:rsidRPr="00697AD2">
        <w:rPr>
          <w:rFonts w:ascii="Times New Roman" w:hAnsi="Times New Roman" w:cs="Times New Roman"/>
          <w:b/>
          <w:caps/>
          <w:color w:val="000000"/>
          <w:sz w:val="24"/>
          <w:szCs w:val="24"/>
        </w:rPr>
        <w:t>PRIORITETAI</w:t>
      </w:r>
    </w:p>
    <w:p w:rsidR="00C35FD6" w:rsidRDefault="00C35FD6" w:rsidP="0086724B">
      <w:pPr>
        <w:widowControl w:val="0"/>
        <w:shd w:val="clear" w:color="auto" w:fill="FFFFFF"/>
        <w:ind w:right="142"/>
        <w:jc w:val="center"/>
        <w:textAlignment w:val="baseline"/>
        <w:rPr>
          <w:rFonts w:ascii="Times New Roman" w:hAnsi="Times New Roman" w:cs="Times New Roman"/>
          <w:b/>
          <w:caps/>
          <w:color w:val="000000"/>
          <w:sz w:val="24"/>
          <w:szCs w:val="24"/>
        </w:rPr>
      </w:pPr>
    </w:p>
    <w:p w:rsidR="00C35FD6" w:rsidRPr="00697AD2" w:rsidRDefault="00C35FD6" w:rsidP="0086724B">
      <w:pPr>
        <w:widowControl w:val="0"/>
        <w:shd w:val="clear" w:color="auto" w:fill="FFFFFF"/>
        <w:ind w:right="142"/>
        <w:jc w:val="center"/>
        <w:textAlignment w:val="baseline"/>
        <w:rPr>
          <w:rFonts w:ascii="Times New Roman" w:hAnsi="Times New Roman" w:cs="Times New Roman"/>
          <w:b/>
          <w:caps/>
          <w:color w:val="000000"/>
          <w:sz w:val="24"/>
          <w:szCs w:val="24"/>
        </w:rPr>
      </w:pPr>
    </w:p>
    <w:p w:rsidR="0053656E" w:rsidRDefault="00B010DD" w:rsidP="00F22733">
      <w:pPr>
        <w:widowControl w:val="0"/>
        <w:shd w:val="clear" w:color="auto" w:fill="FFFFFF"/>
        <w:spacing w:before="240" w:after="240"/>
        <w:jc w:val="both"/>
        <w:textAlignment w:val="baseline"/>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1</w:t>
      </w:r>
      <w:r w:rsidR="00240A70" w:rsidRPr="00697AD2">
        <w:rPr>
          <w:rFonts w:ascii="Times New Roman" w:hAnsi="Times New Roman" w:cs="Times New Roman"/>
          <w:i/>
          <w:color w:val="000000"/>
          <w:sz w:val="24"/>
          <w:szCs w:val="24"/>
          <w:u w:val="single"/>
        </w:rPr>
        <w:t xml:space="preserve">. </w:t>
      </w:r>
      <w:r w:rsidR="0053656E">
        <w:rPr>
          <w:rFonts w:ascii="Times New Roman" w:hAnsi="Times New Roman" w:cs="Times New Roman"/>
          <w:i/>
          <w:color w:val="000000"/>
          <w:sz w:val="24"/>
          <w:szCs w:val="24"/>
          <w:u w:val="single"/>
        </w:rPr>
        <w:t>Papildyti Veiksmų programos 1 skirsnio „Veiksmų programos indėlis į strategiją „Europa 2020“ aprašymą ir išdėstyti jį taip:</w:t>
      </w:r>
    </w:p>
    <w:p w:rsidR="00C90FF2" w:rsidRPr="00C90FF2" w:rsidRDefault="00024D95" w:rsidP="00C90FF2">
      <w:pPr>
        <w:ind w:firstLine="624"/>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C90FF2" w:rsidRPr="00C90FF2">
        <w:rPr>
          <w:rFonts w:ascii="Times New Roman" w:eastAsia="Calibri" w:hAnsi="Times New Roman" w:cs="Times New Roman"/>
          <w:sz w:val="24"/>
          <w:szCs w:val="24"/>
        </w:rPr>
        <w:t>Partnerystės sutartyje atlikta dabartinės Lietuvos socialinės ir ekonominės situacijos, iššūkių ir plėtros potencialo analizė sudaro pagrindą šiai Lietuvos 2014–2020 metų Europos Sąjungos (toliau – ES) fondų investavimo strategijai, kuri yra nuosekliai derinama su ES ir nacionaliniais strateginiais dokumentais, jų principais bei esminėmis strateginėmis nuostatomis. Analizė aiškiai rodo, jog Lietuvos ūkis ir visuomenė tebejaučia 2008-ųjų metų finansų ir ekonominės krizės padarinius. Pagrindinis šios strategijos tikslas yra grąžinti šalį į spartaus ir tvaraus augimo kelią, mažinti šalies išsivystymo lygio atsilikimą nuo ES šalių vidurkio. Tam reikalinga palaikyti stabilią makroekonominę aplinką, tęsti struktūrines reformas ir užtikrinti tinkamą finansavimą augimą skatinančioms priemonėms – ši strategija pagrindinį dėmesį skiria pastarosioms.</w:t>
      </w:r>
    </w:p>
    <w:p w:rsidR="00C90FF2" w:rsidRP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t>Nors pagrindinis tikslas yra spartesnis, pažangus augimas, kartu siekiama, kad ūkio plėtra būtų tvari ir tausiai išteklius naudojanti bei teiktų apčiuopiamai geresnę gyvenimo kokybę visiems šalies gyventojams. Pastaroji reiškia ne tik didesnį užimtumą, augančias pajamas, bet ir labiau integruotą visuomenę, kurioje bus gerokai sumažinta skurdo rizika bei socialinė atskirtis. Tokie objektyvūs kriterijai, kaip bendrasis vidaus produktas (BVP) vienam gyventojui ar nedarbo lygis, perteikia ją ribotai; ne mažiau svarbūs yra tokie gyvenimo kokybę lemiantys aspektai, kaip priėjimas prie kokybiškų viešųjų paslaugų, kokybiškos darbo sąlygos ar priklausymas aktyviai vietos bendruomenei. Tuo būdu ši strategija tiesiogiai prisidės tiek prie strategijos „Europa 2020“ strateginių tikslų įgyvendinimo, tiek prie didesnės ekonominės, socialinės ir teritorinės sanglaudos ES ir Lietuvoje.</w:t>
      </w:r>
    </w:p>
    <w:p w:rsidR="00C90FF2" w:rsidRP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t>Strategija atspindi esminius šalies plėtros iššūkius ir remiasi investicijų sutelkimu į ES bendrajame strateginiame dokumente nustatytus 11 teminių tikslų ir jų konkrečius investicinius prioritetus, kurie tarpusavyje yra glaudžiai susiję ir papildo vienas kitą. Ją sudaro trys pagrindinės kryptys:</w:t>
      </w:r>
    </w:p>
    <w:p w:rsidR="00C90FF2" w:rsidRPr="00024D95" w:rsidRDefault="00C90FF2" w:rsidP="00C90FF2">
      <w:pPr>
        <w:widowControl w:val="0"/>
        <w:shd w:val="clear" w:color="auto" w:fill="FFFFFF"/>
        <w:spacing w:before="240" w:after="240"/>
        <w:jc w:val="both"/>
        <w:textAlignment w:val="baseline"/>
        <w:rPr>
          <w:rFonts w:ascii="Times New Roman" w:hAnsi="Times New Roman" w:cs="Times New Roman"/>
          <w:b/>
          <w:sz w:val="24"/>
          <w:szCs w:val="24"/>
        </w:rPr>
      </w:pPr>
      <w:r w:rsidRPr="00024D95">
        <w:rPr>
          <w:rFonts w:ascii="Times New Roman" w:hAnsi="Times New Roman" w:cs="Times New Roman"/>
          <w:b/>
          <w:sz w:val="24"/>
          <w:szCs w:val="24"/>
        </w:rPr>
        <w:t>Pažangus ūkio augimas ilguoju laikotarpiu</w:t>
      </w:r>
    </w:p>
    <w:p w:rsidR="00C90FF2" w:rsidRP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t xml:space="preserve">Lietuvos konkurencingumas, gebėjimas atkurti krizės laikotarpiu prarastą gerovę ir ją toliau didinti, visų pirma, remiasi gebėjimu kurti naujoves ir diegti naujus produktus, paslaugas, verslus, socialinius procesus ir modelius. Labai maža visų rūšių naujoves diegiančių įmonių dalis, nedidelės verslo išlaidos moksliniams tyrimams ir technologinei plėtrai, </w:t>
      </w:r>
      <w:r w:rsidRPr="00C90FF2">
        <w:rPr>
          <w:rFonts w:ascii="Times New Roman" w:eastAsia="Calibri" w:hAnsi="Times New Roman" w:cs="Times New Roman"/>
          <w:bCs/>
          <w:sz w:val="24"/>
          <w:szCs w:val="24"/>
        </w:rPr>
        <w:t xml:space="preserve">menkai </w:t>
      </w:r>
      <w:proofErr w:type="spellStart"/>
      <w:r w:rsidRPr="00C90FF2">
        <w:rPr>
          <w:rFonts w:ascii="Times New Roman" w:eastAsia="Calibri" w:hAnsi="Times New Roman" w:cs="Times New Roman"/>
          <w:bCs/>
          <w:sz w:val="24"/>
          <w:szCs w:val="24"/>
        </w:rPr>
        <w:t>komercializuojamas</w:t>
      </w:r>
      <w:proofErr w:type="spellEnd"/>
      <w:r w:rsidRPr="00C90FF2">
        <w:rPr>
          <w:rFonts w:ascii="Times New Roman" w:eastAsia="Calibri" w:hAnsi="Times New Roman" w:cs="Times New Roman"/>
          <w:bCs/>
          <w:sz w:val="24"/>
          <w:szCs w:val="24"/>
        </w:rPr>
        <w:t xml:space="preserve"> esamas ekonominis Lietuvos mokslo potencialas</w:t>
      </w:r>
      <w:r w:rsidRPr="00C90FF2">
        <w:rPr>
          <w:rFonts w:ascii="Times New Roman" w:eastAsia="Calibri" w:hAnsi="Times New Roman" w:cs="Times New Roman"/>
          <w:sz w:val="24"/>
          <w:szCs w:val="24"/>
        </w:rPr>
        <w:t xml:space="preserve"> sąlygoja esminių pokyčių poreikį; kuriamos sumanios specializacijos strategijos pagrindu </w:t>
      </w:r>
      <w:r w:rsidRPr="00C90FF2">
        <w:rPr>
          <w:rFonts w:ascii="Times New Roman" w:eastAsia="Calibri" w:hAnsi="Times New Roman" w:cs="Times New Roman"/>
          <w:b/>
          <w:sz w:val="24"/>
          <w:szCs w:val="24"/>
        </w:rPr>
        <w:t>pirmame teminiame tiksle</w:t>
      </w:r>
      <w:r w:rsidRPr="00C90FF2">
        <w:rPr>
          <w:rFonts w:ascii="Times New Roman" w:eastAsia="Calibri" w:hAnsi="Times New Roman" w:cs="Times New Roman"/>
          <w:sz w:val="24"/>
          <w:szCs w:val="24"/>
        </w:rPr>
        <w:t xml:space="preserve"> numatoma sustiprinti verslo, studijų ir tyrimų sinergiją bei jų </w:t>
      </w:r>
      <w:r w:rsidRPr="00C90FF2">
        <w:rPr>
          <w:rFonts w:ascii="Times New Roman" w:eastAsia="Calibri" w:hAnsi="Times New Roman" w:cs="Times New Roman"/>
          <w:sz w:val="24"/>
          <w:szCs w:val="24"/>
        </w:rPr>
        <w:lastRenderedPageBreak/>
        <w:t>panaudojimą šalies ūkio konkurencingumo plėtrai. Tuo tikslu veiksmų programa investuos į viešos ir privačios MTEPI infrastruktūros, tiesiogiai susijusios su ūkio konkurencingumo stiprinimu, plėtrą bei jos glaudesnį ryšį su regiono ir Europos tyrimų infrastruktūros tinklu. Finansuojant MTEPI bus siekiama efektyvesnio jau sukurtos MTEPI infrastruktūros panaudojimo ūkio konkurencingumui stiprinti, taip pat aktyvesnio Lietuvos tyrimų potencialo įsijungimo į Europos ir tarptautinius tyrimų institucijų ir tyrėjų tinklus.</w:t>
      </w:r>
    </w:p>
    <w:p w:rsidR="00C90FF2" w:rsidRP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t>Investicijos į MTEPI yra ilgalaikio pobūdžio ir pasižymi didele rizika, todėl valstybei tenka svarbus vaidmuo jas skatinant: tik nedidelė dalis verslo subjektų yra pajėgūs investuoti į šią sritį savarankiškai. Tuo tikslu numatoma auganti parama įmonių MTEPI veikloms, skatinant aukštesnės pridėtinės vertės produktų ir paslaugų pasiūlą. Kartu bus siekiama padidinti i</w:t>
      </w:r>
      <w:r w:rsidRPr="00C90FF2">
        <w:rPr>
          <w:rFonts w:ascii="Times New Roman" w:eastAsia="AngsanaUPC" w:hAnsi="Times New Roman" w:cs="Times New Roman"/>
          <w:bCs/>
          <w:iCs/>
          <w:sz w:val="24"/>
          <w:szCs w:val="24"/>
          <w:lang w:eastAsia="lt-LT"/>
        </w:rPr>
        <w:t xml:space="preserve">novacijų paramos paslaugų prieinamumą ir kokybę tiek verslui, tiek mokslo ir studijų institucijoms, jų tyrėjams ir studentams. Efektyviai MTEPI partnerystei sustiprinti bus siekiama ne tik paskatinti </w:t>
      </w:r>
      <w:proofErr w:type="spellStart"/>
      <w:r w:rsidRPr="00C90FF2">
        <w:rPr>
          <w:rFonts w:ascii="Times New Roman" w:eastAsia="AngsanaUPC" w:hAnsi="Times New Roman" w:cs="Times New Roman"/>
          <w:bCs/>
          <w:iCs/>
          <w:sz w:val="24"/>
          <w:szCs w:val="24"/>
          <w:lang w:eastAsia="lt-LT"/>
        </w:rPr>
        <w:t>tinklaveiką</w:t>
      </w:r>
      <w:proofErr w:type="spellEnd"/>
      <w:r w:rsidRPr="00C90FF2">
        <w:rPr>
          <w:rFonts w:ascii="Times New Roman" w:eastAsia="AngsanaUPC" w:hAnsi="Times New Roman" w:cs="Times New Roman"/>
          <w:bCs/>
          <w:iCs/>
          <w:sz w:val="24"/>
          <w:szCs w:val="24"/>
          <w:lang w:eastAsia="lt-LT"/>
        </w:rPr>
        <w:t xml:space="preserve"> tarp įmonių, mokslo ir studijų institucijų, jų bendras iniciatyvas, bet ir </w:t>
      </w:r>
      <w:r w:rsidRPr="00C90FF2">
        <w:rPr>
          <w:rFonts w:ascii="Times New Roman" w:eastAsia="Calibri" w:hAnsi="Times New Roman" w:cs="Times New Roman"/>
          <w:sz w:val="24"/>
          <w:szCs w:val="24"/>
        </w:rPr>
        <w:t xml:space="preserve">naujų, žinioms imlių įmonių kūrimąsi bei MTEPI plėtrai aktualių užsienio tiesioginių investicijų pritraukimą, taip sukuriant MTEPI aktyvesnę pasiūlą ir paklausą tiek versle, tiek moksle. Pagaliau esminis pokytis numatomas ir pačių valstybės institucijų atliekamame tiesioginiame inovacijų paklausos skatinime, plačiau taikant inovatyvius ir </w:t>
      </w:r>
      <w:proofErr w:type="spellStart"/>
      <w:r w:rsidRPr="00C90FF2">
        <w:rPr>
          <w:rFonts w:ascii="Times New Roman" w:eastAsia="Calibri" w:hAnsi="Times New Roman" w:cs="Times New Roman"/>
          <w:sz w:val="24"/>
          <w:szCs w:val="24"/>
        </w:rPr>
        <w:t>ikiprekybinius</w:t>
      </w:r>
      <w:proofErr w:type="spellEnd"/>
      <w:r w:rsidRPr="00C90FF2">
        <w:rPr>
          <w:rFonts w:ascii="Times New Roman" w:eastAsia="Calibri" w:hAnsi="Times New Roman" w:cs="Times New Roman"/>
          <w:sz w:val="24"/>
          <w:szCs w:val="24"/>
        </w:rPr>
        <w:t xml:space="preserve"> pirkimus bei kitas </w:t>
      </w:r>
      <w:r w:rsidRPr="00C90FF2">
        <w:rPr>
          <w:rFonts w:ascii="Times New Roman" w:eastAsia="Calibri" w:hAnsi="Times New Roman" w:cs="Times New Roman"/>
          <w:sz w:val="24"/>
          <w:szCs w:val="24"/>
          <w:lang w:eastAsia="lt-LT"/>
        </w:rPr>
        <w:t xml:space="preserve">skatinimo priemones, skirtas skatinti kurti ir/ar teikti į rinką </w:t>
      </w:r>
      <w:proofErr w:type="spellStart"/>
      <w:r w:rsidRPr="00C90FF2">
        <w:rPr>
          <w:rFonts w:ascii="Times New Roman" w:eastAsia="Calibri" w:hAnsi="Times New Roman" w:cs="Times New Roman"/>
          <w:sz w:val="24"/>
          <w:szCs w:val="24"/>
          <w:lang w:eastAsia="lt-LT"/>
        </w:rPr>
        <w:t>inovatyvias</w:t>
      </w:r>
      <w:proofErr w:type="spellEnd"/>
      <w:r w:rsidRPr="00C90FF2">
        <w:rPr>
          <w:rFonts w:ascii="Times New Roman" w:eastAsia="Calibri" w:hAnsi="Times New Roman" w:cs="Times New Roman"/>
          <w:sz w:val="24"/>
          <w:szCs w:val="24"/>
          <w:lang w:eastAsia="lt-LT"/>
        </w:rPr>
        <w:t xml:space="preserve"> prekes ir paslaugas visuomenei aktualių socialinių-ekonominių problemų sprendimui.</w:t>
      </w:r>
    </w:p>
    <w:p w:rsidR="00C90FF2" w:rsidRP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t xml:space="preserve">Inovacijos yra sudėtingų ir daug dalyvių įtraukiančių procesų rezultatas, apimantis įmonių gebėjimą pasinaudoti papildomomis kitų rinkos dalyvių, organizacijų ir institucijų žiniomis. Svarbi prielaida numatytam MTEPI pokyčiui įgyvendinti yra tyrėjų (ypač dirbančių versle) skaičiaus, taip pat kompetencijų (įskaitant verslumą) didėjimas, kurio bus siekiama investicijomis pagal </w:t>
      </w:r>
      <w:r w:rsidRPr="00C90FF2">
        <w:rPr>
          <w:rFonts w:ascii="Times New Roman" w:eastAsia="Calibri" w:hAnsi="Times New Roman" w:cs="Times New Roman"/>
          <w:b/>
          <w:sz w:val="24"/>
          <w:szCs w:val="24"/>
        </w:rPr>
        <w:t>dešimtą teminį tikslą</w:t>
      </w:r>
      <w:r w:rsidRPr="00C90FF2">
        <w:rPr>
          <w:rFonts w:ascii="Times New Roman" w:eastAsia="Calibri" w:hAnsi="Times New Roman" w:cs="Times New Roman"/>
          <w:sz w:val="24"/>
          <w:szCs w:val="24"/>
        </w:rPr>
        <w:t xml:space="preserve">, taip pat pagal </w:t>
      </w:r>
      <w:r w:rsidRPr="00C90FF2">
        <w:rPr>
          <w:rFonts w:ascii="Times New Roman" w:eastAsia="Calibri" w:hAnsi="Times New Roman" w:cs="Times New Roman"/>
          <w:b/>
          <w:sz w:val="24"/>
          <w:szCs w:val="24"/>
        </w:rPr>
        <w:t>aštuntą ir devintą teminius tikslus</w:t>
      </w:r>
      <w:r w:rsidRPr="00C90FF2">
        <w:rPr>
          <w:rFonts w:ascii="Times New Roman" w:eastAsia="Calibri" w:hAnsi="Times New Roman" w:cs="Times New Roman"/>
          <w:sz w:val="24"/>
          <w:szCs w:val="24"/>
        </w:rPr>
        <w:t xml:space="preserve"> remiamos socialinės inovacijos.</w:t>
      </w:r>
    </w:p>
    <w:p w:rsidR="00C90FF2" w:rsidRP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t xml:space="preserve">Augantis laisvų darbo vietų skaičius rodo, kad svarbiu pažangų augimą ribojančiu veiksniu tampa žmogiškieji ištekliai: demografinių pokyčių (emigracijos, senėjimo) vis labiau ribojami, jie kartu vis labiau stokoja ūkio ir visuomenės plėtrai reikalingų kompetencijų, tiek dėl didėjančio švietimo ir studijų sistemos neatitikimo ūkio ir visuomenės poreikiams, tiek dėl dvigubai mažesnio nei ES vidurkis mokymosi visą gyvenimą lygio. Labai svarbu kokybiškai suteikti žinias, gebėjimus ir įgūdžius bei juos nuolat atnaujinti: šiuo požiūriu esminės yra pagal </w:t>
      </w:r>
      <w:r w:rsidRPr="00C90FF2">
        <w:rPr>
          <w:rFonts w:ascii="Times New Roman" w:eastAsia="Calibri" w:hAnsi="Times New Roman" w:cs="Times New Roman"/>
          <w:b/>
          <w:sz w:val="24"/>
          <w:szCs w:val="24"/>
        </w:rPr>
        <w:t>dešimtą teminį tikslą</w:t>
      </w:r>
      <w:r w:rsidRPr="00C90FF2">
        <w:rPr>
          <w:rFonts w:ascii="Times New Roman" w:eastAsia="Calibri" w:hAnsi="Times New Roman" w:cs="Times New Roman"/>
          <w:sz w:val="24"/>
          <w:szCs w:val="24"/>
        </w:rPr>
        <w:t xml:space="preserve"> numatomos investicijos. Jomis bus siekiama, kad į mokymosi visą gyvenimą ciklą būtų įsijungiama, kuo anksčiau (didėjantis ikimokyklinio ugdymo prieinamumas ir dalyvavimas jame), optimizuotas mokyklų tinklas visiems besimokantiems garantuotų adekvatų pasiekimų lygį visose esminėse kompetencijose (kartu didinant susidomėjimą gamtos ir technologiniais mokslais, taip pat profesines mokyklas ir profesijų įgijimą besirenkančių mokinių dalį), o studijų sistema užtikrintų darbo rinkos poreikius atitinkančių kompetencijų ir praktinių įgūdžių suteikimą. Be to, atsižvelgiant į santykinį visuomenės senėjimą, dar aktualesnis taps suaugusiųjų mokymasis visą gyvenimą: veiksmų programos investicijos sieks paveikti tiek pasiūlą, pavyzdžiui, padės užtikrinti formalios švietimo sistemos dalyvių (profesinių mokyklų, kolegijų, universitetų) aktyvesnį įsitraukimą, siūlomų paslaugų spektrą, tiek paklausą, visų pirma, teikiant tiesioginę paramą labiausiai nuo mokymosi visą gyvenimą nutolusių tikslinių grupių (pasižyminčių žema, seniai įgyta kvalifikacija) mokymuisi. </w:t>
      </w:r>
    </w:p>
    <w:p w:rsidR="00C90FF2" w:rsidRP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t xml:space="preserve">Šiuolaikinėje ekonomikoje viešojo administravimo sektorius, t. y., institucijos ir viešoji politika, įgauna vis didesnę reikšmę, nes jis turi ne tik šalinti trūkumus ir sudaryti palankias sąlygas rinkoms efektyviai veikti (pavyzdžiui, tausiai vartoti išteklius ekonominėje veikloje), bet ir skatinti žinių kūrimą ir perdavimą. Kartu didelis nepasitikėjimas valdžios institucijomis </w:t>
      </w:r>
      <w:proofErr w:type="gramStart"/>
      <w:r w:rsidRPr="00C90FF2">
        <w:rPr>
          <w:rFonts w:ascii="Times New Roman" w:eastAsia="Calibri" w:hAnsi="Times New Roman" w:cs="Times New Roman"/>
          <w:sz w:val="24"/>
          <w:szCs w:val="24"/>
        </w:rPr>
        <w:t>piliečių tarpe</w:t>
      </w:r>
      <w:proofErr w:type="gramEnd"/>
      <w:r w:rsidRPr="00C90FF2">
        <w:rPr>
          <w:rFonts w:ascii="Times New Roman" w:eastAsia="Calibri" w:hAnsi="Times New Roman" w:cs="Times New Roman"/>
          <w:sz w:val="24"/>
          <w:szCs w:val="24"/>
        </w:rPr>
        <w:t xml:space="preserve"> trukdo socialinei sanglaudai. Investuojant pagal </w:t>
      </w:r>
      <w:r w:rsidRPr="00C90FF2">
        <w:rPr>
          <w:rFonts w:ascii="Times New Roman" w:eastAsia="Calibri" w:hAnsi="Times New Roman" w:cs="Times New Roman"/>
          <w:b/>
          <w:sz w:val="24"/>
          <w:szCs w:val="24"/>
        </w:rPr>
        <w:t>vienuoliktą teminį tikslą</w:t>
      </w:r>
      <w:r w:rsidRPr="00C90FF2">
        <w:rPr>
          <w:rFonts w:ascii="Times New Roman" w:eastAsia="Calibri" w:hAnsi="Times New Roman" w:cs="Times New Roman"/>
          <w:sz w:val="24"/>
          <w:szCs w:val="24"/>
        </w:rPr>
        <w:t xml:space="preserve"> bus siekiama sustiprinti efektyvią valstybės ir savivaldybių institucijų ir įstaigų veiklą bei valstybės tarnautojų kvalifikacijos ir kompetencijos atitiktį besikeičiantiems poreikiams. Esminių pokyčių tikimasi, didinant sprendimų priėmimo skaidrumą ir pagrįstumą žiniomis, didinant ekonominės veiklos reglamentavimo kokybę, mažinant administracinę naštą verslui, korupciją; taip pat didinant viešųjų paslaugų orientaciją į pilietį kaip klientą, stiprinant valstybės tarnybos sistemą ir gebėjimus palaikyti ir įgyvendinti viešojo sektoriaus reformas.</w:t>
      </w:r>
    </w:p>
    <w:p w:rsid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t xml:space="preserve">Informacinės ir ryšių technologijos (IRT) yra įtakingas ūkio augimą, inovacijas ir produktyvumą skatinantis veiksnys, turintis poveikį visoms šios veiksmų programos investavimo sritims. Išplėtota ir </w:t>
      </w:r>
      <w:r w:rsidRPr="00C90FF2">
        <w:rPr>
          <w:rFonts w:ascii="Times New Roman" w:eastAsia="Calibri" w:hAnsi="Times New Roman" w:cs="Times New Roman"/>
          <w:sz w:val="24"/>
          <w:szCs w:val="24"/>
        </w:rPr>
        <w:lastRenderedPageBreak/>
        <w:t xml:space="preserve">visiems prieinama IRT infrastruktūra leidžia sparčiai ir pigiai gauti, kurti, skleisti ir keistis informacija, ja naudotis gamyboje bei teikiant viešojo ar privataus sektoriaus paslaugas. Pagal </w:t>
      </w:r>
      <w:r w:rsidRPr="00C90FF2">
        <w:rPr>
          <w:rFonts w:ascii="Times New Roman" w:eastAsia="Calibri" w:hAnsi="Times New Roman" w:cs="Times New Roman"/>
          <w:b/>
          <w:sz w:val="24"/>
          <w:szCs w:val="24"/>
        </w:rPr>
        <w:t>antrą teminį tikslą</w:t>
      </w:r>
      <w:r w:rsidRPr="00C90FF2">
        <w:rPr>
          <w:rFonts w:ascii="Times New Roman" w:eastAsia="Calibri" w:hAnsi="Times New Roman" w:cs="Times New Roman"/>
          <w:sz w:val="24"/>
          <w:szCs w:val="24"/>
        </w:rPr>
        <w:t xml:space="preserve"> numatomos investicijos sieks užtikrinti sparčiojo plačiajuosčio interneto ryšio pasiekiamumą visiems Lietuvos namų ūkiams ir prisidėti prie sparčiojo plačiajuosčio ryšio skverbties </w:t>
      </w:r>
      <w:proofErr w:type="gramStart"/>
      <w:r w:rsidRPr="00C90FF2">
        <w:rPr>
          <w:rFonts w:ascii="Times New Roman" w:eastAsia="Calibri" w:hAnsi="Times New Roman" w:cs="Times New Roman"/>
          <w:sz w:val="24"/>
          <w:szCs w:val="24"/>
        </w:rPr>
        <w:t>gyventojų tarpe</w:t>
      </w:r>
      <w:proofErr w:type="gramEnd"/>
      <w:r w:rsidRPr="00C90FF2">
        <w:rPr>
          <w:rFonts w:ascii="Times New Roman" w:eastAsia="Calibri" w:hAnsi="Times New Roman" w:cs="Times New Roman"/>
          <w:sz w:val="24"/>
          <w:szCs w:val="24"/>
        </w:rPr>
        <w:t xml:space="preserve"> augimo. Kartu bus siekiama smarkiai padidinti IRT paklausą </w:t>
      </w:r>
      <w:proofErr w:type="gramStart"/>
      <w:r w:rsidRPr="00C90FF2">
        <w:rPr>
          <w:rFonts w:ascii="Times New Roman" w:eastAsia="Calibri" w:hAnsi="Times New Roman" w:cs="Times New Roman"/>
          <w:sz w:val="24"/>
          <w:szCs w:val="24"/>
        </w:rPr>
        <w:t>gyventojų tarpe</w:t>
      </w:r>
      <w:proofErr w:type="gramEnd"/>
      <w:r w:rsidRPr="00C90FF2">
        <w:rPr>
          <w:rFonts w:ascii="Times New Roman" w:eastAsia="Calibri" w:hAnsi="Times New Roman" w:cs="Times New Roman"/>
          <w:sz w:val="24"/>
          <w:szCs w:val="24"/>
        </w:rPr>
        <w:t>, padedant jiems įgyti išmaniam ir visapusiškam interneto naudojimui, pavyzdžiui, e. komercijos, viešųjų e. paslaugų naudojimo, saugaus ir atsakingo elgesio internete ir kt. reikšmingose srityse, reikalingus įgūdžius. Bus skatinamas efektyvus viešojo sektoriaus informacijos pakartotinis panaudojimas verslo ir visuomenės poreikiams, plėtojamos technologiškai pažangios ir į vartotojus orientuotos elektroninės viešosios ir administracinės paslaugos</w:t>
      </w:r>
      <w:r w:rsidRPr="00C90FF2" w:rsidDel="002F3D65">
        <w:rPr>
          <w:rFonts w:ascii="Times New Roman" w:eastAsia="Calibri" w:hAnsi="Times New Roman" w:cs="Times New Roman"/>
          <w:sz w:val="24"/>
          <w:szCs w:val="24"/>
        </w:rPr>
        <w:t xml:space="preserve"> </w:t>
      </w:r>
      <w:r w:rsidRPr="00C90FF2">
        <w:rPr>
          <w:rFonts w:ascii="Times New Roman" w:eastAsia="Calibri" w:hAnsi="Times New Roman" w:cs="Times New Roman"/>
          <w:sz w:val="24"/>
          <w:szCs w:val="24"/>
        </w:rPr>
        <w:t>ir prisidedama prie optimalaus valstybės informacinės infrastruktūros ir išteklių valdymo.</w:t>
      </w:r>
    </w:p>
    <w:p w:rsidR="00456C21" w:rsidRPr="001F4C4B" w:rsidRDefault="00456C21" w:rsidP="00456C21">
      <w:pPr>
        <w:ind w:firstLine="624"/>
        <w:jc w:val="both"/>
        <w:rPr>
          <w:rFonts w:ascii="Times New Roman" w:eastAsia="Calibri" w:hAnsi="Times New Roman" w:cs="Times New Roman"/>
          <w:b/>
          <w:bCs/>
          <w:sz w:val="24"/>
          <w:szCs w:val="24"/>
        </w:rPr>
      </w:pPr>
      <w:r w:rsidRPr="001F4C4B">
        <w:rPr>
          <w:rFonts w:ascii="Times New Roman" w:eastAsia="Calibri" w:hAnsi="Times New Roman" w:cs="Times New Roman"/>
          <w:b/>
          <w:sz w:val="24"/>
          <w:szCs w:val="24"/>
        </w:rPr>
        <w:t xml:space="preserve">Europos Sąjunga patiria sunkų išbandymą. Ji siekia išsivaduoti iš globalios koronaviruso (COVID-19) pandemijos sukeltos krizės ir perorientuoti ekonomiką link atsparaus ir tvaraus augimo, laikantis žaliojo kurso ir skaitmeninimo tikslų. Europos Komisija pasiūlė naują </w:t>
      </w:r>
      <w:r w:rsidR="006D03CA" w:rsidRPr="001F4C4B">
        <w:rPr>
          <w:rFonts w:ascii="Times New Roman" w:eastAsia="Calibri" w:hAnsi="Times New Roman" w:cs="Times New Roman"/>
          <w:b/>
          <w:bCs/>
          <w:sz w:val="24"/>
          <w:szCs w:val="24"/>
        </w:rPr>
        <w:t xml:space="preserve">iniciatyvą </w:t>
      </w:r>
      <w:r w:rsidR="00E17BF1" w:rsidRPr="001F4C4B">
        <w:rPr>
          <w:rFonts w:ascii="Times New Roman" w:hAnsi="Times New Roman" w:cs="Times New Roman"/>
          <w:b/>
          <w:caps/>
          <w:sz w:val="24"/>
          <w:szCs w:val="24"/>
        </w:rPr>
        <w:t>„</w:t>
      </w:r>
      <w:r w:rsidR="006D03CA" w:rsidRPr="001F4C4B">
        <w:rPr>
          <w:rFonts w:ascii="Times New Roman" w:eastAsia="Calibri" w:hAnsi="Times New Roman" w:cs="Times New Roman"/>
          <w:b/>
          <w:bCs/>
          <w:sz w:val="24"/>
          <w:szCs w:val="24"/>
        </w:rPr>
        <w:t>R</w:t>
      </w:r>
      <w:r w:rsidR="00E17BF1" w:rsidRPr="001F4C4B">
        <w:rPr>
          <w:rFonts w:ascii="Times New Roman" w:eastAsia="Calibri" w:hAnsi="Times New Roman" w:cs="Times New Roman"/>
          <w:b/>
          <w:bCs/>
          <w:sz w:val="24"/>
          <w:szCs w:val="24"/>
        </w:rPr>
        <w:t>eact</w:t>
      </w:r>
      <w:r w:rsidR="006D03CA" w:rsidRPr="001F4C4B">
        <w:rPr>
          <w:rFonts w:ascii="Times New Roman" w:eastAsia="Calibri" w:hAnsi="Times New Roman" w:cs="Times New Roman"/>
          <w:b/>
          <w:bCs/>
          <w:sz w:val="24"/>
          <w:szCs w:val="24"/>
        </w:rPr>
        <w:t>–EU</w:t>
      </w:r>
      <w:r w:rsidR="00E17BF1" w:rsidRPr="001F4C4B">
        <w:rPr>
          <w:rFonts w:ascii="Times New Roman" w:hAnsi="Times New Roman" w:cs="Times New Roman"/>
          <w:b/>
          <w:caps/>
          <w:sz w:val="24"/>
          <w:szCs w:val="24"/>
        </w:rPr>
        <w:t>“</w:t>
      </w:r>
      <w:r w:rsidRPr="001F4C4B">
        <w:rPr>
          <w:rFonts w:ascii="Times New Roman" w:eastAsia="Calibri" w:hAnsi="Times New Roman" w:cs="Times New Roman"/>
          <w:b/>
          <w:bCs/>
          <w:sz w:val="24"/>
          <w:szCs w:val="24"/>
        </w:rPr>
        <w:t xml:space="preserve">, kuri papildys dabartinės </w:t>
      </w:r>
      <w:r w:rsidR="00E17BF1" w:rsidRPr="001F4C4B">
        <w:rPr>
          <w:rFonts w:ascii="Times New Roman" w:eastAsia="Calibri" w:hAnsi="Times New Roman" w:cs="Times New Roman"/>
          <w:b/>
          <w:bCs/>
          <w:sz w:val="24"/>
          <w:szCs w:val="24"/>
        </w:rPr>
        <w:t>S</w:t>
      </w:r>
      <w:r w:rsidRPr="001F4C4B">
        <w:rPr>
          <w:rFonts w:ascii="Times New Roman" w:eastAsia="Calibri" w:hAnsi="Times New Roman" w:cs="Times New Roman"/>
          <w:b/>
          <w:bCs/>
          <w:sz w:val="24"/>
          <w:szCs w:val="24"/>
        </w:rPr>
        <w:t xml:space="preserve">anglaudos politikos fondų (Europos regioninės plėtros fondo ir Europos socialinio fondo) lėšas. </w:t>
      </w:r>
    </w:p>
    <w:p w:rsidR="00456C21" w:rsidRPr="001F4C4B" w:rsidRDefault="00456C21" w:rsidP="00456C21">
      <w:pPr>
        <w:ind w:firstLine="624"/>
        <w:jc w:val="both"/>
        <w:rPr>
          <w:rFonts w:ascii="Times New Roman" w:eastAsia="Calibri" w:hAnsi="Times New Roman" w:cs="Times New Roman"/>
          <w:b/>
          <w:sz w:val="24"/>
          <w:szCs w:val="24"/>
        </w:rPr>
      </w:pPr>
      <w:r w:rsidRPr="001F4C4B">
        <w:rPr>
          <w:rFonts w:ascii="Times New Roman" w:eastAsia="Calibri" w:hAnsi="Times New Roman" w:cs="Times New Roman"/>
          <w:b/>
          <w:sz w:val="24"/>
          <w:szCs w:val="24"/>
        </w:rPr>
        <w:t xml:space="preserve">Lietuvos Respublikos Vyriausybė, reaguodama į koronaviruso </w:t>
      </w:r>
      <w:r w:rsidR="00B2055A" w:rsidRPr="001F4C4B">
        <w:rPr>
          <w:rFonts w:ascii="Times New Roman" w:eastAsia="Calibri" w:hAnsi="Times New Roman" w:cs="Times New Roman"/>
          <w:b/>
          <w:sz w:val="24"/>
          <w:szCs w:val="24"/>
        </w:rPr>
        <w:t xml:space="preserve">keliamą </w:t>
      </w:r>
      <w:r w:rsidRPr="001F4C4B">
        <w:rPr>
          <w:rFonts w:ascii="Times New Roman" w:eastAsia="Calibri" w:hAnsi="Times New Roman" w:cs="Times New Roman"/>
          <w:b/>
          <w:sz w:val="24"/>
          <w:szCs w:val="24"/>
        </w:rPr>
        <w:t>neigiamą poveikį šalies ekonomikai, ir atsižvelgdama į ilgalaikę perspektyvą bei siekdama spartinti investicijas ir nukreipti jas į sektorius, kurie padėtų ekonomikai sparčiau atsigauti, pa</w:t>
      </w:r>
      <w:r w:rsidR="006D03CA" w:rsidRPr="001F4C4B">
        <w:rPr>
          <w:rFonts w:ascii="Times New Roman" w:eastAsia="Calibri" w:hAnsi="Times New Roman" w:cs="Times New Roman"/>
          <w:b/>
          <w:sz w:val="24"/>
          <w:szCs w:val="24"/>
        </w:rPr>
        <w:t>tvirtino</w:t>
      </w:r>
      <w:r w:rsidRPr="001F4C4B">
        <w:rPr>
          <w:rFonts w:ascii="Times New Roman" w:eastAsia="Calibri" w:hAnsi="Times New Roman" w:cs="Times New Roman"/>
          <w:b/>
          <w:sz w:val="24"/>
          <w:szCs w:val="24"/>
        </w:rPr>
        <w:t xml:space="preserve"> Ateities ekonomikos DNR planą. Pagrindinis plano tikslas siekti sparčių ir efektyvių investicijų, kad šalies ekonomika taptų tvari, inovatyvi ir kurtų aukštą pridėtinę vertę.</w:t>
      </w:r>
      <w:r w:rsidRPr="001F4C4B">
        <w:rPr>
          <w:b/>
        </w:rPr>
        <w:t xml:space="preserve"> </w:t>
      </w:r>
      <w:r w:rsidRPr="001F4C4B">
        <w:rPr>
          <w:rFonts w:ascii="Times New Roman" w:eastAsia="Calibri" w:hAnsi="Times New Roman" w:cs="Times New Roman"/>
          <w:b/>
          <w:sz w:val="24"/>
          <w:szCs w:val="24"/>
        </w:rPr>
        <w:t>Šioms ilgalaikio poveikio investicijoms iš viso numatoma skirti 6,3 mlrd. eurų. Jame išskirti 5 prioritetai, į kuriuos siūloma koncentruotis – žmogiškasis kapitalas, skaitmeninė ekonomika ir verslas, inovacijos ir moksliniai tyrimai, ekonominė infrastruktūra bei klimato kaita ir energetika.</w:t>
      </w:r>
    </w:p>
    <w:p w:rsidR="007E7F9B" w:rsidRPr="001F4C4B" w:rsidRDefault="00004AE6" w:rsidP="00B00F2E">
      <w:pPr>
        <w:ind w:firstLine="624"/>
        <w:jc w:val="both"/>
        <w:rPr>
          <w:rFonts w:ascii="Times New Roman" w:eastAsia="Calibri" w:hAnsi="Times New Roman" w:cs="Times New Roman"/>
          <w:b/>
          <w:bCs/>
          <w:sz w:val="24"/>
          <w:szCs w:val="24"/>
        </w:rPr>
      </w:pPr>
      <w:r w:rsidRPr="001F4C4B">
        <w:rPr>
          <w:rFonts w:ascii="Times New Roman" w:eastAsia="Calibri" w:hAnsi="Times New Roman" w:cs="Times New Roman"/>
          <w:b/>
          <w:sz w:val="24"/>
          <w:szCs w:val="24"/>
        </w:rPr>
        <w:t xml:space="preserve">Atsižvelgiant į </w:t>
      </w:r>
      <w:r w:rsidR="006D03CA" w:rsidRPr="001F4C4B">
        <w:rPr>
          <w:rFonts w:ascii="Times New Roman" w:eastAsia="Calibri" w:hAnsi="Times New Roman" w:cs="Times New Roman"/>
          <w:b/>
          <w:bCs/>
          <w:sz w:val="24"/>
          <w:szCs w:val="24"/>
        </w:rPr>
        <w:t>Ateities ekonomikos DNR plan</w:t>
      </w:r>
      <w:r w:rsidRPr="001F4C4B">
        <w:rPr>
          <w:rFonts w:ascii="Times New Roman" w:eastAsia="Calibri" w:hAnsi="Times New Roman" w:cs="Times New Roman"/>
          <w:b/>
          <w:bCs/>
          <w:sz w:val="24"/>
          <w:szCs w:val="24"/>
        </w:rPr>
        <w:t>ą</w:t>
      </w:r>
      <w:r w:rsidR="006D03CA" w:rsidRPr="001F4C4B">
        <w:rPr>
          <w:rFonts w:ascii="Times New Roman" w:eastAsia="Calibri" w:hAnsi="Times New Roman" w:cs="Times New Roman"/>
          <w:b/>
          <w:bCs/>
          <w:sz w:val="24"/>
          <w:szCs w:val="24"/>
        </w:rPr>
        <w:t xml:space="preserve"> ir ES Tarybos rekomendacijas Lietuvai 2020 metams</w:t>
      </w:r>
      <w:r w:rsidR="008B637B">
        <w:rPr>
          <w:rFonts w:ascii="Times New Roman" w:eastAsia="Calibri" w:hAnsi="Times New Roman" w:cs="Times New Roman"/>
          <w:b/>
          <w:bCs/>
          <w:sz w:val="24"/>
          <w:szCs w:val="24"/>
        </w:rPr>
        <w:t xml:space="preserve"> ir Europos pavyzdines iniciatyvas</w:t>
      </w:r>
      <w:r w:rsidRPr="001F4C4B">
        <w:rPr>
          <w:rFonts w:ascii="Times New Roman" w:eastAsia="Calibri" w:hAnsi="Times New Roman" w:cs="Times New Roman"/>
          <w:b/>
          <w:bCs/>
          <w:sz w:val="24"/>
          <w:szCs w:val="24"/>
        </w:rPr>
        <w:t>,</w:t>
      </w:r>
      <w:r w:rsidR="006D03CA" w:rsidRPr="001F4C4B">
        <w:rPr>
          <w:rFonts w:ascii="Times New Roman" w:eastAsia="Calibri" w:hAnsi="Times New Roman" w:cs="Times New Roman"/>
          <w:b/>
          <w:bCs/>
          <w:sz w:val="24"/>
          <w:szCs w:val="24"/>
        </w:rPr>
        <w:t xml:space="preserve"> dvylikt</w:t>
      </w:r>
      <w:r w:rsidRPr="001F4C4B">
        <w:rPr>
          <w:rFonts w:ascii="Times New Roman" w:eastAsia="Calibri" w:hAnsi="Times New Roman" w:cs="Times New Roman"/>
          <w:b/>
          <w:bCs/>
          <w:sz w:val="24"/>
          <w:szCs w:val="24"/>
        </w:rPr>
        <w:t>o</w:t>
      </w:r>
      <w:r w:rsidR="006D03CA" w:rsidRPr="001F4C4B">
        <w:rPr>
          <w:rFonts w:ascii="Times New Roman" w:eastAsia="Calibri" w:hAnsi="Times New Roman" w:cs="Times New Roman"/>
          <w:b/>
          <w:bCs/>
          <w:sz w:val="24"/>
          <w:szCs w:val="24"/>
        </w:rPr>
        <w:t xml:space="preserve"> </w:t>
      </w:r>
      <w:r w:rsidR="0094602D">
        <w:rPr>
          <w:rFonts w:ascii="Times New Roman" w:eastAsia="Calibri" w:hAnsi="Times New Roman" w:cs="Times New Roman"/>
          <w:b/>
          <w:bCs/>
          <w:sz w:val="24"/>
          <w:szCs w:val="24"/>
        </w:rPr>
        <w:t xml:space="preserve">ir trylikto </w:t>
      </w:r>
      <w:r w:rsidR="006D03CA" w:rsidRPr="001F4C4B">
        <w:rPr>
          <w:rFonts w:ascii="Times New Roman" w:eastAsia="Calibri" w:hAnsi="Times New Roman" w:cs="Times New Roman"/>
          <w:b/>
          <w:bCs/>
          <w:sz w:val="24"/>
          <w:szCs w:val="24"/>
        </w:rPr>
        <w:t>temini</w:t>
      </w:r>
      <w:r w:rsidR="0094602D">
        <w:rPr>
          <w:rFonts w:ascii="Times New Roman" w:eastAsia="Calibri" w:hAnsi="Times New Roman" w:cs="Times New Roman"/>
          <w:b/>
          <w:bCs/>
          <w:sz w:val="24"/>
          <w:szCs w:val="24"/>
        </w:rPr>
        <w:t>ų</w:t>
      </w:r>
      <w:r w:rsidR="006D03CA" w:rsidRPr="001F4C4B">
        <w:rPr>
          <w:rFonts w:ascii="Times New Roman" w:eastAsia="Calibri" w:hAnsi="Times New Roman" w:cs="Times New Roman"/>
          <w:b/>
          <w:bCs/>
          <w:sz w:val="24"/>
          <w:szCs w:val="24"/>
        </w:rPr>
        <w:t xml:space="preserve"> tiksl</w:t>
      </w:r>
      <w:r w:rsidR="0094602D">
        <w:rPr>
          <w:rFonts w:ascii="Times New Roman" w:eastAsia="Calibri" w:hAnsi="Times New Roman" w:cs="Times New Roman"/>
          <w:b/>
          <w:bCs/>
          <w:sz w:val="24"/>
          <w:szCs w:val="24"/>
        </w:rPr>
        <w:t>ų</w:t>
      </w:r>
      <w:r w:rsidR="006D03CA" w:rsidRPr="001F4C4B">
        <w:rPr>
          <w:rFonts w:ascii="Times New Roman" w:eastAsia="Calibri" w:hAnsi="Times New Roman" w:cs="Times New Roman"/>
          <w:b/>
          <w:bCs/>
          <w:sz w:val="24"/>
          <w:szCs w:val="24"/>
        </w:rPr>
        <w:t>,</w:t>
      </w:r>
      <w:r w:rsidRPr="001F4C4B">
        <w:rPr>
          <w:rFonts w:ascii="Times New Roman" w:eastAsia="Calibri" w:hAnsi="Times New Roman" w:cs="Times New Roman"/>
          <w:b/>
          <w:bCs/>
          <w:sz w:val="24"/>
          <w:szCs w:val="24"/>
        </w:rPr>
        <w:t xml:space="preserve"> finansuojam</w:t>
      </w:r>
      <w:r w:rsidR="0094602D">
        <w:rPr>
          <w:rFonts w:ascii="Times New Roman" w:eastAsia="Calibri" w:hAnsi="Times New Roman" w:cs="Times New Roman"/>
          <w:b/>
          <w:bCs/>
          <w:sz w:val="24"/>
          <w:szCs w:val="24"/>
        </w:rPr>
        <w:t>ų</w:t>
      </w:r>
      <w:r w:rsidR="00E17BF1" w:rsidRPr="001F4C4B">
        <w:rPr>
          <w:rFonts w:ascii="Times New Roman" w:eastAsia="Calibri" w:hAnsi="Times New Roman" w:cs="Times New Roman"/>
          <w:b/>
          <w:bCs/>
          <w:sz w:val="24"/>
          <w:szCs w:val="24"/>
        </w:rPr>
        <w:t xml:space="preserve"> </w:t>
      </w:r>
      <w:r w:rsidR="0000075D" w:rsidRPr="001F4C4B">
        <w:rPr>
          <w:rFonts w:ascii="Times New Roman" w:hAnsi="Times New Roman" w:cs="Times New Roman"/>
          <w:b/>
          <w:caps/>
          <w:sz w:val="24"/>
          <w:szCs w:val="24"/>
        </w:rPr>
        <w:t>„</w:t>
      </w:r>
      <w:r w:rsidR="00E17BF1" w:rsidRPr="001F4C4B">
        <w:rPr>
          <w:rFonts w:ascii="Times New Roman" w:eastAsia="Calibri" w:hAnsi="Times New Roman" w:cs="Times New Roman"/>
          <w:b/>
          <w:bCs/>
          <w:sz w:val="24"/>
          <w:szCs w:val="24"/>
        </w:rPr>
        <w:t>React–EU</w:t>
      </w:r>
      <w:r w:rsidR="00E17BF1" w:rsidRPr="001F4C4B">
        <w:rPr>
          <w:rFonts w:ascii="Times New Roman" w:hAnsi="Times New Roman" w:cs="Times New Roman"/>
          <w:b/>
          <w:caps/>
          <w:sz w:val="24"/>
          <w:szCs w:val="24"/>
        </w:rPr>
        <w:t>“</w:t>
      </w:r>
      <w:r w:rsidR="006D03CA" w:rsidRPr="001F4C4B">
        <w:rPr>
          <w:rFonts w:ascii="Times New Roman" w:eastAsia="Calibri" w:hAnsi="Times New Roman" w:cs="Times New Roman"/>
          <w:b/>
          <w:bCs/>
          <w:sz w:val="24"/>
          <w:szCs w:val="24"/>
        </w:rPr>
        <w:t xml:space="preserve"> </w:t>
      </w:r>
      <w:r w:rsidRPr="001F4C4B">
        <w:rPr>
          <w:rFonts w:ascii="Times New Roman" w:eastAsia="Calibri" w:hAnsi="Times New Roman" w:cs="Times New Roman"/>
          <w:b/>
          <w:bCs/>
          <w:sz w:val="24"/>
          <w:szCs w:val="24"/>
        </w:rPr>
        <w:t xml:space="preserve">iniciatyvos </w:t>
      </w:r>
      <w:r w:rsidR="00E17BF1" w:rsidRPr="001F4C4B">
        <w:rPr>
          <w:rFonts w:ascii="Times New Roman" w:eastAsia="Calibri" w:hAnsi="Times New Roman" w:cs="Times New Roman"/>
          <w:b/>
          <w:bCs/>
          <w:sz w:val="24"/>
          <w:szCs w:val="24"/>
        </w:rPr>
        <w:t xml:space="preserve">lėšomis, </w:t>
      </w:r>
      <w:r w:rsidR="006D03CA" w:rsidRPr="001F4C4B">
        <w:rPr>
          <w:rFonts w:ascii="Times New Roman" w:eastAsia="Calibri" w:hAnsi="Times New Roman" w:cs="Times New Roman"/>
          <w:b/>
          <w:bCs/>
          <w:sz w:val="24"/>
          <w:szCs w:val="24"/>
        </w:rPr>
        <w:t>investicijos</w:t>
      </w:r>
      <w:r w:rsidRPr="001F4C4B">
        <w:rPr>
          <w:rFonts w:ascii="Times New Roman" w:eastAsia="Calibri" w:hAnsi="Times New Roman" w:cs="Times New Roman"/>
          <w:b/>
          <w:bCs/>
          <w:sz w:val="24"/>
          <w:szCs w:val="24"/>
        </w:rPr>
        <w:t xml:space="preserve"> bus</w:t>
      </w:r>
      <w:r w:rsidR="006D03CA" w:rsidRPr="001F4C4B">
        <w:rPr>
          <w:rFonts w:ascii="Times New Roman" w:eastAsia="Calibri" w:hAnsi="Times New Roman" w:cs="Times New Roman"/>
          <w:b/>
          <w:bCs/>
          <w:sz w:val="24"/>
          <w:szCs w:val="24"/>
        </w:rPr>
        <w:t xml:space="preserve"> skirtos </w:t>
      </w:r>
      <w:r w:rsidR="002E5532" w:rsidRPr="001F4C4B">
        <w:rPr>
          <w:rFonts w:ascii="Times New Roman" w:eastAsia="Calibri" w:hAnsi="Times New Roman" w:cs="Times New Roman"/>
          <w:b/>
          <w:bCs/>
          <w:sz w:val="24"/>
          <w:szCs w:val="24"/>
        </w:rPr>
        <w:t>spręsti</w:t>
      </w:r>
      <w:r w:rsidR="006D03CA" w:rsidRPr="001F4C4B">
        <w:rPr>
          <w:rFonts w:ascii="Times New Roman" w:eastAsia="Calibri" w:hAnsi="Times New Roman" w:cs="Times New Roman"/>
          <w:b/>
          <w:bCs/>
          <w:sz w:val="24"/>
          <w:szCs w:val="24"/>
        </w:rPr>
        <w:t xml:space="preserve"> </w:t>
      </w:r>
      <w:r w:rsidR="002E5532" w:rsidRPr="001F4C4B">
        <w:rPr>
          <w:rFonts w:ascii="Times New Roman" w:eastAsia="Calibri" w:hAnsi="Times New Roman" w:cs="Times New Roman"/>
          <w:b/>
          <w:bCs/>
          <w:sz w:val="24"/>
          <w:szCs w:val="24"/>
        </w:rPr>
        <w:t xml:space="preserve">iššūkius, kilusius dėl COVID-19 pandemijos krizės, susidoroti su socialiniais ir ekonominiais sunkumais, užtikrinti pažangų ekonomikos augimą bei stiprinti jos pasirengimą atremti galimus sukrėtimus ateityje. </w:t>
      </w:r>
    </w:p>
    <w:p w:rsidR="008B637B" w:rsidRPr="008B637B" w:rsidRDefault="001339A9" w:rsidP="008B637B">
      <w:pPr>
        <w:ind w:firstLine="624"/>
        <w:jc w:val="both"/>
        <w:rPr>
          <w:rFonts w:ascii="Times New Roman" w:eastAsia="Calibri" w:hAnsi="Times New Roman" w:cs="Times New Roman"/>
          <w:b/>
          <w:bCs/>
          <w:sz w:val="24"/>
          <w:szCs w:val="24"/>
        </w:rPr>
      </w:pPr>
      <w:r w:rsidRPr="001F4C4B">
        <w:rPr>
          <w:rFonts w:ascii="Times New Roman" w:eastAsia="Calibri" w:hAnsi="Times New Roman" w:cs="Times New Roman"/>
          <w:b/>
          <w:bCs/>
          <w:sz w:val="24"/>
          <w:szCs w:val="24"/>
        </w:rPr>
        <w:t>ES vykstant sparčiai pramonės robotizacijai ir automatizacijai, būtina siekti perėjimo prie skaitmeninės ekonomikos, vystyti mokslinius tyrimus ir inov</w:t>
      </w:r>
      <w:r w:rsidR="00230393" w:rsidRPr="001F4C4B">
        <w:rPr>
          <w:rFonts w:ascii="Times New Roman" w:eastAsia="Calibri" w:hAnsi="Times New Roman" w:cs="Times New Roman"/>
          <w:b/>
          <w:bCs/>
          <w:sz w:val="24"/>
          <w:szCs w:val="24"/>
        </w:rPr>
        <w:t>acijas. Todėl dalis investicijų bus nukreipiama</w:t>
      </w:r>
      <w:r w:rsidRPr="001F4C4B">
        <w:rPr>
          <w:rFonts w:ascii="Times New Roman" w:eastAsia="Calibri" w:hAnsi="Times New Roman" w:cs="Times New Roman"/>
          <w:b/>
          <w:bCs/>
          <w:sz w:val="24"/>
          <w:szCs w:val="24"/>
        </w:rPr>
        <w:t xml:space="preserve"> į įmonių skaitmen</w:t>
      </w:r>
      <w:r w:rsidR="00E210F6" w:rsidRPr="001F4C4B">
        <w:rPr>
          <w:rFonts w:ascii="Times New Roman" w:eastAsia="Calibri" w:hAnsi="Times New Roman" w:cs="Times New Roman"/>
          <w:b/>
          <w:bCs/>
          <w:sz w:val="24"/>
          <w:szCs w:val="24"/>
        </w:rPr>
        <w:t>inimą ir produktyvumo didinimą</w:t>
      </w:r>
      <w:r w:rsidR="0089677D">
        <w:rPr>
          <w:rFonts w:ascii="Times New Roman" w:eastAsia="Calibri" w:hAnsi="Times New Roman" w:cs="Times New Roman"/>
          <w:b/>
          <w:bCs/>
          <w:sz w:val="24"/>
          <w:szCs w:val="24"/>
        </w:rPr>
        <w:t>.</w:t>
      </w:r>
      <w:r w:rsidR="00230393" w:rsidRPr="001F4C4B">
        <w:rPr>
          <w:rFonts w:ascii="Times New Roman" w:eastAsia="Calibri" w:hAnsi="Times New Roman" w:cs="Times New Roman"/>
          <w:b/>
          <w:bCs/>
          <w:sz w:val="24"/>
          <w:szCs w:val="24"/>
        </w:rPr>
        <w:t xml:space="preserve"> Siekiant, eksporto plėtros ir </w:t>
      </w:r>
      <w:r w:rsidR="00CF1492" w:rsidRPr="001F4C4B">
        <w:rPr>
          <w:rFonts w:ascii="Times New Roman" w:eastAsia="Calibri" w:hAnsi="Times New Roman" w:cs="Times New Roman"/>
          <w:b/>
          <w:bCs/>
          <w:sz w:val="24"/>
          <w:szCs w:val="24"/>
        </w:rPr>
        <w:t xml:space="preserve">eksporto rinkų </w:t>
      </w:r>
      <w:r w:rsidR="00230393" w:rsidRPr="001F4C4B">
        <w:rPr>
          <w:rFonts w:ascii="Times New Roman" w:eastAsia="Calibri" w:hAnsi="Times New Roman" w:cs="Times New Roman"/>
          <w:b/>
          <w:bCs/>
          <w:sz w:val="24"/>
          <w:szCs w:val="24"/>
        </w:rPr>
        <w:t>diversifikacijos, verslas bus ska</w:t>
      </w:r>
      <w:r w:rsidR="00B00F2E" w:rsidRPr="001F4C4B">
        <w:rPr>
          <w:rFonts w:ascii="Times New Roman" w:eastAsia="Calibri" w:hAnsi="Times New Roman" w:cs="Times New Roman"/>
          <w:b/>
          <w:bCs/>
          <w:sz w:val="24"/>
          <w:szCs w:val="24"/>
        </w:rPr>
        <w:t>tinamas kurti naujus produktus,</w:t>
      </w:r>
      <w:r w:rsidR="00CF1492" w:rsidRPr="001F4C4B">
        <w:rPr>
          <w:rFonts w:ascii="Times New Roman" w:eastAsia="Calibri" w:hAnsi="Times New Roman" w:cs="Times New Roman"/>
          <w:b/>
          <w:bCs/>
          <w:sz w:val="24"/>
          <w:szCs w:val="24"/>
        </w:rPr>
        <w:t xml:space="preserve"> diegti naujus e-</w:t>
      </w:r>
      <w:r w:rsidR="00230393" w:rsidRPr="001F4C4B">
        <w:rPr>
          <w:rFonts w:ascii="Times New Roman" w:eastAsia="Calibri" w:hAnsi="Times New Roman" w:cs="Times New Roman"/>
          <w:b/>
          <w:bCs/>
          <w:sz w:val="24"/>
          <w:szCs w:val="24"/>
        </w:rPr>
        <w:t>verslo modelius</w:t>
      </w:r>
      <w:r w:rsidR="00CF1492" w:rsidRPr="001F4C4B">
        <w:rPr>
          <w:rFonts w:ascii="Times New Roman" w:eastAsia="Calibri" w:hAnsi="Times New Roman" w:cs="Times New Roman"/>
          <w:b/>
          <w:bCs/>
          <w:sz w:val="24"/>
          <w:szCs w:val="24"/>
        </w:rPr>
        <w:t>, įsigyti ir diegtis originalius paslaugų sprendimus (netechnologines inovacijas)</w:t>
      </w:r>
      <w:r w:rsidR="00230393" w:rsidRPr="001F4C4B">
        <w:rPr>
          <w:rFonts w:ascii="Times New Roman" w:eastAsia="Calibri" w:hAnsi="Times New Roman" w:cs="Times New Roman"/>
          <w:b/>
          <w:bCs/>
          <w:sz w:val="24"/>
          <w:szCs w:val="24"/>
        </w:rPr>
        <w:t xml:space="preserve">. </w:t>
      </w:r>
      <w:r w:rsidR="00E210F6" w:rsidRPr="001F4C4B">
        <w:rPr>
          <w:rFonts w:ascii="Times New Roman" w:eastAsia="Calibri" w:hAnsi="Times New Roman" w:cs="Times New Roman"/>
          <w:b/>
          <w:bCs/>
          <w:sz w:val="24"/>
          <w:szCs w:val="24"/>
        </w:rPr>
        <w:t xml:space="preserve">Ypatingas dėmesys bus skiriamas mokslo ir studijų </w:t>
      </w:r>
      <w:r w:rsidR="003D14F7" w:rsidRPr="001F4C4B">
        <w:rPr>
          <w:rFonts w:ascii="Times New Roman" w:eastAsia="Calibri" w:hAnsi="Times New Roman" w:cs="Times New Roman"/>
          <w:b/>
          <w:bCs/>
          <w:sz w:val="24"/>
          <w:szCs w:val="24"/>
        </w:rPr>
        <w:t>institucijų bei</w:t>
      </w:r>
      <w:r w:rsidR="00E210F6" w:rsidRPr="001F4C4B">
        <w:rPr>
          <w:rFonts w:ascii="Times New Roman" w:eastAsia="Calibri" w:hAnsi="Times New Roman" w:cs="Times New Roman"/>
          <w:b/>
          <w:bCs/>
          <w:sz w:val="24"/>
          <w:szCs w:val="24"/>
        </w:rPr>
        <w:t xml:space="preserve"> įm</w:t>
      </w:r>
      <w:r w:rsidR="009755B7" w:rsidRPr="001F4C4B">
        <w:rPr>
          <w:rFonts w:ascii="Times New Roman" w:eastAsia="Calibri" w:hAnsi="Times New Roman" w:cs="Times New Roman"/>
          <w:b/>
          <w:bCs/>
          <w:sz w:val="24"/>
          <w:szCs w:val="24"/>
        </w:rPr>
        <w:t>onių bendradarbiavimui vykdant b</w:t>
      </w:r>
      <w:r w:rsidR="00E210F6" w:rsidRPr="001F4C4B">
        <w:rPr>
          <w:rFonts w:ascii="Times New Roman" w:eastAsia="Calibri" w:hAnsi="Times New Roman" w:cs="Times New Roman"/>
          <w:b/>
          <w:bCs/>
          <w:sz w:val="24"/>
          <w:szCs w:val="24"/>
        </w:rPr>
        <w:t>endr</w:t>
      </w:r>
      <w:r w:rsidR="003D14F7" w:rsidRPr="001F4C4B">
        <w:rPr>
          <w:rFonts w:ascii="Times New Roman" w:eastAsia="Calibri" w:hAnsi="Times New Roman" w:cs="Times New Roman"/>
          <w:b/>
          <w:bCs/>
          <w:sz w:val="24"/>
          <w:szCs w:val="24"/>
        </w:rPr>
        <w:t>ą</w:t>
      </w:r>
      <w:r w:rsidR="00E210F6" w:rsidRPr="001F4C4B">
        <w:rPr>
          <w:rFonts w:ascii="Times New Roman" w:eastAsia="Calibri" w:hAnsi="Times New Roman" w:cs="Times New Roman"/>
          <w:b/>
          <w:bCs/>
          <w:sz w:val="24"/>
          <w:szCs w:val="24"/>
        </w:rPr>
        <w:t xml:space="preserve"> </w:t>
      </w:r>
      <w:r w:rsidR="005740FF">
        <w:rPr>
          <w:rFonts w:ascii="Times New Roman" w:eastAsia="Calibri" w:hAnsi="Times New Roman" w:cs="Times New Roman"/>
          <w:b/>
          <w:bCs/>
          <w:sz w:val="24"/>
          <w:szCs w:val="24"/>
        </w:rPr>
        <w:t>MT</w:t>
      </w:r>
      <w:r w:rsidR="003D14F7" w:rsidRPr="001F4C4B">
        <w:rPr>
          <w:rFonts w:ascii="Times New Roman" w:eastAsia="Calibri" w:hAnsi="Times New Roman" w:cs="Times New Roman"/>
          <w:b/>
          <w:bCs/>
          <w:sz w:val="24"/>
          <w:szCs w:val="24"/>
        </w:rPr>
        <w:t>EP veiklą</w:t>
      </w:r>
      <w:r w:rsidR="00E210F6" w:rsidRPr="001F4C4B">
        <w:rPr>
          <w:rFonts w:ascii="Times New Roman" w:eastAsia="Calibri" w:hAnsi="Times New Roman" w:cs="Times New Roman"/>
          <w:b/>
          <w:bCs/>
          <w:sz w:val="24"/>
          <w:szCs w:val="24"/>
        </w:rPr>
        <w:t xml:space="preserve"> ir komerci</w:t>
      </w:r>
      <w:r w:rsidR="009755B7" w:rsidRPr="001F4C4B">
        <w:rPr>
          <w:rFonts w:ascii="Times New Roman" w:eastAsia="Calibri" w:hAnsi="Times New Roman" w:cs="Times New Roman"/>
          <w:b/>
          <w:bCs/>
          <w:sz w:val="24"/>
          <w:szCs w:val="24"/>
        </w:rPr>
        <w:t xml:space="preserve">alizuojant sprendimus gyvybės mokslų bei inžinerinės pramonės srityse. Sveikatos apsaugos sistema bus stiprinama vystant </w:t>
      </w:r>
      <w:r w:rsidR="0084551D" w:rsidRPr="001F4C4B">
        <w:rPr>
          <w:rFonts w:ascii="Times New Roman" w:eastAsia="Calibri" w:hAnsi="Times New Roman" w:cs="Times New Roman"/>
          <w:b/>
          <w:bCs/>
          <w:sz w:val="24"/>
          <w:szCs w:val="24"/>
        </w:rPr>
        <w:t xml:space="preserve">kritinę </w:t>
      </w:r>
      <w:r w:rsidR="00B00F2E" w:rsidRPr="001F4C4B">
        <w:rPr>
          <w:rFonts w:ascii="Times New Roman" w:eastAsia="Calibri" w:hAnsi="Times New Roman" w:cs="Times New Roman"/>
          <w:b/>
          <w:bCs/>
          <w:sz w:val="24"/>
          <w:szCs w:val="24"/>
        </w:rPr>
        <w:t>inovacijų infrastruktūrą ir</w:t>
      </w:r>
      <w:r w:rsidR="00F96132" w:rsidRPr="001F4C4B">
        <w:rPr>
          <w:rFonts w:ascii="Times New Roman" w:eastAsia="Calibri" w:hAnsi="Times New Roman" w:cs="Times New Roman"/>
          <w:b/>
          <w:bCs/>
          <w:sz w:val="24"/>
          <w:szCs w:val="24"/>
        </w:rPr>
        <w:t xml:space="preserve"> </w:t>
      </w:r>
      <w:r w:rsidR="00B00F2E" w:rsidRPr="001F4C4B">
        <w:rPr>
          <w:rFonts w:ascii="Times New Roman" w:eastAsia="Calibri" w:hAnsi="Times New Roman" w:cs="Times New Roman"/>
          <w:b/>
          <w:bCs/>
          <w:sz w:val="24"/>
          <w:szCs w:val="24"/>
        </w:rPr>
        <w:t>skaitmeninius</w:t>
      </w:r>
      <w:r w:rsidR="009755B7" w:rsidRPr="001F4C4B">
        <w:rPr>
          <w:rFonts w:ascii="Times New Roman" w:eastAsia="Calibri" w:hAnsi="Times New Roman" w:cs="Times New Roman"/>
          <w:b/>
          <w:bCs/>
          <w:sz w:val="24"/>
          <w:szCs w:val="24"/>
        </w:rPr>
        <w:t xml:space="preserve"> medicinos sprendimus.</w:t>
      </w:r>
      <w:r w:rsidR="008B637B">
        <w:rPr>
          <w:rFonts w:ascii="Times New Roman" w:eastAsia="Calibri" w:hAnsi="Times New Roman" w:cs="Times New Roman"/>
          <w:b/>
          <w:bCs/>
          <w:sz w:val="24"/>
          <w:szCs w:val="24"/>
        </w:rPr>
        <w:t xml:space="preserve"> Šios investicijos bus finansuojamos ERPF lėšomis pagal dvyliktą teminį tikslą. J</w:t>
      </w:r>
      <w:r w:rsidR="008B637B" w:rsidRPr="001F4C4B">
        <w:rPr>
          <w:rFonts w:ascii="Times New Roman" w:eastAsia="Calibri" w:hAnsi="Times New Roman" w:cs="Times New Roman"/>
          <w:b/>
          <w:bCs/>
          <w:sz w:val="24"/>
          <w:szCs w:val="24"/>
        </w:rPr>
        <w:t xml:space="preserve">o investicijos taip pat prisidės prie Europos žaliojo kurso bei Jungtinių Tautų Darnaus vystymosi klimato ir energetikos srities tikslų, nes investicijos bus koncentruojamos energijos </w:t>
      </w:r>
      <w:r w:rsidR="006B25FD">
        <w:rPr>
          <w:rFonts w:ascii="Times New Roman" w:eastAsia="Calibri" w:hAnsi="Times New Roman" w:cs="Times New Roman"/>
          <w:b/>
          <w:bCs/>
          <w:sz w:val="24"/>
          <w:szCs w:val="24"/>
        </w:rPr>
        <w:t>efektyvumo</w:t>
      </w:r>
      <w:r w:rsidR="008B637B" w:rsidRPr="001F4C4B">
        <w:rPr>
          <w:rFonts w:ascii="Times New Roman" w:eastAsia="Calibri" w:hAnsi="Times New Roman" w:cs="Times New Roman"/>
          <w:b/>
          <w:bCs/>
          <w:sz w:val="24"/>
          <w:szCs w:val="24"/>
        </w:rPr>
        <w:t xml:space="preserve"> didinim</w:t>
      </w:r>
      <w:r w:rsidR="006B25FD">
        <w:rPr>
          <w:rFonts w:ascii="Times New Roman" w:eastAsia="Calibri" w:hAnsi="Times New Roman" w:cs="Times New Roman"/>
          <w:b/>
          <w:bCs/>
          <w:sz w:val="24"/>
          <w:szCs w:val="24"/>
        </w:rPr>
        <w:t>ui – b</w:t>
      </w:r>
      <w:r w:rsidR="008B637B" w:rsidRPr="001F4C4B">
        <w:rPr>
          <w:rFonts w:ascii="Times New Roman" w:eastAsia="Calibri" w:hAnsi="Times New Roman" w:cs="Times New Roman"/>
          <w:b/>
          <w:bCs/>
          <w:sz w:val="24"/>
          <w:szCs w:val="24"/>
        </w:rPr>
        <w:t>us finansuojama viešųjų pastatų renovacija</w:t>
      </w:r>
      <w:r w:rsidR="008B637B" w:rsidRPr="005740FF">
        <w:rPr>
          <w:rFonts w:ascii="Times New Roman" w:eastAsia="Calibri" w:hAnsi="Times New Roman" w:cs="Times New Roman"/>
          <w:b/>
          <w:bCs/>
          <w:sz w:val="24"/>
          <w:szCs w:val="24"/>
        </w:rPr>
        <w:t xml:space="preserve">. </w:t>
      </w:r>
    </w:p>
    <w:p w:rsidR="00B042A2" w:rsidRPr="00B042A2" w:rsidRDefault="0094602D" w:rsidP="00B042A2">
      <w:pPr>
        <w:ind w:firstLine="624"/>
        <w:jc w:val="both"/>
        <w:rPr>
          <w:rFonts w:ascii="Times New Roman" w:eastAsia="Calibri" w:hAnsi="Times New Roman" w:cs="Times New Roman"/>
          <w:b/>
          <w:bCs/>
          <w:sz w:val="24"/>
          <w:szCs w:val="24"/>
        </w:rPr>
      </w:pPr>
      <w:r w:rsidRPr="001F4C4B">
        <w:rPr>
          <w:rFonts w:ascii="Times New Roman" w:eastAsia="Calibri" w:hAnsi="Times New Roman" w:cs="Times New Roman"/>
          <w:b/>
          <w:bCs/>
          <w:sz w:val="24"/>
          <w:szCs w:val="24"/>
        </w:rPr>
        <w:t xml:space="preserve">Pagal </w:t>
      </w:r>
      <w:r>
        <w:rPr>
          <w:rFonts w:ascii="Times New Roman" w:eastAsia="Calibri" w:hAnsi="Times New Roman" w:cs="Times New Roman"/>
          <w:b/>
          <w:bCs/>
          <w:sz w:val="24"/>
          <w:szCs w:val="24"/>
        </w:rPr>
        <w:t>tryliktą</w:t>
      </w:r>
      <w:r w:rsidRPr="001F4C4B">
        <w:rPr>
          <w:rFonts w:ascii="Times New Roman" w:eastAsia="Calibri" w:hAnsi="Times New Roman" w:cs="Times New Roman"/>
          <w:b/>
          <w:bCs/>
          <w:sz w:val="24"/>
          <w:szCs w:val="24"/>
        </w:rPr>
        <w:t xml:space="preserve"> </w:t>
      </w:r>
      <w:r w:rsidR="008B637B">
        <w:rPr>
          <w:rFonts w:ascii="Times New Roman" w:eastAsia="Calibri" w:hAnsi="Times New Roman" w:cs="Times New Roman"/>
          <w:b/>
          <w:bCs/>
          <w:sz w:val="24"/>
          <w:szCs w:val="24"/>
        </w:rPr>
        <w:t xml:space="preserve">teminį </w:t>
      </w:r>
      <w:r w:rsidRPr="001F4C4B">
        <w:rPr>
          <w:rFonts w:ascii="Times New Roman" w:eastAsia="Calibri" w:hAnsi="Times New Roman" w:cs="Times New Roman"/>
          <w:b/>
          <w:bCs/>
          <w:sz w:val="24"/>
          <w:szCs w:val="24"/>
        </w:rPr>
        <w:t xml:space="preserve">tikslą </w:t>
      </w:r>
      <w:r w:rsidR="008B637B">
        <w:rPr>
          <w:rFonts w:ascii="Times New Roman" w:eastAsia="Calibri" w:hAnsi="Times New Roman" w:cs="Times New Roman"/>
          <w:b/>
          <w:bCs/>
          <w:sz w:val="24"/>
          <w:szCs w:val="24"/>
        </w:rPr>
        <w:t xml:space="preserve">ESF lėšomis </w:t>
      </w:r>
      <w:r w:rsidRPr="001F4C4B">
        <w:rPr>
          <w:rFonts w:ascii="Times New Roman" w:eastAsia="Calibri" w:hAnsi="Times New Roman" w:cs="Times New Roman"/>
          <w:b/>
          <w:bCs/>
          <w:sz w:val="24"/>
          <w:szCs w:val="24"/>
        </w:rPr>
        <w:t xml:space="preserve">bus finansuojamos </w:t>
      </w:r>
      <w:r w:rsidR="006B25FD">
        <w:rPr>
          <w:rFonts w:ascii="Times New Roman" w:eastAsia="Calibri" w:hAnsi="Times New Roman" w:cs="Times New Roman"/>
          <w:b/>
          <w:bCs/>
          <w:sz w:val="24"/>
          <w:szCs w:val="24"/>
        </w:rPr>
        <w:t>aktyvio</w:t>
      </w:r>
      <w:r w:rsidRPr="001F4C4B">
        <w:rPr>
          <w:rFonts w:ascii="Times New Roman" w:eastAsia="Calibri" w:hAnsi="Times New Roman" w:cs="Times New Roman"/>
          <w:b/>
          <w:bCs/>
          <w:sz w:val="24"/>
          <w:szCs w:val="24"/>
        </w:rPr>
        <w:t>s</w:t>
      </w:r>
      <w:r w:rsidR="006B25FD">
        <w:rPr>
          <w:rFonts w:ascii="Times New Roman" w:eastAsia="Calibri" w:hAnsi="Times New Roman" w:cs="Times New Roman"/>
          <w:b/>
          <w:bCs/>
          <w:sz w:val="24"/>
          <w:szCs w:val="24"/>
        </w:rPr>
        <w:t xml:space="preserve"> darbo rinkos politikos priemonė</w:t>
      </w:r>
      <w:r w:rsidRPr="001F4C4B">
        <w:rPr>
          <w:rFonts w:ascii="Times New Roman" w:eastAsia="Calibri" w:hAnsi="Times New Roman" w:cs="Times New Roman"/>
          <w:b/>
          <w:bCs/>
          <w:sz w:val="24"/>
          <w:szCs w:val="24"/>
        </w:rPr>
        <w:t>s</w:t>
      </w:r>
      <w:r w:rsidR="006B25FD">
        <w:rPr>
          <w:rFonts w:ascii="Times New Roman" w:eastAsia="Calibri" w:hAnsi="Times New Roman" w:cs="Times New Roman"/>
          <w:b/>
          <w:bCs/>
          <w:sz w:val="24"/>
          <w:szCs w:val="24"/>
        </w:rPr>
        <w:t>. Greitas darbo jėgos perkvalifikavimas</w:t>
      </w:r>
      <w:r w:rsidRPr="001F4C4B">
        <w:rPr>
          <w:rFonts w:ascii="Times New Roman" w:eastAsia="Calibri" w:hAnsi="Times New Roman" w:cs="Times New Roman"/>
          <w:b/>
          <w:bCs/>
          <w:sz w:val="24"/>
          <w:szCs w:val="24"/>
        </w:rPr>
        <w:t xml:space="preserve"> prisitaikant prie nuolat kintančių rinkos poreikių</w:t>
      </w:r>
      <w:r w:rsidR="006B25FD">
        <w:rPr>
          <w:rFonts w:ascii="Times New Roman" w:eastAsia="Calibri" w:hAnsi="Times New Roman" w:cs="Times New Roman"/>
          <w:b/>
          <w:bCs/>
          <w:sz w:val="24"/>
          <w:szCs w:val="24"/>
        </w:rPr>
        <w:t>,</w:t>
      </w:r>
      <w:r w:rsidRPr="001F4C4B">
        <w:rPr>
          <w:rFonts w:ascii="Times New Roman" w:eastAsia="Calibri" w:hAnsi="Times New Roman" w:cs="Times New Roman"/>
          <w:b/>
          <w:bCs/>
          <w:sz w:val="24"/>
          <w:szCs w:val="24"/>
        </w:rPr>
        <w:t xml:space="preserve"> turės teigiamą poveikį sprendžiant nedarbo problemas, didins po kar</w:t>
      </w:r>
      <w:r>
        <w:rPr>
          <w:rFonts w:ascii="Times New Roman" w:eastAsia="Calibri" w:hAnsi="Times New Roman" w:cs="Times New Roman"/>
          <w:b/>
          <w:bCs/>
          <w:sz w:val="24"/>
          <w:szCs w:val="24"/>
        </w:rPr>
        <w:t>antino neproduktyviai dirbančių</w:t>
      </w:r>
      <w:r w:rsidRPr="001F4C4B">
        <w:rPr>
          <w:rFonts w:ascii="Times New Roman" w:eastAsia="Calibri" w:hAnsi="Times New Roman" w:cs="Times New Roman"/>
          <w:b/>
          <w:bCs/>
          <w:sz w:val="24"/>
          <w:szCs w:val="24"/>
        </w:rPr>
        <w:t xml:space="preserve"> žmogiškųjų išteklių konkurencingumą</w:t>
      </w:r>
      <w:r>
        <w:rPr>
          <w:rFonts w:ascii="Times New Roman" w:eastAsia="Calibri" w:hAnsi="Times New Roman" w:cs="Times New Roman"/>
          <w:b/>
          <w:bCs/>
          <w:sz w:val="24"/>
          <w:szCs w:val="24"/>
        </w:rPr>
        <w:t>,</w:t>
      </w:r>
      <w:r w:rsidRPr="001F4C4B">
        <w:rPr>
          <w:rFonts w:ascii="Times New Roman" w:eastAsia="Calibri" w:hAnsi="Times New Roman" w:cs="Times New Roman"/>
          <w:b/>
          <w:bCs/>
          <w:sz w:val="24"/>
          <w:szCs w:val="24"/>
        </w:rPr>
        <w:t xml:space="preserve"> </w:t>
      </w:r>
      <w:proofErr w:type="gramStart"/>
      <w:r w:rsidRPr="001F4C4B">
        <w:rPr>
          <w:rFonts w:ascii="Times New Roman" w:eastAsia="Calibri" w:hAnsi="Times New Roman" w:cs="Times New Roman"/>
          <w:b/>
          <w:bCs/>
          <w:sz w:val="24"/>
          <w:szCs w:val="24"/>
        </w:rPr>
        <w:t>labiau kvalifikuotą</w:t>
      </w:r>
      <w:proofErr w:type="gramEnd"/>
      <w:r w:rsidRPr="001F4C4B">
        <w:rPr>
          <w:rFonts w:ascii="Times New Roman" w:eastAsia="Calibri" w:hAnsi="Times New Roman" w:cs="Times New Roman"/>
          <w:b/>
          <w:bCs/>
          <w:sz w:val="24"/>
          <w:szCs w:val="24"/>
        </w:rPr>
        <w:t xml:space="preserve"> darbo jėgą pritrauk</w:t>
      </w:r>
      <w:r w:rsidR="006B25FD">
        <w:rPr>
          <w:rFonts w:ascii="Times New Roman" w:eastAsia="Calibri" w:hAnsi="Times New Roman" w:cs="Times New Roman"/>
          <w:b/>
          <w:bCs/>
          <w:sz w:val="24"/>
          <w:szCs w:val="24"/>
        </w:rPr>
        <w:t>iant į įvairius ūkio sektorius.</w:t>
      </w:r>
    </w:p>
    <w:p w:rsidR="00C90FF2" w:rsidRPr="00024D95" w:rsidRDefault="00C90FF2" w:rsidP="00C90FF2">
      <w:pPr>
        <w:widowControl w:val="0"/>
        <w:shd w:val="clear" w:color="auto" w:fill="FFFFFF"/>
        <w:spacing w:before="240" w:after="240"/>
        <w:jc w:val="both"/>
        <w:textAlignment w:val="baseline"/>
        <w:rPr>
          <w:rFonts w:ascii="Times New Roman" w:hAnsi="Times New Roman" w:cs="Times New Roman"/>
          <w:b/>
          <w:sz w:val="24"/>
          <w:szCs w:val="24"/>
        </w:rPr>
      </w:pPr>
      <w:r w:rsidRPr="00024D95">
        <w:rPr>
          <w:rFonts w:ascii="Times New Roman" w:hAnsi="Times New Roman" w:cs="Times New Roman"/>
          <w:b/>
          <w:sz w:val="24"/>
          <w:szCs w:val="24"/>
        </w:rPr>
        <w:t>Tausiu išteklių naudojimu paremtas augimas</w:t>
      </w:r>
    </w:p>
    <w:p w:rsidR="00C90FF2" w:rsidRP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t xml:space="preserve">Lietuvos ūkio šerdį sudaro smulkios ir vidutinės įmonės, kurių būklė ir gebėjimas įsijungti į struktūrinius ūkio pokyčius turės tiesioginį poveikį ne tik ūkio, užimtumo augimui, bet ir socialinei sanglaudai. Lietuvoje verslumo lygis itin atsilieka nuo ES vidurkio, o mažos ir atviros ekonomikos pobūdis sąlygoja plėtros siekiančioms smulkiojo ir vidutinio verslo (SVV) įmonėms neišvengiamą poreikį aktyviau įsijungti į vietines ir tarptautines vertės kūrimo grandines, aktyviai taikyti organizacines ir </w:t>
      </w:r>
      <w:r w:rsidRPr="00C90FF2">
        <w:rPr>
          <w:rFonts w:ascii="Times New Roman" w:eastAsia="Calibri" w:hAnsi="Times New Roman" w:cs="Times New Roman"/>
          <w:sz w:val="24"/>
          <w:szCs w:val="24"/>
        </w:rPr>
        <w:lastRenderedPageBreak/>
        <w:t xml:space="preserve">rinkodaros inovacijas, kurių šalies versle vis dar trūksta. Tuo tikslu pagal </w:t>
      </w:r>
      <w:r w:rsidRPr="00C90FF2">
        <w:rPr>
          <w:rFonts w:ascii="Times New Roman" w:eastAsia="Calibri" w:hAnsi="Times New Roman" w:cs="Times New Roman"/>
          <w:b/>
          <w:sz w:val="24"/>
          <w:szCs w:val="24"/>
        </w:rPr>
        <w:t>trečią teminį tikslą</w:t>
      </w:r>
      <w:r w:rsidRPr="00C90FF2">
        <w:rPr>
          <w:rFonts w:ascii="Times New Roman" w:eastAsia="Calibri" w:hAnsi="Times New Roman" w:cs="Times New Roman"/>
          <w:sz w:val="24"/>
          <w:szCs w:val="24"/>
        </w:rPr>
        <w:t xml:space="preserve"> bus siekiama pagerinti sąlygas verslo pradžiai ir tolesnei įmonių plėtrai, tarptautiniam konkurencingumui stiprinti. Kartu su įvairiomis reguliacinėmis ir mokestinėmis priemonėmis, kurios veikia verslo sąlygas, svarbus veiksnys verslo plėtrai yra ir verslo paramos ir inovacijų skatinimo sistema. Numatoma investuoti į SVV paramos ir inovacijų sklaidos sistemos tobulinimą, verslo bendradarbiavimo skatinimą ir priėjimo prie finansų gerinimą. Bus siekiama pagerinti teikiamų paslaugų kokybę, užtikrinti prieinamumą visoje Lietuvoje, perimant geriausią kitų valstybių patirtį bei teikiant įmonėms ir asmenims, ketinantiems pradėti verslą, tiek tiesioginę, tiek netiesioginę paramą, taip pat užtikrinti geresnį prieinamumą prie finansavimo šaltinių, ypač pradedantiems verslą bei diegiantiems inovacijas. Jau esamo SVV tolimesnei plėtrai užtikrinti siekiama esminio pokyčio aktyviau įsijungti į vietines ir tarptautines vertės kūrimo grandines bei plačiau taikyti proceso, organizacines ir rinkodaros inovacijas.</w:t>
      </w:r>
    </w:p>
    <w:p w:rsidR="00C90FF2" w:rsidRP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t xml:space="preserve">Gamtos ištekliai, kuriais neišvengiamai remiasi Lietuvos, Europos ir pasaulio veikimas, tampa vis </w:t>
      </w:r>
      <w:proofErr w:type="gramStart"/>
      <w:r w:rsidRPr="00C90FF2">
        <w:rPr>
          <w:rFonts w:ascii="Times New Roman" w:eastAsia="Calibri" w:hAnsi="Times New Roman" w:cs="Times New Roman"/>
          <w:sz w:val="24"/>
          <w:szCs w:val="24"/>
        </w:rPr>
        <w:t>labiau riboti</w:t>
      </w:r>
      <w:proofErr w:type="gramEnd"/>
      <w:r w:rsidRPr="00C90FF2">
        <w:rPr>
          <w:rFonts w:ascii="Times New Roman" w:eastAsia="Calibri" w:hAnsi="Times New Roman" w:cs="Times New Roman"/>
          <w:sz w:val="24"/>
          <w:szCs w:val="24"/>
        </w:rPr>
        <w:t>, todėl ilgalaikėje perspektyvoje įmanomas tik tausiu išteklių naudojimu paremtas augimas. Šis apribojimas ir poreikis pereiti prie k</w:t>
      </w:r>
      <w:r w:rsidRPr="00C90FF2">
        <w:rPr>
          <w:rFonts w:ascii="Times New Roman" w:eastAsia="Calibri" w:hAnsi="Times New Roman" w:cs="Times New Roman"/>
          <w:color w:val="000000"/>
          <w:sz w:val="24"/>
          <w:szCs w:val="24"/>
          <w:shd w:val="clear" w:color="auto" w:fill="FFFFFF"/>
        </w:rPr>
        <w:t xml:space="preserve">onkurencingos mažo CO2 kiekio technologijų ekonomikos </w:t>
      </w:r>
      <w:r w:rsidRPr="00C90FF2">
        <w:rPr>
          <w:rFonts w:ascii="Times New Roman" w:eastAsia="Calibri" w:hAnsi="Times New Roman" w:cs="Times New Roman"/>
          <w:sz w:val="24"/>
          <w:szCs w:val="24"/>
        </w:rPr>
        <w:t xml:space="preserve">kartu sąlygoja ir papildomas galimybes naujovių kūrimui ir diegimui. Dideliu energijos intensyvumu pasižyminčiam Lietuvos ūkiui būtini pokyčiai, didinant energijos vartojimo efektyvumą ir alternatyvių energijos išteklių (AIE) naudojimą, bei jų dalį pirminės energijos balanse: tai pagrindinis pagal </w:t>
      </w:r>
      <w:r w:rsidRPr="00C90FF2">
        <w:rPr>
          <w:rFonts w:ascii="Times New Roman" w:eastAsia="Calibri" w:hAnsi="Times New Roman" w:cs="Times New Roman"/>
          <w:b/>
          <w:sz w:val="24"/>
          <w:szCs w:val="24"/>
        </w:rPr>
        <w:t>ketvirtą teminį tikslą</w:t>
      </w:r>
      <w:r w:rsidRPr="00C90FF2">
        <w:rPr>
          <w:rFonts w:ascii="Times New Roman" w:eastAsia="Calibri" w:hAnsi="Times New Roman" w:cs="Times New Roman"/>
          <w:sz w:val="24"/>
          <w:szCs w:val="24"/>
        </w:rPr>
        <w:t xml:space="preserve"> numatomų investicijų tikslas. Jo įgyvendinimas padėtų spręsti ne tik klimato kaitos ir aplinkosaugos, bet ir energijos tiekimo saugumo iššūkius. </w:t>
      </w:r>
      <w:r w:rsidRPr="00C90FF2">
        <w:rPr>
          <w:rFonts w:ascii="Times New Roman" w:eastAsia="Calibri" w:hAnsi="Times New Roman" w:cs="Times New Roman"/>
          <w:color w:val="000000"/>
          <w:sz w:val="24"/>
          <w:szCs w:val="24"/>
        </w:rPr>
        <w:t xml:space="preserve">Teikiant tiesioginę paramą didelio naudingumo kogeneracijos technologijų diegimui, numatoma efektyviai naudojant biokurą kelis kartus padidinti iš AEI generuojamos </w:t>
      </w:r>
      <w:proofErr w:type="spellStart"/>
      <w:r w:rsidRPr="00C90FF2">
        <w:rPr>
          <w:rFonts w:ascii="Times New Roman" w:eastAsia="Calibri" w:hAnsi="Times New Roman" w:cs="Times New Roman"/>
          <w:color w:val="000000"/>
          <w:sz w:val="24"/>
          <w:szCs w:val="24"/>
        </w:rPr>
        <w:t>centralizuotosai</w:t>
      </w:r>
      <w:proofErr w:type="spellEnd"/>
      <w:r w:rsidRPr="00C90FF2">
        <w:rPr>
          <w:rFonts w:ascii="Times New Roman" w:eastAsia="Calibri" w:hAnsi="Times New Roman" w:cs="Times New Roman"/>
          <w:color w:val="000000"/>
          <w:sz w:val="24"/>
          <w:szCs w:val="24"/>
        </w:rPr>
        <w:t xml:space="preserve"> tiekiamos šilumos dalį ar padidinti verslo savo poreikiams generuojamos energijos kiekius; o investuojant į viešųjų ir gyvenamųjų pastatų energetinį efektyvumą tikimasi sutaupyti iki trečdalio šilumos energijos.</w:t>
      </w:r>
      <w:r w:rsidRPr="00C90FF2">
        <w:rPr>
          <w:rFonts w:ascii="Times New Roman" w:eastAsia="Calibri" w:hAnsi="Times New Roman" w:cs="Times New Roman"/>
          <w:sz w:val="24"/>
          <w:szCs w:val="24"/>
        </w:rPr>
        <w:t xml:space="preserve"> Norint ribotomis lėšomis pasiekti, kuo platesnį objektų skaičių, numatomas aktyvus energijos taupymo paslaugas teikiančių tarpininkų vaidmuo.</w:t>
      </w:r>
    </w:p>
    <w:p w:rsidR="00C90FF2" w:rsidRPr="00C90FF2" w:rsidRDefault="00C90FF2" w:rsidP="00C90FF2">
      <w:pPr>
        <w:ind w:firstLine="624"/>
        <w:jc w:val="both"/>
        <w:rPr>
          <w:rFonts w:ascii="Times New Roman" w:hAnsi="Times New Roman" w:cs="Times New Roman"/>
          <w:sz w:val="24"/>
          <w:szCs w:val="24"/>
          <w:lang w:eastAsia="lt-LT"/>
        </w:rPr>
      </w:pPr>
      <w:r w:rsidRPr="00C90FF2">
        <w:rPr>
          <w:rFonts w:ascii="Times New Roman" w:eastAsia="Calibri" w:hAnsi="Times New Roman" w:cs="Times New Roman"/>
          <w:sz w:val="24"/>
          <w:szCs w:val="24"/>
        </w:rPr>
        <w:t xml:space="preserve">Pagal </w:t>
      </w:r>
      <w:r w:rsidRPr="00C90FF2">
        <w:rPr>
          <w:rFonts w:ascii="Times New Roman" w:eastAsia="Calibri" w:hAnsi="Times New Roman" w:cs="Times New Roman"/>
          <w:b/>
          <w:sz w:val="24"/>
          <w:szCs w:val="24"/>
        </w:rPr>
        <w:t xml:space="preserve">penktą teminį tikslą </w:t>
      </w:r>
      <w:r w:rsidRPr="00C90FF2">
        <w:rPr>
          <w:rFonts w:ascii="Times New Roman" w:eastAsia="Calibri" w:hAnsi="Times New Roman" w:cs="Times New Roman"/>
          <w:sz w:val="24"/>
          <w:szCs w:val="24"/>
        </w:rPr>
        <w:t>bus</w:t>
      </w:r>
      <w:r w:rsidRPr="00C90FF2">
        <w:rPr>
          <w:rFonts w:ascii="Times New Roman" w:eastAsia="Calibri" w:hAnsi="Times New Roman" w:cs="Times New Roman"/>
          <w:b/>
          <w:sz w:val="24"/>
          <w:szCs w:val="24"/>
        </w:rPr>
        <w:t xml:space="preserve"> </w:t>
      </w:r>
      <w:r w:rsidRPr="00C90FF2">
        <w:rPr>
          <w:rFonts w:ascii="Times New Roman" w:eastAsia="Calibri" w:hAnsi="Times New Roman" w:cs="Times New Roman"/>
          <w:sz w:val="24"/>
          <w:szCs w:val="24"/>
        </w:rPr>
        <w:t xml:space="preserve">siekiama paskatinti </w:t>
      </w:r>
      <w:r w:rsidRPr="00C90FF2">
        <w:rPr>
          <w:rFonts w:ascii="Times New Roman" w:hAnsi="Times New Roman" w:cs="Times New Roman"/>
          <w:sz w:val="24"/>
          <w:szCs w:val="24"/>
          <w:lang w:eastAsia="lt-LT"/>
        </w:rPr>
        <w:t xml:space="preserve">Lietuvos prisitaikymą prie klimato kaitos keliamų aplinkos pokyčių, leidžiančių sumažinti gamtinių ekosistemų ir šalies ūkio (ekonomikos) sektorių pažeidžiamumą, išlaikyti ir padidinti jų atsparumą klimato kaitos pokyčiams, ir užtikrinti palankias visuomenės gyvenimo ir ūkinės veiklos sąlygas. Visų pirma, numatoma sustiprinti gebėjimus stebėti, tirti ir vertinti klimato kaitos poveikį Lietuvos teritorijoje bei atskiruose regionuose, didinti informacijos apie prisitaikymą prie klimato kaitos koordinavimą ir sklaidą, taip sukuriant tvirtą žinių apie klimato kaitos poveikį ir padarinius pagrindą. Kartu bus investuojama į potvynių rizikos mažinimą, gelbėjimo tarnybų parengties reaguoti į nelaimes stiprinimą. Įgyvendinant </w:t>
      </w:r>
      <w:proofErr w:type="spellStart"/>
      <w:r w:rsidRPr="00C90FF2">
        <w:rPr>
          <w:rFonts w:ascii="Times New Roman" w:hAnsi="Times New Roman" w:cs="Times New Roman"/>
          <w:sz w:val="24"/>
          <w:szCs w:val="24"/>
          <w:lang w:eastAsia="lt-LT"/>
        </w:rPr>
        <w:t>krantotvarkos</w:t>
      </w:r>
      <w:proofErr w:type="spellEnd"/>
      <w:r w:rsidRPr="00C90FF2">
        <w:rPr>
          <w:rFonts w:ascii="Times New Roman" w:hAnsi="Times New Roman" w:cs="Times New Roman"/>
          <w:sz w:val="24"/>
          <w:szCs w:val="24"/>
          <w:lang w:eastAsia="lt-LT"/>
        </w:rPr>
        <w:t xml:space="preserve"> ir potvynių rizikos valdymo priemones, didės klimato kaitai jautriausių Lietuvos teritorijos dalių aplinkos atsparumas klimato kaitai, mažės reikšmingas neigiamas klimato kaitos keliamų grėsmių poveikis aplinkai, žmonių sveikatai ir gyvybei, kultūros paveldui, ekonominei veiklai ir infrastruktūrai.</w:t>
      </w:r>
    </w:p>
    <w:p w:rsidR="00C90FF2" w:rsidRPr="00C90FF2" w:rsidRDefault="00C90FF2" w:rsidP="00C90FF2">
      <w:pPr>
        <w:ind w:firstLine="624"/>
        <w:jc w:val="both"/>
        <w:rPr>
          <w:rFonts w:ascii="Times New Roman" w:hAnsi="Times New Roman" w:cs="Times New Roman"/>
          <w:sz w:val="24"/>
          <w:szCs w:val="24"/>
          <w:lang w:eastAsia="lt-LT"/>
        </w:rPr>
      </w:pPr>
      <w:r w:rsidRPr="00C90FF2">
        <w:rPr>
          <w:rFonts w:ascii="Times New Roman" w:eastAsia="Calibri" w:hAnsi="Times New Roman" w:cs="Times New Roman"/>
          <w:color w:val="000000"/>
          <w:sz w:val="24"/>
          <w:szCs w:val="24"/>
        </w:rPr>
        <w:t xml:space="preserve">Augantis ekonominis aktyvumas neišvengiamai didina spaudimą gamtos ištekliams. Į tausų gamtos išteklių naudojimą investuojant pagal šeštą teminį tikslą bus siekiama smarkiai padidinti atskirai surenkamų ir rūšiuojamų, ir pakartotinai panaudojamų, perdirbamų komunalinių atliekų dalį, sumažinti jų šalinimą sąvartynuose, panaudojant </w:t>
      </w:r>
      <w:r w:rsidRPr="00C90FF2">
        <w:rPr>
          <w:rFonts w:ascii="Times New Roman" w:eastAsia="Calibri" w:hAnsi="Times New Roman" w:cs="Times New Roman"/>
          <w:bCs/>
          <w:color w:val="000000"/>
          <w:sz w:val="24"/>
          <w:szCs w:val="24"/>
        </w:rPr>
        <w:t>po apdorojimo</w:t>
      </w:r>
      <w:r w:rsidRPr="00C90FF2">
        <w:rPr>
          <w:rFonts w:ascii="Times New Roman" w:eastAsia="Calibri" w:hAnsi="Times New Roman" w:cs="Times New Roman"/>
          <w:color w:val="000000"/>
          <w:sz w:val="24"/>
          <w:szCs w:val="24"/>
        </w:rPr>
        <w:t xml:space="preserve"> </w:t>
      </w:r>
      <w:r w:rsidRPr="00C90FF2">
        <w:rPr>
          <w:rFonts w:ascii="Times New Roman" w:eastAsia="Calibri" w:hAnsi="Times New Roman" w:cs="Times New Roman"/>
          <w:bCs/>
          <w:color w:val="000000"/>
          <w:sz w:val="24"/>
          <w:szCs w:val="24"/>
        </w:rPr>
        <w:t>likusias, netinkamas perdirbti ir energinę vertę turinčias atliekas energijai gauti. Taip pat bus siekiama padidinti</w:t>
      </w:r>
      <w:r w:rsidRPr="00C90FF2">
        <w:rPr>
          <w:rFonts w:ascii="Times New Roman" w:eastAsia="Calibri" w:hAnsi="Times New Roman" w:cs="Times New Roman"/>
          <w:color w:val="000000"/>
          <w:sz w:val="24"/>
          <w:szCs w:val="24"/>
        </w:rPr>
        <w:t xml:space="preserve"> tinkamai išvalomų paviršinių nuotekų dalį, taip pat padidinti ir gyventojų dalį, kuriems teikiama nuotekų valymo paslauga bei viešai tiekiamas geriamasis vanduo. Nors Lietuvoje kraštovaizdžio būklė išlieka stabili, o gamtinių ekosistemų biologinės įvairovės būklė pastaraisiais metais lėtai gerėja, tačiau atskiri </w:t>
      </w:r>
      <w:proofErr w:type="spellStart"/>
      <w:r w:rsidRPr="00C90FF2">
        <w:rPr>
          <w:rFonts w:ascii="Times New Roman" w:eastAsia="Calibri" w:hAnsi="Times New Roman" w:cs="Times New Roman"/>
          <w:color w:val="000000"/>
          <w:sz w:val="24"/>
          <w:szCs w:val="24"/>
        </w:rPr>
        <w:t>karaštovaizdžio</w:t>
      </w:r>
      <w:proofErr w:type="spellEnd"/>
      <w:r w:rsidRPr="00C90FF2">
        <w:rPr>
          <w:rFonts w:ascii="Times New Roman" w:eastAsia="Calibri" w:hAnsi="Times New Roman" w:cs="Times New Roman"/>
          <w:color w:val="000000"/>
          <w:sz w:val="24"/>
          <w:szCs w:val="24"/>
        </w:rPr>
        <w:t xml:space="preserve"> ir gamtinių buveinių tipai patiria didelių permainų tiek dėl </w:t>
      </w:r>
      <w:proofErr w:type="spellStart"/>
      <w:r w:rsidRPr="00C90FF2">
        <w:rPr>
          <w:rFonts w:ascii="Times New Roman" w:eastAsia="Calibri" w:hAnsi="Times New Roman" w:cs="Times New Roman"/>
          <w:color w:val="000000"/>
          <w:sz w:val="24"/>
          <w:szCs w:val="24"/>
        </w:rPr>
        <w:t>renatūralizacijos</w:t>
      </w:r>
      <w:proofErr w:type="spellEnd"/>
      <w:r w:rsidRPr="00C90FF2">
        <w:rPr>
          <w:rFonts w:ascii="Times New Roman" w:eastAsia="Calibri" w:hAnsi="Times New Roman" w:cs="Times New Roman"/>
          <w:color w:val="000000"/>
          <w:sz w:val="24"/>
          <w:szCs w:val="24"/>
        </w:rPr>
        <w:t xml:space="preserve"> procesų, tiek dėl stichinės urbanizacijos: investuojant numatoma sumažinti intensyvios ūkinės veiklos padarytą žalą vertingiems ir vaizdingiems kraštovaizdžio kompleksams, atkurti pažeistas teritorijas, vykdyti aktyvesnę stebėseną ir poveikio vertinimą. Aplinkosauginio sąmoningumo skatinimas, lankytojų srautų sureguliavimas ir tinkamos infrastruktūros sukūrimas saugomose teritorijose leis sumažinti rekreacinės veiklos neigiamą poveikį saugomoms teritorijoms ir čia saugomoms rūšims bei kartu tinkamai išnaudoti jų teikiamą potencialą. Investuojant į pasirinktų kultūros paveldo objektų išsaugojimą ir pritaikymą, bus siekiama skatinti aktyvų jo panaudojimą ekonominei (turizmas, verslumas), socialinei (švietimo ir mokymosi edukacinė bazė) ir kultūrinei veiklai.</w:t>
      </w:r>
    </w:p>
    <w:p w:rsidR="00C90FF2" w:rsidRP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lastRenderedPageBreak/>
        <w:t xml:space="preserve">Pagrindą Lietuvos ūkio konkurencingumui didėti ilguoju laikotarpiu sudaro ir efektyvi, tausiu išteklių naudojimu paremta ekonominė infrastruktūra, kuri sudarytų verslo ir visuomenės mobilumo, bendravimo ir bendradarbiavimo prielaidas. Atsižvelgiant į šalies geografinės padėties teikiamus privalumus (tranzitui palanki padėtis) ir ribotumus (periferinė padėtis ES bendrojoje rinkoje, mažas gyventojų tankis), investuojant pagal </w:t>
      </w:r>
      <w:r w:rsidRPr="00C90FF2">
        <w:rPr>
          <w:rFonts w:ascii="Times New Roman" w:eastAsia="Calibri" w:hAnsi="Times New Roman" w:cs="Times New Roman"/>
          <w:b/>
          <w:sz w:val="24"/>
          <w:szCs w:val="24"/>
        </w:rPr>
        <w:t>septintą teminį tikslą</w:t>
      </w:r>
      <w:r w:rsidRPr="00C90FF2">
        <w:rPr>
          <w:rFonts w:ascii="Times New Roman" w:eastAsia="Calibri" w:hAnsi="Times New Roman" w:cs="Times New Roman"/>
          <w:sz w:val="24"/>
          <w:szCs w:val="24"/>
        </w:rPr>
        <w:t xml:space="preserve"> daugiausia dėmesio tenka subalansuoto transporto infrastruktūros tinklo, atitinkančio mobilumo poreikius bei sudarančio palankias sąlygas tranzitui ir transporto paslaugų eksportui, plėtrai. Numatomas tolimesnis TEN-T tinklo Lietuvoje pralaidumo (ypač geležinkelio – </w:t>
      </w:r>
      <w:proofErr w:type="spellStart"/>
      <w:r w:rsidRPr="00C90FF2">
        <w:rPr>
          <w:rFonts w:ascii="Times New Roman" w:eastAsia="Calibri" w:hAnsi="Times New Roman" w:cs="Times New Roman"/>
          <w:i/>
          <w:sz w:val="24"/>
          <w:szCs w:val="24"/>
        </w:rPr>
        <w:t>Rail</w:t>
      </w:r>
      <w:proofErr w:type="spellEnd"/>
      <w:r w:rsidRPr="00C90FF2">
        <w:rPr>
          <w:rFonts w:ascii="Times New Roman" w:eastAsia="Calibri" w:hAnsi="Times New Roman" w:cs="Times New Roman"/>
          <w:i/>
          <w:sz w:val="24"/>
          <w:szCs w:val="24"/>
        </w:rPr>
        <w:t xml:space="preserve"> </w:t>
      </w:r>
      <w:proofErr w:type="spellStart"/>
      <w:r w:rsidRPr="00C90FF2">
        <w:rPr>
          <w:rFonts w:ascii="Times New Roman" w:eastAsia="Calibri" w:hAnsi="Times New Roman" w:cs="Times New Roman"/>
          <w:i/>
          <w:sz w:val="24"/>
          <w:szCs w:val="24"/>
        </w:rPr>
        <w:t>Baltica</w:t>
      </w:r>
      <w:proofErr w:type="spellEnd"/>
      <w:r w:rsidRPr="00C90FF2">
        <w:rPr>
          <w:rFonts w:ascii="Times New Roman" w:eastAsia="Calibri" w:hAnsi="Times New Roman" w:cs="Times New Roman"/>
          <w:sz w:val="24"/>
          <w:szCs w:val="24"/>
        </w:rPr>
        <w:t xml:space="preserve">) didinimas, kartu didinant šiuo metu menką ir pažangų ūkio augimą ribojantį Lietuvos pasiekiamumą (ypač oro transportu). </w:t>
      </w:r>
      <w:proofErr w:type="spellStart"/>
      <w:r w:rsidRPr="00C90FF2">
        <w:rPr>
          <w:rFonts w:ascii="Times New Roman" w:eastAsia="Calibri" w:hAnsi="Times New Roman" w:cs="Times New Roman"/>
          <w:sz w:val="24"/>
          <w:szCs w:val="24"/>
        </w:rPr>
        <w:t>Periferiškumą</w:t>
      </w:r>
      <w:proofErr w:type="spellEnd"/>
      <w:r w:rsidRPr="00C90FF2">
        <w:rPr>
          <w:rFonts w:ascii="Times New Roman" w:eastAsia="Calibri" w:hAnsi="Times New Roman" w:cs="Times New Roman"/>
          <w:sz w:val="24"/>
          <w:szCs w:val="24"/>
        </w:rPr>
        <w:t xml:space="preserve"> bus siekiama įveikti ir sudarant infrastruktūrines prielaidas tarptautinių energetikos tinklo jungčių kūrimui, taip mažinant Lietuvos energetinę priklausomybę nuo vieno tiekėjo bei užtikrinant patikimą ir saugų energijos tiekimą Lietuvos vartotojams. </w:t>
      </w:r>
    </w:p>
    <w:p w:rsidR="00C90FF2" w:rsidRDefault="00C90FF2" w:rsidP="00C90FF2">
      <w:pPr>
        <w:ind w:firstLine="624"/>
        <w:jc w:val="both"/>
        <w:rPr>
          <w:rFonts w:ascii="Times New Roman" w:eastAsia="Calibri" w:hAnsi="Times New Roman" w:cs="Times New Roman"/>
          <w:sz w:val="24"/>
          <w:szCs w:val="24"/>
        </w:rPr>
      </w:pPr>
      <w:r w:rsidRPr="00C90FF2">
        <w:rPr>
          <w:rFonts w:ascii="Times New Roman" w:eastAsia="Calibri" w:hAnsi="Times New Roman" w:cs="Times New Roman"/>
          <w:sz w:val="24"/>
          <w:szCs w:val="24"/>
        </w:rPr>
        <w:t xml:space="preserve">Regioniniam judumui šalies viduje užtikrinti svarbios investicijos į šalies transporto tinklo antrines ir </w:t>
      </w:r>
      <w:proofErr w:type="spellStart"/>
      <w:r w:rsidRPr="00C90FF2">
        <w:rPr>
          <w:rFonts w:ascii="Times New Roman" w:eastAsia="Calibri" w:hAnsi="Times New Roman" w:cs="Times New Roman"/>
          <w:sz w:val="24"/>
          <w:szCs w:val="24"/>
        </w:rPr>
        <w:t>tretines</w:t>
      </w:r>
      <w:proofErr w:type="spellEnd"/>
      <w:r w:rsidRPr="00C90FF2">
        <w:rPr>
          <w:rFonts w:ascii="Times New Roman" w:eastAsia="Calibri" w:hAnsi="Times New Roman" w:cs="Times New Roman"/>
          <w:sz w:val="24"/>
          <w:szCs w:val="24"/>
        </w:rPr>
        <w:t xml:space="preserve"> jungtis su TEN</w:t>
      </w:r>
      <w:proofErr w:type="gramStart"/>
      <w:r w:rsidRPr="00C90FF2">
        <w:rPr>
          <w:rFonts w:ascii="Times New Roman" w:eastAsia="Calibri" w:hAnsi="Times New Roman" w:cs="Times New Roman"/>
          <w:sz w:val="24"/>
          <w:szCs w:val="24"/>
        </w:rPr>
        <w:t>-</w:t>
      </w:r>
      <w:proofErr w:type="gramEnd"/>
      <w:r w:rsidRPr="00C90FF2">
        <w:rPr>
          <w:rFonts w:ascii="Times New Roman" w:eastAsia="Calibri" w:hAnsi="Times New Roman" w:cs="Times New Roman"/>
          <w:sz w:val="24"/>
          <w:szCs w:val="24"/>
        </w:rPr>
        <w:t>T tinklu, sudarant galimybes darbo jėgos judumui ir galėjimui pasiekti nutolusias darbo vietas didesniuose miestuose ir miesteliuose. Atsižvelgiant į šalies aukštą</w:t>
      </w:r>
      <w:proofErr w:type="gramStart"/>
      <w:r w:rsidRPr="00C90FF2">
        <w:rPr>
          <w:rFonts w:ascii="Times New Roman" w:eastAsia="Calibri" w:hAnsi="Times New Roman" w:cs="Times New Roman"/>
          <w:sz w:val="24"/>
          <w:szCs w:val="24"/>
        </w:rPr>
        <w:t xml:space="preserve">  </w:t>
      </w:r>
      <w:proofErr w:type="gramEnd"/>
      <w:r w:rsidRPr="00C90FF2">
        <w:rPr>
          <w:rFonts w:ascii="Times New Roman" w:eastAsia="Calibri" w:hAnsi="Times New Roman" w:cs="Times New Roman"/>
          <w:sz w:val="24"/>
          <w:szCs w:val="24"/>
        </w:rPr>
        <w:t xml:space="preserve">automobilizacijos lygį, svarbios saugaus eismo ir neigiamo transporto poveikio aplinkai mažinimo priemonės. Tausiam išteklių naudojimui tikimasi esminio teigiamo pokyčio, skatinant tvaraus judumo miestuose planavimą ir jų įgyvendinime, taip pat plėtojant aplinką tausojančių ir anglies dioksido kiekio mažinimu grindžiamų transporto, įskaitant upių ir jūros transportą, uostų ir įvairiarūšių jungčių, sistemas. Platesnis visuomeninio transporto ir </w:t>
      </w:r>
      <w:proofErr w:type="spellStart"/>
      <w:r w:rsidRPr="00C90FF2">
        <w:rPr>
          <w:rFonts w:ascii="Times New Roman" w:eastAsia="Calibri" w:hAnsi="Times New Roman" w:cs="Times New Roman"/>
          <w:sz w:val="24"/>
          <w:szCs w:val="24"/>
        </w:rPr>
        <w:t>bevariklio</w:t>
      </w:r>
      <w:proofErr w:type="spellEnd"/>
      <w:r w:rsidRPr="00C90FF2">
        <w:rPr>
          <w:rFonts w:ascii="Times New Roman" w:eastAsia="Calibri" w:hAnsi="Times New Roman" w:cs="Times New Roman"/>
          <w:sz w:val="24"/>
          <w:szCs w:val="24"/>
        </w:rPr>
        <w:t xml:space="preserve"> transporto naudojimas sudarys galimybes mažinti asmeninių automobilių naudojimą, sumažins gatvių apkrovimą ir transporto kamščius bei oro taršą ir neigiamą poveikį žmonių sveikatai.</w:t>
      </w:r>
    </w:p>
    <w:p w:rsidR="00024D95" w:rsidRDefault="00024D95" w:rsidP="00024D95">
      <w:pPr>
        <w:ind w:firstLine="624"/>
        <w:jc w:val="both"/>
        <w:rPr>
          <w:rFonts w:ascii="Times New Roman" w:eastAsia="Calibri" w:hAnsi="Times New Roman" w:cs="Times New Roman"/>
          <w:b/>
          <w:sz w:val="24"/>
          <w:szCs w:val="24"/>
          <w:lang w:eastAsia="lt-LT"/>
        </w:rPr>
      </w:pPr>
    </w:p>
    <w:p w:rsidR="00024D95" w:rsidRPr="00024D95" w:rsidRDefault="00024D95" w:rsidP="00024D95">
      <w:pPr>
        <w:ind w:firstLine="624"/>
        <w:jc w:val="both"/>
        <w:rPr>
          <w:rFonts w:ascii="Times New Roman" w:eastAsia="Calibri" w:hAnsi="Times New Roman" w:cs="Times New Roman"/>
          <w:b/>
          <w:sz w:val="24"/>
          <w:szCs w:val="24"/>
          <w:lang w:eastAsia="lt-LT"/>
        </w:rPr>
      </w:pPr>
      <w:r w:rsidRPr="00024D95">
        <w:rPr>
          <w:rFonts w:ascii="Times New Roman" w:eastAsia="Calibri" w:hAnsi="Times New Roman" w:cs="Times New Roman"/>
          <w:b/>
          <w:sz w:val="24"/>
          <w:szCs w:val="24"/>
          <w:lang w:eastAsia="lt-LT"/>
        </w:rPr>
        <w:t>Auganti socialinė sanglauda</w:t>
      </w:r>
    </w:p>
    <w:p w:rsidR="00024D95" w:rsidRPr="00024D95" w:rsidRDefault="00024D95" w:rsidP="00024D95">
      <w:pPr>
        <w:ind w:firstLine="624"/>
        <w:jc w:val="both"/>
        <w:rPr>
          <w:rFonts w:ascii="Times New Roman" w:eastAsia="Calibri" w:hAnsi="Times New Roman" w:cs="Times New Roman"/>
          <w:sz w:val="24"/>
          <w:szCs w:val="24"/>
        </w:rPr>
      </w:pPr>
    </w:p>
    <w:p w:rsidR="00024D95" w:rsidRPr="00024D95" w:rsidRDefault="00024D95" w:rsidP="00024D95">
      <w:pPr>
        <w:ind w:firstLine="624"/>
        <w:jc w:val="both"/>
        <w:rPr>
          <w:rFonts w:ascii="Times New Roman" w:eastAsia="Calibri" w:hAnsi="Times New Roman" w:cs="Times New Roman"/>
          <w:sz w:val="24"/>
          <w:szCs w:val="24"/>
        </w:rPr>
      </w:pPr>
      <w:r w:rsidRPr="00024D95">
        <w:rPr>
          <w:rFonts w:ascii="Times New Roman" w:eastAsia="Calibri" w:hAnsi="Times New Roman" w:cs="Times New Roman"/>
          <w:sz w:val="24"/>
          <w:szCs w:val="24"/>
        </w:rPr>
        <w:t xml:space="preserve">Sanglauda yra svarbus plėtros prioritetas ir Lietuvos, ir ES lygiu: gerovės kūrimo procese dalyvauti ir naudą gauti turi visos valstybės teritorijos bei visuomenės grupės. Tad labai svarbi tiek teritorinė, tiek socialinė ir ekonominė sanglauda. Reikia užtikrinti subalansuotą ir aprėpiančią plėtrą ir tuo tikslu imtis specialių priemonių, siekiant užtikrinti gyvenimo kokybę ir sanglaudą. Kartu sanglaudos siekis itin susijęs su ūkio augimu ir verslo konkurencingumu, nes visuomenės integralumas tampa vienu iš svarbiausiųjų ūkio konkurencingumo veiksnių, o skurdesnių teritorijų galimybės ir įvairių socialinių grupių indėlis galėtų būti geriau išnaudojamas, siekiant ilgalaikės ūkio plėtros. </w:t>
      </w:r>
    </w:p>
    <w:p w:rsidR="00024D95" w:rsidRPr="00024D95" w:rsidRDefault="00024D95" w:rsidP="00024D95">
      <w:pPr>
        <w:ind w:firstLine="624"/>
        <w:jc w:val="both"/>
        <w:rPr>
          <w:rFonts w:ascii="Times New Roman" w:eastAsia="Calibri" w:hAnsi="Times New Roman" w:cs="Times New Roman"/>
          <w:sz w:val="24"/>
          <w:szCs w:val="24"/>
        </w:rPr>
      </w:pPr>
      <w:r w:rsidRPr="00024D95">
        <w:rPr>
          <w:rFonts w:ascii="Times New Roman" w:eastAsia="Calibri" w:hAnsi="Times New Roman" w:cs="Times New Roman"/>
          <w:sz w:val="24"/>
          <w:szCs w:val="24"/>
        </w:rPr>
        <w:t xml:space="preserve">Šioje veiksmų programoje pagal įvairius teminius tikslus ir veiksmų programos prioritetus numatoma integruota miesto ir kaimo vietovių plėtra, aktyviai įtraukiant savivaldą bei kartu pasitelkiant ir bendruomenės iniciatyvą. Siekiant efektyviai išnaudoti vietos plėtros potencialą, numatomos investicijos į priemones, padėsiančias spręsti tipines miesto ir kaimo problemas, identifikuotų probleminių vietovių atkūrimą ir įtraukimą į ūkinę veiklą. Investuojant į gyvenimo aplinkos ir kokybės skirtumų tarp pagrindinių šalies miestų ir mažesnių miestų mažinimą (gerinant identifikuotų miestų ir kaimo vietovių gyvenamąją aplinką, bendruomeninę ir viešąją infrastruktūrą, panaudojant jų socialinį, kultūrinį ir gamtinį potencialą) ir derinant šias investicijas su įvairiomis verslo skatinimo, socialinės integracijos priemonėmis, tikimasi išlaikyti tų vietovių patrauklumą dirbti ir gyventi. </w:t>
      </w:r>
    </w:p>
    <w:p w:rsidR="00024D95" w:rsidRPr="00024D95" w:rsidRDefault="00024D95" w:rsidP="00024D95">
      <w:pPr>
        <w:ind w:firstLine="624"/>
        <w:jc w:val="both"/>
        <w:rPr>
          <w:rFonts w:ascii="Times New Roman" w:eastAsia="Calibri" w:hAnsi="Times New Roman" w:cs="Times New Roman"/>
          <w:sz w:val="24"/>
          <w:szCs w:val="24"/>
        </w:rPr>
      </w:pPr>
      <w:r w:rsidRPr="00024D95">
        <w:rPr>
          <w:rFonts w:ascii="Times New Roman" w:eastAsia="Calibri" w:hAnsi="Times New Roman" w:cs="Times New Roman"/>
          <w:sz w:val="24"/>
          <w:szCs w:val="24"/>
        </w:rPr>
        <w:t xml:space="preserve">Mažėjant vietinių žmogiškųjų išteklių pasiūlai, svarbus bus palankių sąlygų visiems darbingo amžiaus žmonėms įsitraukti į darbo rinką sukūrimas, į tai bus investuojama pagal </w:t>
      </w:r>
      <w:r w:rsidRPr="00024D95">
        <w:rPr>
          <w:rFonts w:ascii="Times New Roman" w:eastAsia="Calibri" w:hAnsi="Times New Roman" w:cs="Times New Roman"/>
          <w:b/>
          <w:sz w:val="24"/>
          <w:szCs w:val="24"/>
        </w:rPr>
        <w:t>aštuntą teminį tikslą</w:t>
      </w:r>
      <w:r w:rsidRPr="00024D95">
        <w:rPr>
          <w:rFonts w:ascii="Times New Roman" w:eastAsia="Calibri" w:hAnsi="Times New Roman" w:cs="Times New Roman"/>
          <w:sz w:val="24"/>
          <w:szCs w:val="24"/>
        </w:rPr>
        <w:t xml:space="preserve">. Siekiant didesnio užimtumo tiek moterų, tiek </w:t>
      </w:r>
      <w:proofErr w:type="gramStart"/>
      <w:r w:rsidRPr="00024D95">
        <w:rPr>
          <w:rFonts w:ascii="Times New Roman" w:eastAsia="Calibri" w:hAnsi="Times New Roman" w:cs="Times New Roman"/>
          <w:sz w:val="24"/>
          <w:szCs w:val="24"/>
        </w:rPr>
        <w:t>vyrų tarpe</w:t>
      </w:r>
      <w:proofErr w:type="gramEnd"/>
      <w:r w:rsidRPr="00024D95">
        <w:rPr>
          <w:rFonts w:ascii="Times New Roman" w:eastAsia="Calibri" w:hAnsi="Times New Roman" w:cs="Times New Roman"/>
          <w:sz w:val="24"/>
          <w:szCs w:val="24"/>
        </w:rPr>
        <w:t>, didžiausias dėmesys bus skiriamas jaunų žmonių įtraukimui į darbo rinką ir jau besirengiančių iš jos pasitraukti (išeiti į pensiją) kuo ilgesnis išlaikymas joje, taip pat visų ekonomiškai neaktyvių gyventojų įtraukimui į darbo rinką. Šiems pokyčiams būtina lankstesnė darbo rinka: ir dirbančių asmenų gebėjimas prisitaikyti prie naujų sąlygų (žinių ekonomikos), ir darbdavių lankstumas. Naudojant aktyvias prevencines darbo rinkos reguliavimo priemones, bus skatinamas įsidarbinimo galimybių didinimas (specialias priemones skiriant asmenims, kuriems labiausiai gresia socialinės atskirties rizika), verslumas ir savarankiškas užimtumas (ypač padidintos socialinės atskirties rizikos grupėse), profesinis ir geografinis mobilumas, skatinamos karjeros planavimo ir konsultavimo priemonės, padedančios prisitaikyti prie darbo rinkos.</w:t>
      </w:r>
    </w:p>
    <w:p w:rsidR="00024D95" w:rsidRPr="00024D95" w:rsidRDefault="00024D95" w:rsidP="00024D95">
      <w:pPr>
        <w:ind w:firstLine="624"/>
        <w:jc w:val="both"/>
        <w:rPr>
          <w:rFonts w:ascii="Times New Roman" w:eastAsia="Calibri" w:hAnsi="Times New Roman" w:cs="Times New Roman"/>
          <w:sz w:val="24"/>
          <w:szCs w:val="24"/>
        </w:rPr>
      </w:pPr>
      <w:r w:rsidRPr="00024D95">
        <w:rPr>
          <w:rFonts w:ascii="Times New Roman" w:eastAsia="Calibri" w:hAnsi="Times New Roman" w:cs="Times New Roman"/>
          <w:sz w:val="24"/>
          <w:szCs w:val="24"/>
        </w:rPr>
        <w:lastRenderedPageBreak/>
        <w:t xml:space="preserve">Kitas svarbus socialinės sanglaudos skatinimo aspektas – galimybių gauti įperkamas, darnias ir aukštos kokybės paslaugas didinimas, įskaitant sveikatos priežiūrą ir visuotinės svarbos socialines paslaugas. Investuojant pagal </w:t>
      </w:r>
      <w:r w:rsidRPr="00024D95">
        <w:rPr>
          <w:rFonts w:ascii="Times New Roman" w:eastAsia="Calibri" w:hAnsi="Times New Roman" w:cs="Times New Roman"/>
          <w:b/>
          <w:sz w:val="24"/>
          <w:szCs w:val="24"/>
        </w:rPr>
        <w:t>devintą teminį tikslą</w:t>
      </w:r>
      <w:r w:rsidRPr="00024D95">
        <w:rPr>
          <w:rFonts w:ascii="Times New Roman" w:eastAsia="Calibri" w:hAnsi="Times New Roman" w:cs="Times New Roman"/>
          <w:sz w:val="24"/>
          <w:szCs w:val="24"/>
        </w:rPr>
        <w:t xml:space="preserve"> (bet taip pat pagal </w:t>
      </w:r>
      <w:r w:rsidRPr="00024D95">
        <w:rPr>
          <w:rFonts w:ascii="Times New Roman" w:eastAsia="Calibri" w:hAnsi="Times New Roman" w:cs="Times New Roman"/>
          <w:b/>
          <w:sz w:val="24"/>
          <w:szCs w:val="24"/>
        </w:rPr>
        <w:t>aštuntą ir dešimtą tikslus</w:t>
      </w:r>
      <w:r w:rsidRPr="00024D95">
        <w:rPr>
          <w:rFonts w:ascii="Times New Roman" w:eastAsia="Calibri" w:hAnsi="Times New Roman" w:cs="Times New Roman"/>
          <w:sz w:val="24"/>
          <w:szCs w:val="24"/>
        </w:rPr>
        <w:t xml:space="preserve">, atitinkamai į darbo rinkos ir švietimo paslaugas) bus siekiama sudaryti prielaidas teikiamų paslaugų (ypač socialinių paslaugų, tokių kaip globa) kokybei ir efektyvumui didinti bei pačioms paslaugoms </w:t>
      </w:r>
      <w:proofErr w:type="gramStart"/>
      <w:r w:rsidRPr="00024D95">
        <w:rPr>
          <w:rFonts w:ascii="Times New Roman" w:eastAsia="Calibri" w:hAnsi="Times New Roman" w:cs="Times New Roman"/>
          <w:sz w:val="24"/>
          <w:szCs w:val="24"/>
        </w:rPr>
        <w:t>(</w:t>
      </w:r>
      <w:proofErr w:type="gramEnd"/>
      <w:r w:rsidRPr="00024D95">
        <w:rPr>
          <w:rFonts w:ascii="Times New Roman" w:eastAsia="Calibri" w:hAnsi="Times New Roman" w:cs="Times New Roman"/>
          <w:sz w:val="24"/>
          <w:szCs w:val="24"/>
        </w:rPr>
        <w:t xml:space="preserve">pavyzdžiui, visuomenės sveikatos ir asmens sveikatos apsaugos, socialinio būsto) tapti labiau prieinamoms visos Lietuvos gyventojams. Optimizuojant socialinių paslaugų ir sveikatos priežiūros įstaigų tinklą, bus kuriama finansiniu ir ekonominiu požiūriu tvari sistema, kuri teiktų kokybiškas ir prieinamas paslaugas, tačiau kartu ilgesniuoju laikotarpiu jai išlaikyti reikalingomis sąnaudomis nekeltų nepagrįstai didelio spaudimo valstybės finansams ir šalies makroekonominiam stabilumui. Dėl šios priežasties investuojant bus vertinami galimi lėšų šaltiniai sukurtosios infrastruktūros išlaidoms padengti po to, kai baigsis ES fondų lėšos, o pačios investicijos bus skiriamos, atsižvelgiant į bendrą kiekvieno viešųjų paslaugų sektoriaus modernizavimo bei tinklo optimizavimo siekį: didinti efektyvumą ir kokybę, mažinti tinklo išlaidas, pritraukti, kuo įvairesnių finansavimo šaltinių. </w:t>
      </w:r>
    </w:p>
    <w:p w:rsidR="00024D95" w:rsidRDefault="00024D95" w:rsidP="00024D95">
      <w:pPr>
        <w:ind w:firstLine="624"/>
        <w:jc w:val="both"/>
        <w:rPr>
          <w:rFonts w:ascii="Times New Roman" w:eastAsia="Calibri" w:hAnsi="Times New Roman" w:cs="Times New Roman"/>
          <w:sz w:val="24"/>
          <w:szCs w:val="24"/>
        </w:rPr>
      </w:pPr>
      <w:r w:rsidRPr="00024D95">
        <w:rPr>
          <w:rFonts w:ascii="Times New Roman" w:eastAsia="Calibri" w:hAnsi="Times New Roman" w:cs="Times New Roman"/>
          <w:sz w:val="24"/>
          <w:szCs w:val="24"/>
        </w:rPr>
        <w:t xml:space="preserve">Ypatingą skurdo ir socialinės atskirties riziką patiria socialiai pažeidžiamiausios visuomenės grupės – joms priklausantys asmenys paprastai ilgą laiką būna ekonomiškai neaktyvūs, todėl jiems itin sudėtinga įsilieti į darbo rinką dėl neįgytų ar prarastų darbinių įgūdžių, kvalifikacijos ar socialinių gebėjimų. Pagal </w:t>
      </w:r>
      <w:r w:rsidRPr="00024D95">
        <w:rPr>
          <w:rFonts w:ascii="Times New Roman" w:eastAsia="Calibri" w:hAnsi="Times New Roman" w:cs="Times New Roman"/>
          <w:b/>
          <w:sz w:val="24"/>
          <w:szCs w:val="24"/>
        </w:rPr>
        <w:t>devintą teminį tikslą</w:t>
      </w:r>
      <w:r w:rsidRPr="00024D95">
        <w:rPr>
          <w:rFonts w:ascii="Times New Roman" w:eastAsia="Calibri" w:hAnsi="Times New Roman" w:cs="Times New Roman"/>
          <w:sz w:val="24"/>
          <w:szCs w:val="24"/>
        </w:rPr>
        <w:t xml:space="preserve"> bus siekiama p</w:t>
      </w:r>
      <w:r w:rsidRPr="00024D95">
        <w:rPr>
          <w:rFonts w:ascii="Times New Roman" w:eastAsia="AngsanaUPC" w:hAnsi="Times New Roman" w:cs="Times New Roman"/>
          <w:bCs/>
          <w:sz w:val="24"/>
          <w:szCs w:val="24"/>
          <w:lang w:eastAsia="lt-LT"/>
        </w:rPr>
        <w:t>askatinti ir tokių labiausiai nutolusių nuo darbo rinkos asmenų integraciją į darbo rinką, p</w:t>
      </w:r>
      <w:r w:rsidRPr="00024D95">
        <w:rPr>
          <w:rFonts w:ascii="Times New Roman" w:eastAsia="Calibri" w:hAnsi="Times New Roman" w:cs="Times New Roman"/>
          <w:sz w:val="24"/>
          <w:szCs w:val="24"/>
        </w:rPr>
        <w:t>askatinti aktyvesnį pagyvenusių asmenų dalyvavimą darbo rinkoje ir visuomeninėje veikloje, taip pat socialinę ekonomiką ir socialinių įmonių plėtrą.</w:t>
      </w:r>
      <w:r w:rsidR="00522D09">
        <w:rPr>
          <w:rFonts w:ascii="Times New Roman" w:eastAsia="Calibri" w:hAnsi="Times New Roman" w:cs="Times New Roman"/>
          <w:sz w:val="24"/>
          <w:szCs w:val="24"/>
        </w:rPr>
        <w:t>“.</w:t>
      </w:r>
    </w:p>
    <w:p w:rsidR="00086B53" w:rsidRPr="00F0333D" w:rsidRDefault="00086B53" w:rsidP="00024D95">
      <w:pPr>
        <w:ind w:firstLine="624"/>
        <w:jc w:val="both"/>
        <w:rPr>
          <w:rFonts w:ascii="Times New Roman" w:eastAsia="Calibri" w:hAnsi="Times New Roman" w:cs="Times New Roman"/>
          <w:b/>
          <w:sz w:val="24"/>
          <w:szCs w:val="24"/>
        </w:rPr>
      </w:pPr>
    </w:p>
    <w:p w:rsidR="00C90FF2" w:rsidRDefault="00C90FF2">
      <w:pPr>
        <w:rPr>
          <w:rFonts w:ascii="Times New Roman" w:eastAsia="Calibri" w:hAnsi="Times New Roman" w:cs="Times New Roman"/>
          <w:b/>
          <w:sz w:val="24"/>
          <w:szCs w:val="24"/>
          <w:lang w:eastAsia="lt-LT"/>
        </w:rPr>
      </w:pPr>
      <w:r>
        <w:rPr>
          <w:rFonts w:ascii="Times New Roman" w:eastAsia="Calibri" w:hAnsi="Times New Roman" w:cs="Times New Roman"/>
          <w:b/>
          <w:sz w:val="24"/>
          <w:szCs w:val="24"/>
          <w:lang w:eastAsia="lt-LT"/>
        </w:rPr>
        <w:br w:type="page"/>
      </w:r>
    </w:p>
    <w:p w:rsidR="00C90FF2" w:rsidRDefault="00C90FF2" w:rsidP="00C90FF2">
      <w:pPr>
        <w:ind w:firstLine="624"/>
        <w:jc w:val="both"/>
        <w:rPr>
          <w:rFonts w:ascii="Times New Roman" w:eastAsia="Calibri" w:hAnsi="Times New Roman" w:cs="Times New Roman"/>
          <w:b/>
          <w:sz w:val="24"/>
          <w:szCs w:val="24"/>
          <w:lang w:eastAsia="lt-LT"/>
        </w:rPr>
        <w:sectPr w:rsidR="00C90FF2" w:rsidSect="009D78B5">
          <w:headerReference w:type="default" r:id="rId9"/>
          <w:pgSz w:w="11907" w:h="16839" w:code="9"/>
          <w:pgMar w:top="1134" w:right="567" w:bottom="1134" w:left="1134" w:header="561" w:footer="686" w:gutter="0"/>
          <w:cols w:space="1296"/>
          <w:formProt w:val="0"/>
          <w:titlePg/>
          <w:docGrid w:linePitch="326"/>
        </w:sectPr>
      </w:pPr>
    </w:p>
    <w:p w:rsidR="00C90FF2" w:rsidRPr="00C90FF2" w:rsidRDefault="00C90FF2" w:rsidP="00C90FF2">
      <w:pPr>
        <w:ind w:firstLine="624"/>
        <w:jc w:val="both"/>
        <w:rPr>
          <w:rFonts w:ascii="Times New Roman" w:eastAsia="Calibri" w:hAnsi="Times New Roman" w:cs="Times New Roman"/>
          <w:b/>
          <w:sz w:val="24"/>
          <w:szCs w:val="24"/>
          <w:lang w:eastAsia="lt-LT"/>
        </w:rPr>
      </w:pPr>
    </w:p>
    <w:p w:rsidR="00C90FF2" w:rsidRDefault="00522D09" w:rsidP="00C90FF2">
      <w:pPr>
        <w:widowControl w:val="0"/>
        <w:shd w:val="clear" w:color="auto" w:fill="FFFFFF"/>
        <w:spacing w:before="240" w:after="240"/>
        <w:jc w:val="both"/>
        <w:textAlignment w:val="baseline"/>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2</w:t>
      </w:r>
      <w:r w:rsidR="00C90FF2" w:rsidRPr="00697AD2">
        <w:rPr>
          <w:rFonts w:ascii="Times New Roman" w:hAnsi="Times New Roman" w:cs="Times New Roman"/>
          <w:i/>
          <w:color w:val="000000"/>
          <w:sz w:val="24"/>
          <w:szCs w:val="24"/>
          <w:u w:val="single"/>
        </w:rPr>
        <w:t xml:space="preserve">. </w:t>
      </w:r>
      <w:r w:rsidR="00C90FF2">
        <w:rPr>
          <w:rFonts w:ascii="Times New Roman" w:hAnsi="Times New Roman" w:cs="Times New Roman"/>
          <w:i/>
          <w:color w:val="000000"/>
          <w:sz w:val="24"/>
          <w:szCs w:val="24"/>
          <w:u w:val="single"/>
        </w:rPr>
        <w:t>Papildyti Veiksmų programos 1 skirsnio „Veiksmų programos indėlis į strategiją „Europa 2020“ aprašymo 1 lentelę „</w:t>
      </w:r>
      <w:r w:rsidR="00C90FF2" w:rsidRPr="00C90FF2">
        <w:rPr>
          <w:rFonts w:ascii="Times New Roman" w:hAnsi="Times New Roman" w:cs="Times New Roman"/>
          <w:i/>
          <w:color w:val="000000"/>
          <w:sz w:val="24"/>
          <w:szCs w:val="24"/>
          <w:u w:val="single"/>
        </w:rPr>
        <w:t>Pasirinktų teminių tikslų ir investicinių prioritetų pagrindimas</w:t>
      </w:r>
      <w:r w:rsidR="00C90FF2">
        <w:rPr>
          <w:rFonts w:ascii="Times New Roman" w:hAnsi="Times New Roman" w:cs="Times New Roman"/>
          <w:i/>
          <w:color w:val="000000"/>
          <w:sz w:val="24"/>
          <w:szCs w:val="24"/>
          <w:u w:val="single"/>
        </w:rPr>
        <w:t>“ ir išdėstyti ją taip:</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10064"/>
      </w:tblGrid>
      <w:tr w:rsidR="00C90FF2" w:rsidRPr="00C90FF2" w:rsidTr="00C32E92">
        <w:trPr>
          <w:tblHeader/>
        </w:trPr>
        <w:tc>
          <w:tcPr>
            <w:tcW w:w="1668" w:type="dxa"/>
            <w:shd w:val="clear" w:color="auto" w:fill="EEECE1" w:themeFill="background2"/>
            <w:vAlign w:val="center"/>
          </w:tcPr>
          <w:p w:rsidR="00C90FF2" w:rsidRPr="00C90FF2" w:rsidRDefault="00C90FF2" w:rsidP="00C90FF2">
            <w:pPr>
              <w:widowControl w:val="0"/>
              <w:tabs>
                <w:tab w:val="left" w:pos="622"/>
              </w:tabs>
              <w:jc w:val="center"/>
              <w:rPr>
                <w:rFonts w:ascii="Times New Roman" w:eastAsia="AngsanaUPC" w:hAnsi="Times New Roman" w:cs="Times New Roman"/>
                <w:b/>
                <w:bCs/>
                <w:lang w:eastAsia="lt-LT"/>
              </w:rPr>
            </w:pPr>
            <w:r w:rsidRPr="00C90FF2">
              <w:rPr>
                <w:rFonts w:ascii="Times New Roman" w:eastAsia="AngsanaUPC" w:hAnsi="Times New Roman" w:cs="Times New Roman"/>
                <w:b/>
                <w:bCs/>
                <w:lang w:eastAsia="lt-LT"/>
              </w:rPr>
              <w:t>Teminis tikslas</w:t>
            </w:r>
          </w:p>
        </w:tc>
        <w:tc>
          <w:tcPr>
            <w:tcW w:w="3685" w:type="dxa"/>
            <w:shd w:val="clear" w:color="auto" w:fill="EEECE1" w:themeFill="background2"/>
            <w:vAlign w:val="center"/>
          </w:tcPr>
          <w:p w:rsidR="00C90FF2" w:rsidRPr="00C90FF2" w:rsidRDefault="00C90FF2" w:rsidP="00C90FF2">
            <w:pPr>
              <w:widowControl w:val="0"/>
              <w:tabs>
                <w:tab w:val="left" w:pos="622"/>
              </w:tabs>
              <w:jc w:val="center"/>
              <w:rPr>
                <w:rFonts w:ascii="Times New Roman" w:eastAsia="AngsanaUPC" w:hAnsi="Times New Roman" w:cs="Times New Roman"/>
                <w:b/>
                <w:bCs/>
                <w:lang w:eastAsia="lt-LT"/>
              </w:rPr>
            </w:pPr>
            <w:r w:rsidRPr="00C90FF2">
              <w:rPr>
                <w:rFonts w:ascii="Times New Roman" w:eastAsia="AngsanaUPC" w:hAnsi="Times New Roman" w:cs="Times New Roman"/>
                <w:b/>
                <w:bCs/>
                <w:lang w:eastAsia="lt-LT"/>
              </w:rPr>
              <w:t>Investicinis prioritetas</w:t>
            </w:r>
          </w:p>
        </w:tc>
        <w:tc>
          <w:tcPr>
            <w:tcW w:w="10064" w:type="dxa"/>
            <w:shd w:val="clear" w:color="auto" w:fill="EEECE1" w:themeFill="background2"/>
            <w:vAlign w:val="center"/>
          </w:tcPr>
          <w:p w:rsidR="00C90FF2" w:rsidRPr="00C90FF2" w:rsidRDefault="00C90FF2" w:rsidP="00C90FF2">
            <w:pPr>
              <w:widowControl w:val="0"/>
              <w:tabs>
                <w:tab w:val="left" w:pos="622"/>
              </w:tabs>
              <w:jc w:val="center"/>
              <w:rPr>
                <w:rFonts w:ascii="Times New Roman" w:eastAsia="AngsanaUPC" w:hAnsi="Times New Roman" w:cs="Times New Roman"/>
                <w:b/>
                <w:bCs/>
                <w:lang w:eastAsia="lt-LT"/>
              </w:rPr>
            </w:pPr>
            <w:r w:rsidRPr="00C90FF2">
              <w:rPr>
                <w:rFonts w:ascii="Times New Roman" w:eastAsia="AngsanaUPC" w:hAnsi="Times New Roman" w:cs="Times New Roman"/>
                <w:b/>
                <w:bCs/>
                <w:lang w:eastAsia="lt-LT"/>
              </w:rPr>
              <w:t>Pasirinkimo pagrindimas</w:t>
            </w:r>
          </w:p>
        </w:tc>
      </w:tr>
      <w:tr w:rsidR="00C90FF2" w:rsidRPr="00C90FF2" w:rsidTr="00C90FF2">
        <w:tc>
          <w:tcPr>
            <w:tcW w:w="1668" w:type="dxa"/>
            <w:vMerge w:val="restart"/>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1. Mokslinių tyrimų, technologinės plėtros ir inovacijų skatinimas</w:t>
            </w:r>
          </w:p>
        </w:tc>
        <w:tc>
          <w:tcPr>
            <w:tcW w:w="3685"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1. Mokslinių tyrimų ir inovacijų (MTI) infrastruktūros tobulinimas, gebėjimų plėtoti MTI stiprinimas ir kompetencijos centrų, ypač europinės svarbos, veiklos skatinimas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Strategijos „Europa 2020“ (toliau šioje lentelėje – ES2020) pavyzdinė iniciatyva „Inovacijų Sąjunga“ pabrėžia nacionalinės – MTEP ir inovacijų sistemos pertvarkymo svarbą, skatinant kompetencijas ir pažangią specializaciją bei stiprinant universitetų, mokslinių tyrimų centrų ir įmonių bendradarbiavimą. </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Kadangi Lietuvoje investicijų lygis yra mažesnis už vidutinį ir šalis labai atsilieka nuo ES2020 tikslo investuoti 3 proc. BVP į MTEP, numatoma 2020 m. į šias veiklas investuoti 1,9 proc. BVP.</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Nacionalinėje reformų darbotvarkėje (NRD) numatyta prioritetinė veiksmų kryptis – Investicijų į MTEP didinimas. NPP numatyta plėtoti MTI infrastruktūrą, stiprinti tarptautinį bendradarbiavimą su atitinkamais partneriais. </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 Baltijos jūros regiono strategijoje (ES BJRS) yra išskirta prioritetinė sritis „Inovacijos“, kurios tikslas visapusiškai išnaudoti regiono MTEP ir inovacijų potencialą.</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2. Verslo investicijų į MTI skatinimas, įmonių, MTI centrų ir aukštojo mokslo sektoriaus ryšių bei sąveikos plėtojimas, visų pirma,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DPT pažangiosios gamybos pajėgumus, pirminės gamybos bei bendrosios paskirties technologijų sklaidą</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NRD nurodoma, kad Lietuvoje siekiama kurti konkurencingą, naujausiomis technologijomis ir kvalifikuotais žmogiškaisiais ištekliais grindžiamą žinių ekonomiką, diegti sisteminį požiūrį į inovacijas.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Lietuvoje mokslo </w:t>
            </w:r>
            <w:proofErr w:type="spellStart"/>
            <w:r w:rsidRPr="00C90FF2">
              <w:rPr>
                <w:rFonts w:ascii="Times New Roman" w:eastAsia="AngsanaUPC" w:hAnsi="Times New Roman" w:cs="Times New Roman"/>
                <w:bCs/>
                <w:lang w:eastAsia="lt-LT"/>
              </w:rPr>
              <w:t>komercializavimo</w:t>
            </w:r>
            <w:proofErr w:type="spellEnd"/>
            <w:r w:rsidRPr="00C90FF2">
              <w:rPr>
                <w:rFonts w:ascii="Times New Roman" w:eastAsia="AngsanaUPC" w:hAnsi="Times New Roman" w:cs="Times New Roman"/>
                <w:bCs/>
                <w:lang w:eastAsia="lt-LT"/>
              </w:rPr>
              <w:t xml:space="preserve"> rodikliai yra vieni žemiausių ES, mažas inovatyvių įmonių skaičius, silpni mokslo ir verslo ryšiai, neaktyvus įmonių dalyvavimas tarptautinėje rinkoje. </w:t>
            </w:r>
          </w:p>
          <w:p w:rsidR="00C90FF2" w:rsidRPr="00C90FF2" w:rsidRDefault="00C90FF2" w:rsidP="00C90FF2">
            <w:pPr>
              <w:widowControl w:val="0"/>
              <w:tabs>
                <w:tab w:val="left" w:pos="622"/>
              </w:tabs>
              <w:jc w:val="both"/>
              <w:rPr>
                <w:rFonts w:ascii="Times New Roman" w:eastAsia="Calibri" w:hAnsi="Times New Roman" w:cs="Times New Roman"/>
              </w:rPr>
            </w:pPr>
            <w:r w:rsidRPr="00C90FF2">
              <w:rPr>
                <w:rFonts w:ascii="Times New Roman" w:eastAsia="Calibri" w:hAnsi="Times New Roman" w:cs="Times New Roman"/>
              </w:rPr>
              <w:t xml:space="preserve">EK tarnybų pozicijoje dėl 2014–2020 m. Lietuvos partnerystės sutarties ir programų rengimo (toliau – EK pozicija) </w:t>
            </w:r>
            <w:r w:rsidRPr="00C90FF2">
              <w:rPr>
                <w:rFonts w:ascii="Times New Roman" w:eastAsia="AngsanaUPC" w:hAnsi="Times New Roman" w:cs="Times New Roman"/>
                <w:bCs/>
                <w:lang w:eastAsia="lt-LT"/>
              </w:rPr>
              <w:t>rekomenduojama, pirmiausiai, skatinti verslo investicijas į MTEP, inovacijas, verslumą, verslo ir mokslo ryšius, siekiant sukurti ilgalaikius pasitikėjimu pagrįstus santykius bei užtikrinti geresnį žinių platinimą ir perdavimą.</w:t>
            </w:r>
          </w:p>
        </w:tc>
      </w:tr>
      <w:tr w:rsidR="00C90FF2" w:rsidRPr="00C90FF2" w:rsidTr="00C90FF2">
        <w:tc>
          <w:tcPr>
            <w:tcW w:w="1668" w:type="dxa"/>
            <w:vMerge w:val="restart"/>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2. </w:t>
            </w:r>
            <w:r w:rsidRPr="00C90FF2">
              <w:rPr>
                <w:rFonts w:ascii="Times New Roman" w:hAnsi="Times New Roman" w:cs="Times New Roman"/>
                <w:lang w:eastAsia="lt-LT"/>
              </w:rPr>
              <w:t xml:space="preserve">IRT </w:t>
            </w:r>
            <w:r w:rsidRPr="00C90FF2">
              <w:rPr>
                <w:rFonts w:ascii="Times New Roman" w:eastAsia="AngsanaUPC" w:hAnsi="Times New Roman" w:cs="Times New Roman"/>
                <w:bCs/>
                <w:lang w:eastAsia="lt-LT"/>
              </w:rPr>
              <w:t>prieinamumo, naudojimo didinimas ir kokybės gerinimas</w:t>
            </w: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1. Plačiajuosčio ryšio diegimas ir didelės spartos tinklų plėtra, naujų skaitmeninei ekonomikai skirtų technologijų ir tinklų rėmimas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Siekiant ES2020 pavyzdinės iniciatyvos „Skaitmeninės darbotvarkės“ tikslo – užtikrinti plačiajuosčio ryšio prieinamumą visiems, NRD numatyta, kad iki 2020 m. visi Lietuvos gyventojai galės naudotis spartesniu negu 30 </w:t>
            </w:r>
            <w:proofErr w:type="spellStart"/>
            <w:r w:rsidRPr="00C90FF2">
              <w:rPr>
                <w:rFonts w:ascii="Times New Roman" w:eastAsia="AngsanaUPC" w:hAnsi="Times New Roman" w:cs="Times New Roman"/>
                <w:bCs/>
                <w:lang w:eastAsia="lt-LT"/>
              </w:rPr>
              <w:t>Mbps</w:t>
            </w:r>
            <w:proofErr w:type="spellEnd"/>
            <w:r w:rsidRPr="00C90FF2">
              <w:rPr>
                <w:rFonts w:ascii="Times New Roman" w:eastAsia="AngsanaUPC" w:hAnsi="Times New Roman" w:cs="Times New Roman"/>
                <w:bCs/>
                <w:lang w:eastAsia="lt-LT"/>
              </w:rPr>
              <w:t xml:space="preserve"> interneto ryšiu, ne mažiau nei 50 proc. namų ūkių naudosis 100 </w:t>
            </w:r>
            <w:proofErr w:type="spellStart"/>
            <w:r w:rsidRPr="00C90FF2">
              <w:rPr>
                <w:rFonts w:ascii="Times New Roman" w:eastAsia="AngsanaUPC" w:hAnsi="Times New Roman" w:cs="Times New Roman"/>
                <w:bCs/>
                <w:lang w:eastAsia="lt-LT"/>
              </w:rPr>
              <w:t>Mbps</w:t>
            </w:r>
            <w:proofErr w:type="spellEnd"/>
            <w:r w:rsidRPr="00C90FF2">
              <w:rPr>
                <w:rFonts w:ascii="Times New Roman" w:eastAsia="AngsanaUPC" w:hAnsi="Times New Roman" w:cs="Times New Roman"/>
                <w:bCs/>
                <w:lang w:eastAsia="lt-LT"/>
              </w:rPr>
              <w:t xml:space="preserve"> ir spartesniu interneto ryšiu. Šiuo metu dar trūksta šių paslaugų teikimo atokiose šalies vietovėse, nutolusiose nuo ekonomikos centrų.</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Taip pat bus siekiama „Skaitmeninėje darbotvarkėje“ numatytos IRT infrastruktūros saugos užtikrinimo, kad valstybės institucijos ir piliečiai galėtų sėkmingai išnaudoti IRT galimybes.</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2. IRT produktų ir paslaugų, elektroninės prekybos tobulinimas ir IRT paklausos didinimas </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Dalis šalies gyventojų nesinaudoja internetu arba naudojasi juo ribotai. IRT paklausos skatinimo veiklos turi būti plėtojamos kompleksiškai – derinant viešosios interneto prieigos infrastruktūros atnaujinimo ir jos panaudojimo gyventojų skaitmeninių gebėjimų plėtrai veiksmus. NRD numatoma sudaryti sąlygas Lietuvos gyventojams įgyti žinių ir įgūdžių naudotis IRT.</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Kaip numatyta „Skaitmeninėje darbotvarkėje“ taip pat bus siekiama viešųjų duomenų atvėrimo pakartotiniam panaudojimui, taip prisidedant prie IRT produktų ir paslaugų tobulinimo ir skaitmeninės bendrosios rinkos plėtros.</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3. Taikomųjų IRT e. valdžios, e. mokymosi, e. įtraukties, e. kultūros ir e. sveikatos programų tobulinimas </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Numatoma siekti „Skaitmeninėje darbotvarkėje“</w:t>
            </w:r>
            <w:proofErr w:type="gramStart"/>
            <w:r w:rsidRPr="00C90FF2">
              <w:rPr>
                <w:rFonts w:ascii="Times New Roman" w:eastAsia="AngsanaUPC" w:hAnsi="Times New Roman" w:cs="Times New Roman"/>
                <w:bCs/>
                <w:lang w:eastAsia="lt-LT"/>
              </w:rPr>
              <w:t xml:space="preserve">  </w:t>
            </w:r>
            <w:proofErr w:type="gramEnd"/>
            <w:r w:rsidRPr="00C90FF2">
              <w:rPr>
                <w:rFonts w:ascii="Times New Roman" w:eastAsia="AngsanaUPC" w:hAnsi="Times New Roman" w:cs="Times New Roman"/>
                <w:bCs/>
                <w:lang w:eastAsia="lt-LT"/>
              </w:rPr>
              <w:t>numatytų e. valdžios paslaugų, kultūros paveldo skaitmeninimo ir sklaidos e. erdvėje, e. sveikatos sprendimų diegimo, e. mokymosi ir pažangiųjų transporto sistemų plėtros.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NRD numatyta skatinti gyventojus naudotis el. būdu teikiamomis viešosiomis ir administracinėmis paslaugomis, užtikrinti duomenų perdavimo kokybę, plėtoti veikiančių paieškos sistemų infrastruktūrą.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EK pozicijoje rekomenduojama daugiau dėmesio skirti rezultatams ir klientų poreikiams, toliau vystyti pažangias e. valdžios paslaugas, skirtas verslui ir piliečiams, gerinti verslui palankią aplinką. Siekiama, kad iki 2020 m. Lietuvoje visos gyventojams ir verslui reikalingiausios viešosios ir administracinės paslaugos būtų teikiamos internetu, o paslaugų gavėjams </w:t>
            </w:r>
            <w:proofErr w:type="gramStart"/>
            <w:r w:rsidRPr="00C90FF2">
              <w:rPr>
                <w:rFonts w:ascii="Times New Roman" w:eastAsia="AngsanaUPC" w:hAnsi="Times New Roman" w:cs="Times New Roman"/>
                <w:bCs/>
                <w:lang w:eastAsia="lt-LT"/>
              </w:rPr>
              <w:t>būtų prieinamos visos ES lygiu</w:t>
            </w:r>
            <w:proofErr w:type="gramEnd"/>
            <w:r w:rsidRPr="00C90FF2">
              <w:rPr>
                <w:rFonts w:ascii="Times New Roman" w:eastAsia="AngsanaUPC" w:hAnsi="Times New Roman" w:cs="Times New Roman"/>
                <w:bCs/>
                <w:lang w:eastAsia="lt-LT"/>
              </w:rPr>
              <w:t xml:space="preserve"> teikiamos el. paslaugos. </w:t>
            </w:r>
          </w:p>
        </w:tc>
      </w:tr>
      <w:tr w:rsidR="00C90FF2" w:rsidRPr="00C90FF2" w:rsidTr="00C90FF2">
        <w:tc>
          <w:tcPr>
            <w:tcW w:w="1668" w:type="dxa"/>
            <w:vMerge w:val="restart"/>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3. SVV </w:t>
            </w:r>
            <w:proofErr w:type="spellStart"/>
            <w:r w:rsidRPr="00C90FF2">
              <w:rPr>
                <w:rFonts w:ascii="Times New Roman" w:eastAsia="AngsanaUPC" w:hAnsi="Times New Roman" w:cs="Times New Roman"/>
                <w:bCs/>
                <w:lang w:eastAsia="lt-LT"/>
              </w:rPr>
              <w:t>konku</w:t>
            </w:r>
            <w:proofErr w:type="gramStart"/>
            <w:r w:rsidRPr="00C90FF2">
              <w:rPr>
                <w:rFonts w:ascii="Times New Roman" w:eastAsia="AngsanaUPC" w:hAnsi="Times New Roman" w:cs="Times New Roman"/>
                <w:bCs/>
                <w:lang w:eastAsia="lt-LT"/>
              </w:rPr>
              <w:t>-</w:t>
            </w:r>
            <w:proofErr w:type="gramEnd"/>
            <w:r w:rsidRPr="00C90FF2">
              <w:rPr>
                <w:rFonts w:ascii="Times New Roman" w:eastAsia="AngsanaUPC" w:hAnsi="Times New Roman" w:cs="Times New Roman"/>
                <w:bCs/>
                <w:lang w:eastAsia="lt-LT"/>
              </w:rPr>
              <w:t>rencingumo</w:t>
            </w:r>
            <w:proofErr w:type="spellEnd"/>
            <w:r w:rsidRPr="00C90FF2">
              <w:rPr>
                <w:rFonts w:ascii="Times New Roman" w:eastAsia="AngsanaUPC" w:hAnsi="Times New Roman" w:cs="Times New Roman"/>
                <w:bCs/>
                <w:lang w:eastAsia="lt-LT"/>
              </w:rPr>
              <w:t xml:space="preserve"> skatinimas</w:t>
            </w: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1. Verslumo, ypač sudarant palankesnes sąlygas pritaikyti naujas idėjas ekonominei veiklai, ir naujų įmonių, įskaitant verslo inkubatorius, steigimo skatinimas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ES2020 pavyzdinė iniciatyva „Globalizacijos erai pritaikyta pramonės politika“ pabrėžia geresnės verslo aplinkos, visų pirma SVV, kūrimo svarbos, subjektų grupėms geresnių sąlygų gauti prieinamą finansavimą kūrimą, siekiant skatinti diegti inovacijas, įgyvendinimą.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NRD nurodoma, kad Lietuvai ypač svarbu gerinti verslo pradžios sąlygas, mažinti administracinę naštą verslui, užtikrinti finansinių išteklių prieinamumą, sudaryti lygias konkurencines sąlygas, šalinant kliūtis naujiems dalyviams patekti į rinką, skatinti produktyvias investicijas. Kartu su ES fondų lėšomis tai padidins Lietuvos įmonių konkurencingumą, orientuojantis į aukštos pridėtinės vertės veiklas.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ES BJRS numatyta prioritetinė sritis „MVĮ“, kuria siekiama skatinti verslumą ir stiprinti MVĮ augimą, ypač užtikrinant naujų MVĮ įtraukimą į rinką bei priėjimą prie finansavimo šaltinių, žmogiškųjų išteklių ir žinių.  </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2. Naujų mažų ir vidutinių įmonių (MVĮ) verslo modelių, ypač internacionalizavimo, kūrimas ir įgyvendinimas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ES2020 pavyzdinė iniciatyva „Globalizacijos erai pritaikyta pramonės politika“ pabrėžia SVV internacionalizacijos skatinimo svarbą, Europos turizmo sektoriaus konkurencingumo stiprinimą ir įmonių paskatų diegti inovacijas būtinybę.</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NRD nurodoma, kad Lietuvai svarbu pritraukti tiesiogines užsienio investicijas (TUI), eksporto srityje svarbu didinti paslaugų, tarp jų turizmo ir žinioms imlių paslaugų</w:t>
            </w:r>
            <w:proofErr w:type="gramStart"/>
            <w:r w:rsidRPr="00C90FF2">
              <w:rPr>
                <w:rFonts w:ascii="Times New Roman" w:eastAsia="AngsanaUPC" w:hAnsi="Times New Roman" w:cs="Times New Roman"/>
                <w:bCs/>
                <w:lang w:eastAsia="lt-LT"/>
              </w:rPr>
              <w:t>, bei</w:t>
            </w:r>
            <w:proofErr w:type="gramEnd"/>
            <w:r w:rsidRPr="00C90FF2">
              <w:rPr>
                <w:rFonts w:ascii="Times New Roman" w:eastAsia="AngsanaUPC" w:hAnsi="Times New Roman" w:cs="Times New Roman"/>
                <w:bCs/>
                <w:lang w:eastAsia="lt-LT"/>
              </w:rPr>
              <w:t xml:space="preserve"> aukštųjų technologijų produkcijos dalį.</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Siekiant kurti ir įgyvendinti naujus MVĮ modelius, EK pozicijoje rekomenduojama plėtoti MVĮ tarptautinę veiklą ir padėti joms pritraukti TUI, kurti naujus produktus, technologijas ir organizavimo sistemas visuose tiekimo grandinės lygmenyse.</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ES BJRS prioritetinė sritis „MVĮ“ skatina kurti galimybes, skatinant MVĮ internacionalizavimą ir bendradarbiavimą su kitais Baltijos jūros regiono veikėjais. </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3. MVĮ gebėjimų dalyvauti ekonomikos augimo ir inovacijų diegimo procesuose rėmimas </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ES2020 pavyzdinė iniciatyva „Globalizacijos erai pritaikyta pramonės politika“ pabrėžia tausaus išteklių naudojimo paslaugų ir apdirbamosios pramonės sektoriuose svarbą, įskaitant efektyvesnį atliekų perdirbimą, svarbiausių pažangiųjų technologijų komercinimo ir įsisavinimo skatinimą, Europos turizmo sektoriaus konkurencingumo stiprinimą ir įmonių paskatų diegti inovacijas būtinybę.</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NRD nurodoma, kad Lietuvai svarbu skatinti gamybos išteklių našumą, siekiant ilgalaikio produktyvumo ir ekonomikos augimo, plėtoti klasterių principu sudarytą naujovėmis grįstą tradicinę pramonę bei plėtoti naujas ūkio sritis: švariąsias technologijas, ateities energetiką, kūrybines ir kultūrines industrijas, gerovės ir sveikatingumo sritis.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 BJRS prioritetinė sritis „MVĮ“ ragina orientuotis į tuos verslo sektorius, kurie turi didžiausią potencialą skatinti augimą Baltijos jūros regione</w:t>
            </w:r>
            <w:proofErr w:type="gramStart"/>
            <w:r w:rsidRPr="00C90FF2">
              <w:rPr>
                <w:rFonts w:ascii="Times New Roman" w:eastAsia="AngsanaUPC" w:hAnsi="Times New Roman" w:cs="Times New Roman"/>
                <w:bCs/>
                <w:lang w:eastAsia="lt-LT"/>
              </w:rPr>
              <w:t>,</w:t>
            </w:r>
            <w:proofErr w:type="gramEnd"/>
            <w:r w:rsidRPr="00C90FF2">
              <w:rPr>
                <w:rFonts w:ascii="Times New Roman" w:eastAsia="AngsanaUPC" w:hAnsi="Times New Roman" w:cs="Times New Roman"/>
                <w:bCs/>
                <w:lang w:eastAsia="lt-LT"/>
              </w:rPr>
              <w:t xml:space="preserve"> – ekologinė pramonė, biotechnologijos, medicininė įranga, kūrybinės ir kultūrinės industrijos, maisto gamybos pramonė ir kt.</w:t>
            </w:r>
          </w:p>
        </w:tc>
      </w:tr>
      <w:tr w:rsidR="00C90FF2" w:rsidRPr="00C90FF2" w:rsidTr="00C90FF2">
        <w:tc>
          <w:tcPr>
            <w:tcW w:w="1668" w:type="dxa"/>
            <w:vMerge w:val="restart"/>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4. Perėjimo prie mažai anglies dioksido į aplinką išskiriančių technologijų ekonomikos visuose sektoriuose </w:t>
            </w:r>
            <w:r w:rsidRPr="00C90FF2">
              <w:rPr>
                <w:rFonts w:ascii="Times New Roman" w:eastAsia="AngsanaUPC" w:hAnsi="Times New Roman" w:cs="Times New Roman"/>
                <w:bCs/>
                <w:lang w:eastAsia="lt-LT"/>
              </w:rPr>
              <w:lastRenderedPageBreak/>
              <w:t>rėmimas</w:t>
            </w: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lastRenderedPageBreak/>
              <w:t>1. Atsinaujinančių išteklių energijos (AIE) gamybos ir skirstymo skatinimas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Numatoma siekti ES2020 tikslo – 2020 m. Lietuvoje 23 proc. punktai suvartojamos energijos turėtų būti gaminama iš atsinaujinančių išteklių.</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Pagal NRD, AIE plėtra ne tik padės spręsti su klimato kaita susijusias problemas, bet ir padidins Lietuvos energetinę nepriklausomybę.</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didelis dėmesys skiriamas AIE gamybos ir paskirstymo skatinimui, siūloma investuoti į šilumos ir elektros energijos, gaminamų iš atsinaujinančių išteklių, tiekimą, įskaitant biomasę, atliekų išskiriamos šilumos, saulės, vėjo energijos panaudojimą.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ES BJRS prioritetinė sritis „Energetika“ taip pat skatina AIE vartojimą, siekiant integruoti energetikos rinkas ir panaikinti, </w:t>
            </w:r>
            <w:r w:rsidRPr="00C90FF2">
              <w:rPr>
                <w:rFonts w:ascii="Times New Roman" w:eastAsia="AngsanaUPC" w:hAnsi="Times New Roman" w:cs="Times New Roman"/>
                <w:bCs/>
                <w:lang w:eastAsia="lt-LT"/>
              </w:rPr>
              <w:lastRenderedPageBreak/>
              <w:t>kai kurių valstybių narių (tarp jų ir Lietuvos) energetinę izoliaciją.</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2. Energijos vartojimo efektyvumo ir AIE vartojimo įmonėse skatinimas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Atsižvelgiant į ES2020 tikslą dėl AIE vartojimo</w:t>
            </w:r>
            <w:proofErr w:type="gramStart"/>
            <w:r w:rsidRPr="00C90FF2">
              <w:rPr>
                <w:rFonts w:ascii="Times New Roman" w:eastAsia="AngsanaUPC" w:hAnsi="Times New Roman" w:cs="Times New Roman"/>
                <w:bCs/>
                <w:lang w:eastAsia="lt-LT"/>
              </w:rPr>
              <w:t>, bei</w:t>
            </w:r>
            <w:proofErr w:type="gramEnd"/>
            <w:r w:rsidRPr="00C90FF2">
              <w:rPr>
                <w:rFonts w:ascii="Times New Roman" w:eastAsia="AngsanaUPC" w:hAnsi="Times New Roman" w:cs="Times New Roman"/>
                <w:bCs/>
                <w:lang w:eastAsia="lt-LT"/>
              </w:rPr>
              <w:t xml:space="preserve"> į EK pozicijoje pateiktus siūlymus skatinti AIE vartojimą įmonėse, numatoma joms sudaryti palankias galimybes pasirinkti technologinius sprendimus, didinančius jų konkurencingumą.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 lygiu skiriamas vis didesnis dėmesys siekiui užtikrinti konkurencingas energijos kainas pramonei (pavyzdžiui, 2013 m. gegužės EVT</w:t>
            </w:r>
            <w:proofErr w:type="gramStart"/>
            <w:r w:rsidRPr="00C90FF2">
              <w:rPr>
                <w:rFonts w:ascii="Times New Roman" w:eastAsia="AngsanaUPC" w:hAnsi="Times New Roman" w:cs="Times New Roman"/>
                <w:bCs/>
                <w:lang w:eastAsia="lt-LT"/>
              </w:rPr>
              <w:t xml:space="preserve">  </w:t>
            </w:r>
            <w:proofErr w:type="gramEnd"/>
            <w:r w:rsidRPr="00C90FF2">
              <w:rPr>
                <w:rFonts w:ascii="Times New Roman" w:eastAsia="AngsanaUPC" w:hAnsi="Times New Roman" w:cs="Times New Roman"/>
                <w:bCs/>
                <w:lang w:eastAsia="lt-LT"/>
              </w:rPr>
              <w:t xml:space="preserve">išvados). Tai ypač aktualu Lietuvos pramonei, kuri yra viena iš labiausiai energetiškai intensyvių visoje ES. Šiuos iššūkius (ypač Lietuvoje, Latvijoje ir Estijoje) taip pat apima ES BJRS prioritetinė sritis „Energetika“. </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3. Energijos vartojimo efektyvumo, pažangaus energijos valdymo ir AIE vartojimo viešosiose infrastruktūrose, įskaitant viešuosius pastatus ir gyvenamųjų namų sektorių, rėmimas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2014 m. Tarybos pateiktoje rekomendacijoje Lietuvai skatinama imtis veiksmų pagerinti pastatų energetinį efektyvumą ir šalinti kliūtis, įgyvendinant kontroliuojančiojo fondo iniciatyvą.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 lygiu ypatingas dėmesys šiuo metu yra skiriamas pasiekti energijos efektyvumo tikslą. Todėl neseniai priimta Energijos efektyvumo direktyva numato privalomas priemones, siekiant šio tikslo įgyvendinimo.</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atkreipiamas dėmesys, kad reikia didinti gyvenamųjų namų energijos vartojimo efektyvumą, ypatingą dėmesį skiriant daugiabučių atnaujinimui.</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4. Pažangiųjų žemos ir vidutinės įtampos paskirstymo sistemų diegimas ir plėtojimas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 teisės aktuose (III Energetikos pakete, ES energetikos infrastruktūros gairėse, Europos Komisijos (EK) komunikate dėl vidaus energijos rinkos sukūrimo) teigiama, kad valstybės narės turi naudoti pažangiuosius tinklus, kad būtų skatinama decentralizuota elektros energijos gamyba ir energijos vartojimo efektyvumas.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NPP numatoma, kad bus investuojama į pažangias elektros skirstomojo tinklo valdymo technologijas, kurios leidžia tinklą valdyti efektyviau ir operatyviau (tokiu būdu mažės tinklo priežiūros išlaidos bei pakils elektros tiekimo patikimumo rodikliai).</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Minėtos veiklos prisidės, įgyvendinant ES BJRS prioritetinę sritį „Energetika“. </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5. </w:t>
            </w:r>
            <w:r w:rsidRPr="00C90FF2">
              <w:rPr>
                <w:rFonts w:ascii="Times New Roman" w:eastAsia="Calibri" w:hAnsi="Times New Roman" w:cs="Times New Roman"/>
                <w:bCs/>
                <w:iCs/>
              </w:rPr>
              <w:t>Anglies dioksido kiekio mažinimo strategijų įgyvendinimo visų rūšių, ypač miesto teritorijose, skatinimas, darnaus ir įvairių rūšių judumo miestuose skatinimas ir priemonių, skirtų poveikiui aplinkai sušvelninti,</w:t>
            </w:r>
            <w:proofErr w:type="gramStart"/>
            <w:r w:rsidRPr="00C90FF2">
              <w:rPr>
                <w:rFonts w:ascii="Times New Roman" w:eastAsia="Calibri" w:hAnsi="Times New Roman" w:cs="Times New Roman"/>
                <w:bCs/>
                <w:iCs/>
              </w:rPr>
              <w:t xml:space="preserve">  </w:t>
            </w:r>
            <w:proofErr w:type="gramEnd"/>
            <w:r w:rsidRPr="00C90FF2">
              <w:rPr>
                <w:rFonts w:ascii="Times New Roman" w:eastAsia="Calibri" w:hAnsi="Times New Roman" w:cs="Times New Roman"/>
                <w:bCs/>
                <w:iCs/>
              </w:rPr>
              <w:t>diegimas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Siekiant įgyvendinti ES2020 tikslą sumažinti šiltnamio efektą sukeliančių dujų (ŠESD) 20 proc. palyginus su 1990 m., numatoma Lietuvoje kurti tausiai išteklius naudojančią transporto sistemą, skatinti ekologiškų technologijų taikymą ir modernizuoti transporto tinklus.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NRD numatytos priemonės, kaip pasiekti ES2020 pavyzdinės iniciatyvos „Tausiai išteklius naudojanti Europa“ tikslų. </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atkreipiamas dėmesys į ekologiškų ir mažo anglies dioksido kiekio transporto sistemų kūrimą ir tvaraus judumo miestuose skatinimą.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Veiklos, susijusios su neigiamo transporto poveikio aplinkai mažinimu, taip pat yra aktualios įgyvendinant ES BJRS prioritetinę sritį „Transportas“ bei siekiant ES BJRS tikslo „Padidinti gerovę“, kiek tai susiję su klimato kaita.</w:t>
            </w:r>
          </w:p>
        </w:tc>
      </w:tr>
      <w:tr w:rsidR="00C90FF2" w:rsidRPr="00C90FF2" w:rsidTr="00C90FF2">
        <w:trPr>
          <w:trHeight w:val="470"/>
        </w:trPr>
        <w:tc>
          <w:tcPr>
            <w:tcW w:w="1668"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5. Prisitaikymo prie klimato kaitos, rizikos prevencijos ir administravimo skatinimas</w:t>
            </w: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1. Investicijų, susijusių su prisitaikymu prie klimato kaitos, įskaitant pagrįstas </w:t>
            </w:r>
            <w:proofErr w:type="spellStart"/>
            <w:r w:rsidRPr="00C90FF2">
              <w:rPr>
                <w:rFonts w:ascii="Times New Roman" w:hAnsi="Times New Roman" w:cs="Times New Roman"/>
                <w:lang w:eastAsia="lt-LT"/>
              </w:rPr>
              <w:t>ekosisteminiu</w:t>
            </w:r>
            <w:proofErr w:type="spellEnd"/>
            <w:r w:rsidRPr="00C90FF2">
              <w:rPr>
                <w:rFonts w:ascii="Times New Roman" w:hAnsi="Times New Roman" w:cs="Times New Roman"/>
                <w:lang w:eastAsia="lt-LT"/>
              </w:rPr>
              <w:t xml:space="preserve"> požiūriu, skatinimas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Atsižvelgiant į ES2020 tikslus siekti atsparumo klimato kaitos keliamiems pavojams ir stiprinti stichinių nelaimių prevencijos pajėgumus, NRD yra numatytos priemonės skirtos klimato kaitos švelninimui ir prisitaikymui prie jos. </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Šios veiklos taip pat yra svarbios įgyvendinant ES BJRS tikslo „Padidinti gerovę“ </w:t>
            </w:r>
            <w:proofErr w:type="spellStart"/>
            <w:r w:rsidRPr="00C90FF2">
              <w:rPr>
                <w:rFonts w:ascii="Times New Roman" w:eastAsia="AngsanaUPC" w:hAnsi="Times New Roman" w:cs="Times New Roman"/>
                <w:bCs/>
                <w:lang w:eastAsia="lt-LT"/>
              </w:rPr>
              <w:t>potikslį</w:t>
            </w:r>
            <w:proofErr w:type="spellEnd"/>
            <w:r w:rsidRPr="00C90FF2">
              <w:rPr>
                <w:rFonts w:ascii="Times New Roman" w:eastAsia="AngsanaUPC" w:hAnsi="Times New Roman" w:cs="Times New Roman"/>
                <w:bCs/>
                <w:lang w:eastAsia="lt-LT"/>
              </w:rPr>
              <w:t xml:space="preserve"> „Prisitaikymas prie klimato kaitos, rizikos prevencija ir valdymas“ bei ES BJRS prioritetinę sritį „Civilinė sauga“</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akcentuojama, kad įgyvendinant prisitaikymo prie klimato kaitos, rizikos prevencijos ir valdymo skatinimo veiksmus, investicijos pirmiausia turi būti nukreiptos į stebėsenos, ankstyvojo perspėjimo ir įspėjimo apie pavojų sistemų plėtrą (pirmenybę teikiant nepaprastosios padėties valdymo gebėjimų stiprinimui ir investuojant į atitinkamus reagavimo išteklius), taip pat žinių ir duomenų rinkimo pajėgumų gerinimą, pabrėžiama būtinybė užtikrinti pajūrio zonų apsaugą ir potvynių rizikos prevenciją.</w:t>
            </w:r>
          </w:p>
        </w:tc>
      </w:tr>
      <w:tr w:rsidR="00C90FF2" w:rsidRPr="00C90FF2" w:rsidTr="00C90FF2">
        <w:tc>
          <w:tcPr>
            <w:tcW w:w="1668" w:type="dxa"/>
            <w:vMerge w:val="restart"/>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6. Aplinkos išsaugojimas bei apsauga ir išteklių</w:t>
            </w:r>
            <w:proofErr w:type="gramStart"/>
            <w:r w:rsidRPr="00C90FF2">
              <w:rPr>
                <w:rFonts w:ascii="Times New Roman" w:eastAsia="AngsanaUPC" w:hAnsi="Times New Roman" w:cs="Times New Roman"/>
                <w:bCs/>
                <w:lang w:eastAsia="lt-LT"/>
              </w:rPr>
              <w:t xml:space="preserve">  </w:t>
            </w:r>
            <w:proofErr w:type="gramEnd"/>
            <w:r w:rsidRPr="00C90FF2">
              <w:rPr>
                <w:rFonts w:ascii="Times New Roman" w:eastAsia="AngsanaUPC" w:hAnsi="Times New Roman" w:cs="Times New Roman"/>
                <w:bCs/>
                <w:lang w:eastAsia="lt-LT"/>
              </w:rPr>
              <w:t>veiksmingumo skatinimas</w:t>
            </w: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1. Investicijos į atliekų sektorių, siekiant įvykdyti ES aplinkos </w:t>
            </w:r>
            <w:proofErr w:type="spellStart"/>
            <w:r w:rsidRPr="00C90FF2">
              <w:rPr>
                <w:rFonts w:ascii="Times New Roman" w:hAnsi="Times New Roman" w:cs="Times New Roman"/>
                <w:i/>
                <w:lang w:eastAsia="lt-LT"/>
              </w:rPr>
              <w:t>acquis</w:t>
            </w:r>
            <w:proofErr w:type="spellEnd"/>
            <w:r w:rsidRPr="00C90FF2">
              <w:rPr>
                <w:rFonts w:ascii="Times New Roman" w:hAnsi="Times New Roman" w:cs="Times New Roman"/>
                <w:lang w:eastAsia="lt-LT"/>
              </w:rPr>
              <w:t xml:space="preserve"> reikalavimus ir patenkinti valstybių narių nustatytus poreikius, viršijančius tuos reikalavimus </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Siekiant skatinti augimą ir konkurencingumą, NRD pabrėžiama būtinybė sukurti pakankamą ir veiksmingą aplinkosaugos infrastruktūrą, įgyvendinant atliekų tvarkymo projektus. Numatoma sukurti ir įdiegti atliekų valdymo ir tvarkymo modelį, orientuotą į atliekų susidarymo mažinimą, atliekų rūšiavimą, kompostavimą, perdirbimą ir jų panaudojimą energijai gauti.</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akcentuojama, kad siekiant įgyvendinti ES teisės aktų reikalavimus, atliekų sektoriui vis dar reikalingos didelės investicijos, atkreipiamas dėmesys į perteklinį sąvartynų naudojimą.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Pasirinktas investicinis prioritetas atitinka Teminės atliekų prevencijos ir perdirbimo strategijos nuostatas dėl šalinamų </w:t>
            </w:r>
            <w:r w:rsidRPr="00C90FF2">
              <w:rPr>
                <w:rFonts w:ascii="Times New Roman" w:eastAsia="AngsanaUPC" w:hAnsi="Times New Roman" w:cs="Times New Roman"/>
                <w:bCs/>
                <w:lang w:eastAsia="lt-LT"/>
              </w:rPr>
              <w:lastRenderedPageBreak/>
              <w:t>atliekų kiekio mažinimo, atliekų pakartotinio naudojimo ir žinių bazės tobulinimo.</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2. Investicijos į vandens sektorių, siekiant įvykdyti ES aplinkos </w:t>
            </w:r>
            <w:proofErr w:type="spellStart"/>
            <w:r w:rsidRPr="00C90FF2">
              <w:rPr>
                <w:rFonts w:ascii="Times New Roman" w:hAnsi="Times New Roman" w:cs="Times New Roman"/>
                <w:i/>
                <w:lang w:eastAsia="lt-LT"/>
              </w:rPr>
              <w:t>acquis</w:t>
            </w:r>
            <w:proofErr w:type="spellEnd"/>
            <w:r w:rsidRPr="00C90FF2">
              <w:rPr>
                <w:rFonts w:ascii="Times New Roman" w:hAnsi="Times New Roman" w:cs="Times New Roman"/>
                <w:lang w:eastAsia="lt-LT"/>
              </w:rPr>
              <w:t xml:space="preserve"> reikalavimus ir patenkinti valstybių narių nustatytus poreikius, viršijančius tuos reikalavimus </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NRD numatyta, kad siekiant užtikrinti struktūrines sąlygas ekonomikai augti, būtina vandens tiekimo ir nuotekų tvarkymo infrastruktūros plėtra.</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atkreipiamas dėmesys, kad Lietuvoje vis dar reikalingos esminės investicijos į vandentvarkos sektorių (įskaitant dumblo tvarkymą), ypatingas dėmesys turi būti skirtas kaimo vietovėms, kur gyventojai neturi kokybiškų geriamojo vandens tiekimo ir nuotekų tvarkymo paslaugų, dėl ko paviršiniai ir požeminiai vandens telkiniai yra teršiami ir daugumos jų ekologinė būklė vis dar nėra gera.</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Įgyvendinant šias veiklas, bus prisidedama prie ES BJRS prioritetinės srities „Pavojingos medžiagos“. </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3. Kultūros ir gamtos paveldo apsauga, propagavimas ir vystymas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Nacionalinės darnaus vystymosi strategijoje numatyta plėtoti saugomų teritorijų tinklą, didinti saugomų teritorijų atvirumą visuomenei, skleisti informaciją apie jų svarbą ir tikslus, sudaryti visuomenei platesnes galimybes susipažinti su saugomomis gamtos ir kultūros vertybėmis.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NPP numatyta išsaugoti ir atnaujinti Lietuvos kultūros ir gamtos paveldą.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Minėtos veiklos yra aktualios, įgyvendinant ES BJRS prioritetinę sritį „</w:t>
            </w:r>
            <w:proofErr w:type="spellStart"/>
            <w:r w:rsidRPr="00C90FF2">
              <w:rPr>
                <w:rFonts w:ascii="Times New Roman" w:eastAsia="AngsanaUPC" w:hAnsi="Times New Roman" w:cs="Times New Roman"/>
                <w:bCs/>
                <w:lang w:eastAsia="lt-LT"/>
              </w:rPr>
              <w:t>Bio</w:t>
            </w:r>
            <w:proofErr w:type="spellEnd"/>
            <w:r w:rsidRPr="00C90FF2">
              <w:rPr>
                <w:rFonts w:ascii="Times New Roman" w:eastAsia="AngsanaUPC" w:hAnsi="Times New Roman" w:cs="Times New Roman"/>
                <w:bCs/>
                <w:lang w:eastAsia="lt-LT"/>
              </w:rPr>
              <w:t xml:space="preserve">“ ir </w:t>
            </w:r>
            <w:proofErr w:type="spellStart"/>
            <w:r w:rsidRPr="00C90FF2">
              <w:rPr>
                <w:rFonts w:ascii="Times New Roman" w:eastAsia="AngsanaUPC" w:hAnsi="Times New Roman" w:cs="Times New Roman"/>
                <w:bCs/>
                <w:lang w:eastAsia="lt-LT"/>
              </w:rPr>
              <w:t>Orhuso</w:t>
            </w:r>
            <w:proofErr w:type="spellEnd"/>
            <w:r w:rsidRPr="00C90FF2">
              <w:rPr>
                <w:rFonts w:ascii="Times New Roman" w:eastAsia="AngsanaUPC" w:hAnsi="Times New Roman" w:cs="Times New Roman"/>
                <w:bCs/>
                <w:lang w:eastAsia="lt-LT"/>
              </w:rPr>
              <w:t xml:space="preserve"> konvencijos dėl teisės gauti informaciją, visuomenės dalyvavimo priimant sprendimus ir teisės kreiptis į teismus aplinkos klausimais nuostatas dėl visuomenės švietimo ir sąmoningumo aplinkos srityje skatinimo. </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4. Biologinės įvairovės, dirvožemio apsauga ir atkūrimas, ekosistemų paslaugų, įskaitant </w:t>
            </w:r>
            <w:proofErr w:type="spellStart"/>
            <w:r w:rsidRPr="00C90FF2">
              <w:rPr>
                <w:rFonts w:ascii="Times New Roman" w:hAnsi="Times New Roman" w:cs="Times New Roman"/>
                <w:i/>
                <w:lang w:eastAsia="lt-LT"/>
              </w:rPr>
              <w:t>Natura</w:t>
            </w:r>
            <w:proofErr w:type="spellEnd"/>
            <w:r w:rsidRPr="00C90FF2">
              <w:rPr>
                <w:rFonts w:ascii="Times New Roman" w:hAnsi="Times New Roman" w:cs="Times New Roman"/>
                <w:i/>
                <w:lang w:eastAsia="lt-LT"/>
              </w:rPr>
              <w:t xml:space="preserve"> 2000</w:t>
            </w:r>
            <w:r w:rsidRPr="00C90FF2">
              <w:rPr>
                <w:rFonts w:ascii="Times New Roman" w:hAnsi="Times New Roman" w:cs="Times New Roman"/>
                <w:lang w:eastAsia="lt-LT"/>
              </w:rPr>
              <w:t>, ir žaliosios infrastruktūros skatinimas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 biologinės įvairovės strategijos iki 2020 m. 1 tikslas „Visapusiškai įgyvendinti paukščių ir buveinių direktyvas“, 2 tikslas „Išlaikyti ir gerinti esamą ekosistemų ir jų funkcijų būklę“, 5 tikslas „Kovoti su invazinėmis svetimomis rūšimis“.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NPP numatyta skatinti darnų išteklių naudojimą, užtikrinti ekosistemų stabilumą, gamtos išteklių kokybę ir biologinės įvairovės išsaugojimą. Šios veiklos taip pat yra aktualios įgyvendinant ES BJRS prioritetinę sritį „</w:t>
            </w:r>
            <w:proofErr w:type="spellStart"/>
            <w:r w:rsidRPr="00C90FF2">
              <w:rPr>
                <w:rFonts w:ascii="Times New Roman" w:eastAsia="AngsanaUPC" w:hAnsi="Times New Roman" w:cs="Times New Roman"/>
                <w:bCs/>
                <w:lang w:eastAsia="lt-LT"/>
              </w:rPr>
              <w:t>Bio</w:t>
            </w:r>
            <w:proofErr w:type="spellEnd"/>
            <w:r w:rsidRPr="00C90FF2">
              <w:rPr>
                <w:rFonts w:ascii="Times New Roman" w:eastAsia="AngsanaUPC" w:hAnsi="Times New Roman" w:cs="Times New Roman"/>
                <w:bCs/>
                <w:lang w:eastAsia="lt-LT"/>
              </w:rPr>
              <w:t>“.</w:t>
            </w:r>
            <w:r w:rsidRPr="00C90FF2" w:rsidDel="00762F8C">
              <w:rPr>
                <w:rFonts w:ascii="Times New Roman" w:eastAsia="AngsanaUPC" w:hAnsi="Times New Roman" w:cs="Times New Roman"/>
                <w:bCs/>
                <w:lang w:eastAsia="lt-LT"/>
              </w:rPr>
              <w:t xml:space="preserve"> </w:t>
            </w:r>
            <w:r w:rsidRPr="00C90FF2">
              <w:rPr>
                <w:rFonts w:ascii="Times New Roman" w:eastAsia="AngsanaUPC" w:hAnsi="Times New Roman" w:cs="Times New Roman"/>
                <w:bCs/>
                <w:lang w:eastAsia="lt-LT"/>
              </w:rPr>
              <w:t>EK pozicijoje taip pat atkreipiamas dėmesys į biologinės įvairovės išsaugojimo, atkūrimo ir ekosistemų paslaugų skatinimo poreikį.</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5. Miestų aplinkos gerinimo, miestų atkūrimo, apleistų pramoninių teritorijų (įskaitant pertvarkomas teritorijas) išvalymo ir atkūrimo, oro taršos bei triukšmo mažinimo priemonių skatinimas</w:t>
            </w:r>
          </w:p>
        </w:tc>
        <w:tc>
          <w:tcPr>
            <w:tcW w:w="10064" w:type="dxa"/>
            <w:shd w:val="clear" w:color="auto" w:fill="auto"/>
          </w:tcPr>
          <w:p w:rsidR="00C90FF2" w:rsidRPr="00C90FF2" w:rsidRDefault="00C90FF2" w:rsidP="00C90FF2">
            <w:pPr>
              <w:tabs>
                <w:tab w:val="left" w:pos="622"/>
              </w:tabs>
              <w:autoSpaceDE w:val="0"/>
              <w:autoSpaceDN w:val="0"/>
              <w:adjustRightInd w:val="0"/>
              <w:jc w:val="both"/>
              <w:rPr>
                <w:rFonts w:ascii="Times New Roman" w:eastAsia="Calibri" w:hAnsi="Times New Roman" w:cs="Times New Roman"/>
                <w:color w:val="000000"/>
                <w:lang w:eastAsia="lt-LT"/>
              </w:rPr>
            </w:pPr>
            <w:r w:rsidRPr="00C90FF2">
              <w:rPr>
                <w:rFonts w:ascii="Times New Roman" w:eastAsia="Calibri" w:hAnsi="Times New Roman" w:cs="Times New Roman"/>
                <w:color w:val="000000"/>
                <w:lang w:eastAsia="lt-LT"/>
              </w:rPr>
              <w:t>NPP numatoma tobulinti žemės gelmių išteklių ir dirvožemio valdymą, gerinti geologinės aplinkos kokybę, tvarkyti pažeistas ir užterštas teritorijas, ypač miestuose.</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Calibri" w:hAnsi="Times New Roman" w:cs="Times New Roman"/>
                <w:color w:val="000000"/>
                <w:lang w:eastAsia="lt-LT"/>
              </w:rPr>
              <w:t>EK pozicijoje atkreipiamas dėmesys, kad reikia gerinto oro, vandens ir dirvožemio kokybę. Lietuva koncentruojasi į apleistų teritorijų tvarkymą urbanizuotose teritorijose.</w:t>
            </w:r>
          </w:p>
        </w:tc>
      </w:tr>
      <w:tr w:rsidR="00C90FF2" w:rsidRPr="00C90FF2" w:rsidTr="00C90FF2">
        <w:tc>
          <w:tcPr>
            <w:tcW w:w="1668" w:type="dxa"/>
            <w:vMerge w:val="restart"/>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7. Tvaraus transporto skatinimas ir silpnųjų vietų pagrindinėse tinklo infrastruktūros dalyse šalinimas</w:t>
            </w: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1. </w:t>
            </w:r>
            <w:r w:rsidRPr="00C90FF2">
              <w:rPr>
                <w:rFonts w:ascii="Times New Roman" w:eastAsia="Calibri" w:hAnsi="Times New Roman" w:cs="Times New Roman"/>
              </w:rPr>
              <w:t xml:space="preserve">Bendros Europos daugiarūšio transporto erdvės kūrimo rėmimas investuojant į </w:t>
            </w:r>
            <w:proofErr w:type="spellStart"/>
            <w:r w:rsidRPr="00C90FF2">
              <w:rPr>
                <w:rFonts w:ascii="Times New Roman" w:eastAsia="Calibri" w:hAnsi="Times New Roman" w:cs="Times New Roman"/>
              </w:rPr>
              <w:t>transeuropinį</w:t>
            </w:r>
            <w:proofErr w:type="spellEnd"/>
            <w:r w:rsidRPr="00C90FF2">
              <w:rPr>
                <w:rFonts w:ascii="Times New Roman" w:eastAsia="Calibri" w:hAnsi="Times New Roman" w:cs="Times New Roman"/>
              </w:rPr>
              <w:t xml:space="preserve"> transporto tinklą</w:t>
            </w:r>
          </w:p>
        </w:tc>
        <w:tc>
          <w:tcPr>
            <w:tcW w:w="10064" w:type="dxa"/>
            <w:shd w:val="clear" w:color="auto" w:fill="auto"/>
          </w:tcPr>
          <w:p w:rsidR="00C90FF2" w:rsidRPr="00C90FF2" w:rsidRDefault="00C90FF2" w:rsidP="00C90FF2">
            <w:pPr>
              <w:jc w:val="both"/>
              <w:rPr>
                <w:rFonts w:ascii="Times New Roman" w:eastAsia="Calibri" w:hAnsi="Times New Roman" w:cs="Times New Roman"/>
              </w:rPr>
            </w:pPr>
            <w:r w:rsidRPr="00C90FF2">
              <w:rPr>
                <w:rFonts w:ascii="Times New Roman" w:eastAsia="Calibri" w:hAnsi="Times New Roman" w:cs="Times New Roman"/>
              </w:rPr>
              <w:t xml:space="preserve">ES2020 numato, kad reikia pertvarkyti transporto politiką, integruoti transporto tinklus ir modernizuoti infrastruktūrą. </w:t>
            </w:r>
          </w:p>
          <w:p w:rsidR="00C90FF2" w:rsidRPr="00C90FF2" w:rsidRDefault="00C90FF2" w:rsidP="00C90FF2">
            <w:pPr>
              <w:jc w:val="both"/>
              <w:rPr>
                <w:rFonts w:ascii="Times New Roman" w:eastAsia="Calibri" w:hAnsi="Times New Roman" w:cs="Times New Roman"/>
              </w:rPr>
            </w:pPr>
            <w:r w:rsidRPr="00C90FF2">
              <w:rPr>
                <w:rFonts w:ascii="Times New Roman" w:eastAsia="Calibri" w:hAnsi="Times New Roman" w:cs="Times New Roman"/>
              </w:rPr>
              <w:t xml:space="preserve">Palyginti su kitomis Europos valstybėmis, Lietuvoje avaringumo rodikliai yra vieni iš blogiausių, todėl plėtojant ir modernizuojant transporto jungtis su </w:t>
            </w:r>
            <w:proofErr w:type="spellStart"/>
            <w:r w:rsidRPr="00C90FF2">
              <w:rPr>
                <w:rFonts w:ascii="Times New Roman" w:eastAsia="Calibri" w:hAnsi="Times New Roman" w:cs="Times New Roman"/>
              </w:rPr>
              <w:t>transeuropiniais</w:t>
            </w:r>
            <w:proofErr w:type="spellEnd"/>
            <w:r w:rsidRPr="00C90FF2">
              <w:rPr>
                <w:rFonts w:ascii="Times New Roman" w:eastAsia="Calibri" w:hAnsi="Times New Roman" w:cs="Times New Roman"/>
              </w:rPr>
              <w:t xml:space="preserve"> transporto tinklais būtina skirti daugiau dėmesio saugaus eismo užtikrinimui.</w:t>
            </w:r>
          </w:p>
          <w:p w:rsidR="00C90FF2" w:rsidRPr="00C90FF2" w:rsidRDefault="00C90FF2" w:rsidP="00C90FF2">
            <w:pPr>
              <w:jc w:val="both"/>
              <w:rPr>
                <w:rFonts w:ascii="Times New Roman" w:eastAsia="Calibri" w:hAnsi="Times New Roman" w:cs="Times New Roman"/>
              </w:rPr>
            </w:pPr>
            <w:r w:rsidRPr="00C90FF2">
              <w:rPr>
                <w:rFonts w:ascii="Times New Roman" w:eastAsia="Calibri" w:hAnsi="Times New Roman" w:cs="Times New Roman"/>
              </w:rPr>
              <w:t>NPP numatyta plėtoti ir modernizuoti daugiarūšę transporto infrastruktūrą ir skatinant darnų judumą Europos transporto erdvėje.</w:t>
            </w:r>
          </w:p>
          <w:p w:rsidR="00C90FF2" w:rsidRPr="00C90FF2" w:rsidRDefault="00C90FF2" w:rsidP="00C90FF2">
            <w:pPr>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Minėtos veiklos yra aktualios įgyvendinant ES BJRS prioritetinę sritį „Transportas“, taip pat dalinai įgyvendinant prioritetinę sritį „Saugumas“, kiek tai susiję su v</w:t>
            </w:r>
            <w:r w:rsidRPr="00C90FF2">
              <w:rPr>
                <w:rFonts w:ascii="Times New Roman" w:eastAsia="Calibri" w:hAnsi="Times New Roman" w:cs="Times New Roman"/>
              </w:rPr>
              <w:t>andens transporto infrastruktūros modernizavimu ir plėtra bei vandens transporto saugos didinimu.</w:t>
            </w:r>
            <w:r w:rsidRPr="00C90FF2">
              <w:rPr>
                <w:rFonts w:ascii="Times New Roman" w:eastAsia="AngsanaUPC" w:hAnsi="Times New Roman" w:cs="Times New Roman"/>
                <w:bCs/>
                <w:lang w:eastAsia="lt-LT"/>
              </w:rPr>
              <w:t xml:space="preserve"> </w:t>
            </w:r>
            <w:r w:rsidRPr="00C90FF2">
              <w:rPr>
                <w:rFonts w:ascii="Times New Roman" w:eastAsia="Calibri" w:hAnsi="Times New Roman" w:cs="Times New Roman"/>
              </w:rPr>
              <w:t xml:space="preserve">EK pozicijoje nurodyta, kad reikia didelių investicijų užbaigti </w:t>
            </w:r>
            <w:proofErr w:type="spellStart"/>
            <w:r w:rsidRPr="00C90FF2">
              <w:rPr>
                <w:rFonts w:ascii="Times New Roman" w:eastAsia="Calibri" w:hAnsi="Times New Roman" w:cs="Times New Roman"/>
                <w:i/>
              </w:rPr>
              <w:t>Rail</w:t>
            </w:r>
            <w:proofErr w:type="spellEnd"/>
            <w:r w:rsidRPr="00C90FF2">
              <w:rPr>
                <w:rFonts w:ascii="Times New Roman" w:eastAsia="Calibri" w:hAnsi="Times New Roman" w:cs="Times New Roman"/>
                <w:i/>
              </w:rPr>
              <w:t xml:space="preserve"> </w:t>
            </w:r>
            <w:proofErr w:type="spellStart"/>
            <w:r w:rsidRPr="00C90FF2">
              <w:rPr>
                <w:rFonts w:ascii="Times New Roman" w:eastAsia="Calibri" w:hAnsi="Times New Roman" w:cs="Times New Roman"/>
                <w:i/>
              </w:rPr>
              <w:t>Baltica</w:t>
            </w:r>
            <w:proofErr w:type="spellEnd"/>
            <w:r w:rsidRPr="00C90FF2">
              <w:rPr>
                <w:rFonts w:ascii="Times New Roman" w:eastAsia="Calibri" w:hAnsi="Times New Roman" w:cs="Times New Roman"/>
              </w:rPr>
              <w:t xml:space="preserve"> ruožui, kertančiam visą šalį. Taip pat būtina geriau išvystyti logistikos platformų, kuriose suvienijamas kelių rūšių transportas, koncepciją.</w:t>
            </w:r>
          </w:p>
        </w:tc>
      </w:tr>
      <w:tr w:rsidR="00C90FF2" w:rsidRPr="00C90FF2" w:rsidTr="00C90FF2">
        <w:trPr>
          <w:trHeight w:val="1385"/>
        </w:trPr>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2. Regionų judumo didinimas prie TEN</w:t>
            </w:r>
            <w:proofErr w:type="gramStart"/>
            <w:r w:rsidRPr="00C90FF2">
              <w:rPr>
                <w:rFonts w:ascii="Times New Roman" w:hAnsi="Times New Roman" w:cs="Times New Roman"/>
                <w:lang w:eastAsia="lt-LT"/>
              </w:rPr>
              <w:t>-</w:t>
            </w:r>
            <w:proofErr w:type="gramEnd"/>
            <w:r w:rsidRPr="00C90FF2">
              <w:rPr>
                <w:rFonts w:ascii="Times New Roman" w:hAnsi="Times New Roman" w:cs="Times New Roman"/>
                <w:lang w:eastAsia="lt-LT"/>
              </w:rPr>
              <w:t>T infrastruktūros, prijungiant antrinius ir tretinius transporto mazgus, įskaitant daugiarūšio transporto mazgus</w:t>
            </w:r>
          </w:p>
        </w:tc>
        <w:tc>
          <w:tcPr>
            <w:tcW w:w="10064" w:type="dxa"/>
            <w:shd w:val="clear" w:color="auto" w:fill="auto"/>
          </w:tcPr>
          <w:p w:rsidR="00C90FF2" w:rsidRPr="00C90FF2" w:rsidRDefault="00C90FF2" w:rsidP="00C90FF2">
            <w:pPr>
              <w:jc w:val="both"/>
              <w:rPr>
                <w:rFonts w:ascii="Times New Roman" w:eastAsia="Calibri" w:hAnsi="Times New Roman" w:cs="Times New Roman"/>
              </w:rPr>
            </w:pPr>
            <w:r w:rsidRPr="00C90FF2">
              <w:rPr>
                <w:rFonts w:ascii="Times New Roman" w:eastAsia="Calibri" w:hAnsi="Times New Roman" w:cs="Times New Roman"/>
              </w:rPr>
              <w:t xml:space="preserve">ES2020 pavyzdinėje iniciatyvoje „Tausiai išteklius naudojanti Europa“ numatoma plėtoti pažangią, naujovišką ir visiškai tarpusavyje susietą transporto infrastruktūrą. </w:t>
            </w:r>
          </w:p>
          <w:p w:rsidR="00C90FF2" w:rsidRPr="00C90FF2" w:rsidRDefault="00C90FF2" w:rsidP="00C90FF2">
            <w:pPr>
              <w:widowControl w:val="0"/>
              <w:tabs>
                <w:tab w:val="left" w:pos="622"/>
              </w:tabs>
              <w:jc w:val="both"/>
              <w:rPr>
                <w:rFonts w:ascii="Times New Roman" w:eastAsia="Calibri" w:hAnsi="Times New Roman" w:cs="Times New Roman"/>
              </w:rPr>
            </w:pPr>
            <w:r w:rsidRPr="00C90FF2">
              <w:rPr>
                <w:rFonts w:ascii="Times New Roman" w:eastAsia="Calibri" w:hAnsi="Times New Roman" w:cs="Times New Roman"/>
              </w:rPr>
              <w:t xml:space="preserve">NPP numatyta gerinti judumo sąlygas ir efektyviau valdyti judumo paklausą, plėtoti įvairių rūšių sąveikai būtiną infrastruktūrą. </w:t>
            </w:r>
          </w:p>
          <w:p w:rsidR="00C90FF2" w:rsidRPr="00C90FF2" w:rsidRDefault="00C90FF2" w:rsidP="00C90FF2">
            <w:pPr>
              <w:widowControl w:val="0"/>
              <w:tabs>
                <w:tab w:val="left" w:pos="622"/>
              </w:tabs>
              <w:jc w:val="both"/>
              <w:rPr>
                <w:rFonts w:ascii="Times New Roman" w:eastAsia="Calibri" w:hAnsi="Times New Roman" w:cs="Times New Roman"/>
              </w:rPr>
            </w:pPr>
            <w:r w:rsidRPr="00C90FF2">
              <w:rPr>
                <w:rFonts w:ascii="Times New Roman" w:eastAsia="Calibri" w:hAnsi="Times New Roman" w:cs="Times New Roman"/>
              </w:rPr>
              <w:t>EK pozicijoje nurodyta, kad Lietuvoje trūksta integruotų regionų ir vietos lygmens keleivinio transporto plėtros veiksmų, vietos ir tolimojo susisiekimo keleivių transportas nepakankamai integruoti.</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Minėtos veiklos yra aktualios įgyvendinant ES BJRS prioritetinę sritį „Transportas“, kiek tai susiję su vidinių transporto </w:t>
            </w:r>
            <w:r w:rsidRPr="00C90FF2">
              <w:rPr>
                <w:rFonts w:ascii="Times New Roman" w:eastAsia="AngsanaUPC" w:hAnsi="Times New Roman" w:cs="Times New Roman"/>
                <w:bCs/>
                <w:lang w:eastAsia="lt-LT"/>
              </w:rPr>
              <w:lastRenderedPageBreak/>
              <w:t>jungčių plėtojimu.</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3. </w:t>
            </w:r>
            <w:r w:rsidRPr="00C90FF2">
              <w:rPr>
                <w:rFonts w:ascii="Times New Roman" w:hAnsi="Times New Roman" w:cs="Times New Roman"/>
                <w:bCs/>
                <w:lang w:eastAsia="lt-LT"/>
              </w:rPr>
              <w:t>Energijos vartojimo efektyvumo ir tiekimo patikimumo plėtojant pažangiąsias energijos paskirstymo, saugojimo ir perdavimo sistemas gerinimas ir paskirstytos AIE gamybos diegimas</w:t>
            </w:r>
          </w:p>
        </w:tc>
        <w:tc>
          <w:tcPr>
            <w:tcW w:w="10064" w:type="dxa"/>
            <w:shd w:val="clear" w:color="auto" w:fill="auto"/>
          </w:tcPr>
          <w:p w:rsidR="00C90FF2" w:rsidRPr="00C90FF2" w:rsidRDefault="00C90FF2" w:rsidP="00C90FF2">
            <w:pPr>
              <w:jc w:val="both"/>
              <w:rPr>
                <w:rFonts w:ascii="Times New Roman" w:eastAsia="AngsanaUPC" w:hAnsi="Times New Roman" w:cs="Times New Roman"/>
                <w:bCs/>
                <w:highlight w:val="yellow"/>
                <w:lang w:eastAsia="lt-LT"/>
              </w:rPr>
            </w:pPr>
            <w:r w:rsidRPr="00C90FF2">
              <w:rPr>
                <w:rFonts w:ascii="Times New Roman" w:eastAsia="AngsanaUPC" w:hAnsi="Times New Roman" w:cs="Times New Roman"/>
                <w:bCs/>
                <w:lang w:eastAsia="lt-LT"/>
              </w:rPr>
              <w:t>2014 m. Tarybos rekomendacijoje Lietuvai siūloma plėsti elektros energijos ir dujų</w:t>
            </w:r>
            <w:proofErr w:type="gramStart"/>
            <w:r w:rsidRPr="00C90FF2">
              <w:rPr>
                <w:rFonts w:ascii="Times New Roman" w:eastAsia="AngsanaUPC" w:hAnsi="Times New Roman" w:cs="Times New Roman"/>
                <w:bCs/>
                <w:lang w:eastAsia="lt-LT"/>
              </w:rPr>
              <w:t xml:space="preserve">  </w:t>
            </w:r>
            <w:proofErr w:type="gramEnd"/>
            <w:r w:rsidRPr="00C90FF2">
              <w:rPr>
                <w:rFonts w:ascii="Times New Roman" w:eastAsia="AngsanaUPC" w:hAnsi="Times New Roman" w:cs="Times New Roman"/>
                <w:bCs/>
                <w:lang w:eastAsia="lt-LT"/>
              </w:rPr>
              <w:t>tinklų tarpvalstybines jungtis su kaimyninėmis valstybėmis narėmis, gerinant Baltijos šalių energijos rinkų integraciją.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Calibri" w:hAnsi="Times New Roman" w:cs="Times New Roman"/>
                <w:bCs/>
              </w:rPr>
              <w:t>Remiantis 2011 m. vasario 4 d. EVT išvadomis, iki 2014 m. turi būti sukurta energetikos vidaus rinka, o iki 2015 m. turi būti panaikinta ES valstybių narių „energetinė izoliacija“.</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Lietuvos Nacionalinės energetinės nepriklausomybės strategijoje taip pat įtvirtinti susijungimo su ES energijos tinklais tikslai. Kad tarpvalstybinės jungtys taptų funkcionuojančiomis, būtina stiprinti ir vidinį tinklą. </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Pagal ES BJRS prioritetinę sritį „Energetika“ taip pat numatoma gerinti elektros rinkų jungtis. ES BJRS veiksmų plane minimi tokie projektai kaip „</w:t>
            </w:r>
            <w:proofErr w:type="spellStart"/>
            <w:r w:rsidRPr="00C90FF2">
              <w:rPr>
                <w:rFonts w:ascii="Times New Roman" w:eastAsia="AngsanaUPC" w:hAnsi="Times New Roman" w:cs="Times New Roman"/>
                <w:bCs/>
                <w:lang w:eastAsia="lt-LT"/>
              </w:rPr>
              <w:t>LitPol</w:t>
            </w:r>
            <w:proofErr w:type="spellEnd"/>
            <w:r w:rsidRPr="00C90FF2">
              <w:rPr>
                <w:rFonts w:ascii="Times New Roman" w:eastAsia="AngsanaUPC" w:hAnsi="Times New Roman" w:cs="Times New Roman"/>
                <w:bCs/>
                <w:lang w:eastAsia="lt-LT"/>
              </w:rPr>
              <w:t>“ ir „</w:t>
            </w:r>
            <w:proofErr w:type="spellStart"/>
            <w:r w:rsidRPr="00C90FF2">
              <w:rPr>
                <w:rFonts w:ascii="Times New Roman" w:eastAsia="AngsanaUPC" w:hAnsi="Times New Roman" w:cs="Times New Roman"/>
                <w:bCs/>
                <w:lang w:eastAsia="lt-LT"/>
              </w:rPr>
              <w:t>NordBalt</w:t>
            </w:r>
            <w:proofErr w:type="spellEnd"/>
            <w:r w:rsidRPr="00C90FF2">
              <w:rPr>
                <w:rFonts w:ascii="Times New Roman" w:eastAsia="AngsanaUPC" w:hAnsi="Times New Roman" w:cs="Times New Roman"/>
                <w:bCs/>
                <w:lang w:eastAsia="lt-LT"/>
              </w:rPr>
              <w:t xml:space="preserve">“, kuriais bus tiesiamos </w:t>
            </w:r>
            <w:r w:rsidRPr="00C90FF2">
              <w:rPr>
                <w:rFonts w:ascii="Times New Roman" w:eastAsia="AngsanaUPC" w:hAnsi="Times New Roman" w:cs="Times New Roman"/>
                <w:bCs/>
                <w:iCs/>
                <w:lang w:eastAsia="lt-LT"/>
              </w:rPr>
              <w:t xml:space="preserve">naujos pažangios elektros energijos perdavimo linijos </w:t>
            </w:r>
            <w:r w:rsidRPr="00C90FF2">
              <w:rPr>
                <w:rFonts w:ascii="Times New Roman" w:eastAsia="AngsanaUPC" w:hAnsi="Times New Roman" w:cs="Times New Roman"/>
                <w:bCs/>
                <w:lang w:eastAsia="lt-LT"/>
              </w:rPr>
              <w:t xml:space="preserve">atitinkamai tarp Lietuvos–Lenkijos ir Lietuvos–Švedijos; taip pat </w:t>
            </w:r>
            <w:r w:rsidRPr="00C90FF2">
              <w:rPr>
                <w:rFonts w:ascii="Times New Roman" w:eastAsia="AngsanaUPC" w:hAnsi="Times New Roman" w:cs="Times New Roman"/>
                <w:bCs/>
                <w:iCs/>
                <w:lang w:eastAsia="lt-LT"/>
              </w:rPr>
              <w:t>SGD terminalo statyba.</w:t>
            </w:r>
          </w:p>
        </w:tc>
      </w:tr>
      <w:tr w:rsidR="00C90FF2" w:rsidRPr="00C90FF2" w:rsidTr="00C90FF2">
        <w:tc>
          <w:tcPr>
            <w:tcW w:w="1668" w:type="dxa"/>
            <w:vMerge w:val="restart"/>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8. Užimtumo skatinimas ir darbo jėgos judumo rėmimas</w:t>
            </w: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1. Užimtumą skatinančio ekonomikos augimo, kuriant vidinį potencialą, rėmimas kaip dalis konkrečioms sritims skirtos</w:t>
            </w:r>
            <w:r w:rsidRPr="00C90FF2" w:rsidDel="002536CE">
              <w:rPr>
                <w:rFonts w:ascii="Times New Roman" w:hAnsi="Times New Roman" w:cs="Times New Roman"/>
                <w:lang w:eastAsia="lt-LT"/>
              </w:rPr>
              <w:t xml:space="preserve"> </w:t>
            </w:r>
            <w:r w:rsidRPr="00C90FF2">
              <w:rPr>
                <w:rFonts w:ascii="Times New Roman" w:hAnsi="Times New Roman" w:cs="Times New Roman"/>
                <w:lang w:eastAsia="lt-LT"/>
              </w:rPr>
              <w:t>teritorinės strategijos, įskaitant nuosmukį patiriančių pramoninių regionų pertvarkymą ir specifinių gamtos ir kultūros išteklių prieinamumo bei naudojimosi jais gerinimą</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Šis investicinis prioritetas prisidės prie strategijos ES2020 prioriteto „Integracinis ekonomikos augimas“. Siekiant ES2020 pagrindinio tikslo dėl gyventojų užimtumo, Lietuvos nacionalinis tikslas – iki 2020 m. padidinti gyventojų užimtumą iki 72,8 proc. Tačiau šalyje egzistuojantys miestų plėtros netolygumai rodo, kad miestų ar atskirų jų teritorijų dalių turimas potencialas naudojamas nepakankamai.  Siekiant minėto tikslo būtina vystyti didele ekonominių veiklų įvairove pasižyminčius, patrauklius investuoti ir kurti darbo vietas mažuosius ir vidutinius miestus bei efektyviai ir tvariai naudojamas didžiųjų miestų teritorijas. Todėl bus siekiama sumažinti ekonominio vystymosi netolygumus šalyje, siekiant maksimaliai išnaudoti miestų ekonominį potencialą,</w:t>
            </w:r>
            <w:proofErr w:type="gramStart"/>
            <w:r w:rsidRPr="00C90FF2">
              <w:rPr>
                <w:rFonts w:ascii="Times New Roman" w:eastAsia="AngsanaUPC" w:hAnsi="Times New Roman" w:cs="Times New Roman"/>
                <w:bCs/>
                <w:lang w:eastAsia="lt-LT"/>
              </w:rPr>
              <w:t xml:space="preserve">  </w:t>
            </w:r>
            <w:proofErr w:type="gramEnd"/>
            <w:r w:rsidRPr="00C90FF2">
              <w:rPr>
                <w:rFonts w:ascii="Times New Roman" w:eastAsia="AngsanaUPC" w:hAnsi="Times New Roman" w:cs="Times New Roman"/>
                <w:bCs/>
                <w:lang w:eastAsia="lt-LT"/>
              </w:rPr>
              <w:t>kuriant naujas darbo vietas.</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2. Investicijos į valstybės įdarbinimo tarnybų infrastruktūrą</w:t>
            </w:r>
          </w:p>
        </w:tc>
        <w:tc>
          <w:tcPr>
            <w:tcW w:w="10064" w:type="dxa"/>
            <w:shd w:val="clear" w:color="auto" w:fill="auto"/>
          </w:tcPr>
          <w:p w:rsidR="00C90FF2" w:rsidRPr="00C90FF2" w:rsidRDefault="00C90FF2" w:rsidP="00C90FF2">
            <w:pPr>
              <w:jc w:val="both"/>
              <w:rPr>
                <w:rFonts w:ascii="Times New Roman" w:eastAsia="Calibri" w:hAnsi="Times New Roman" w:cs="Times New Roman"/>
                <w:bCs/>
              </w:rPr>
            </w:pPr>
            <w:r w:rsidRPr="00C90FF2">
              <w:rPr>
                <w:rFonts w:ascii="Times New Roman" w:eastAsia="Calibri" w:hAnsi="Times New Roman" w:cs="Times New Roman"/>
                <w:bCs/>
              </w:rPr>
              <w:t>ES2020 pavyzdinė iniciatyva „Naujų įgūdžių ir darbo vietų kūrimo darbotvarkė“ numato, kad reikia sudaryti sąlygas modernizuoti darbo rinkas, kad būtų didinimas užimtumo lygis ir užtikrinimas mūsų socialinių modelių tvarumas.</w:t>
            </w:r>
          </w:p>
          <w:p w:rsidR="00C90FF2" w:rsidRPr="00C90FF2" w:rsidRDefault="00C90FF2" w:rsidP="00C90FF2">
            <w:pPr>
              <w:jc w:val="both"/>
              <w:rPr>
                <w:rFonts w:ascii="Times New Roman" w:eastAsia="AngsanaUPC" w:hAnsi="Times New Roman" w:cs="Times New Roman"/>
                <w:bCs/>
                <w:lang w:eastAsia="lt-LT"/>
              </w:rPr>
            </w:pPr>
            <w:r w:rsidRPr="00C90FF2">
              <w:rPr>
                <w:rFonts w:ascii="Times New Roman" w:eastAsia="Calibri" w:hAnsi="Times New Roman" w:cs="Times New Roman"/>
                <w:bCs/>
              </w:rPr>
              <w:t>NRD numatoma didinti darbo biržos teikiamų paslaugų veiksmingumą ir aktyvios darbo rinkos politikos (ADRP) priemonių aprėptį, įskaitant gebėjimų tobulinimą.</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3. Galimybės gauti darbą suteikimas ieškantiems darbo ir neaktyviems asmenims, įskaitant ilgalaikius bedarbius ir asmenis, nutolusius nuo darbo rinkos, pasitelkiant vietos užimtumo iniciatyvas ir remiant darbo jėgos judumą</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2014 m. Tarybos rekomendacijoje Lietuvai siūloma tikslingiau taikyti aktyvios darbo rinkos politikos priemones žemos kvalifikacijos ir ilgalaikiams bedarbiams. ES2020 pavyzdinė iniciatyva „Naujų įgūdžių ir darbo vietų kūrimo darbotvarkė“ numato pagrindinius prioritetus, skirtus didinti užimtumo lygį, ypač moterų, jaunimo ir vyresnio amžiaus žmonių. </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NRD nurodoma, kad Lietuvai svarbu vykdyti struktūrinio nedarbo prevenciją ir vystyti įtraukią darbo rinką, taip šalinant kliūtis ekonomikai augti.</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siūloma gerinti ADRP veiksmingumą, aprėptį ir orientavimą, taikant integruotas priemones didinti savarankiškai dirbančiųjų skaičių ir įmonių steigimą.</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4. Jaunimo, visų pirma nedirbančio ir nesimokančio, įskaitant </w:t>
            </w:r>
            <w:proofErr w:type="spellStart"/>
            <w:r w:rsidRPr="00C90FF2">
              <w:rPr>
                <w:rFonts w:ascii="Times New Roman" w:hAnsi="Times New Roman" w:cs="Times New Roman"/>
                <w:lang w:eastAsia="lt-LT"/>
              </w:rPr>
              <w:t>marginalių</w:t>
            </w:r>
            <w:proofErr w:type="spellEnd"/>
            <w:r w:rsidRPr="00C90FF2">
              <w:rPr>
                <w:rFonts w:ascii="Times New Roman" w:hAnsi="Times New Roman" w:cs="Times New Roman"/>
                <w:lang w:eastAsia="lt-LT"/>
              </w:rPr>
              <w:t xml:space="preserve"> bendruomenių jaunimą ir tą, kuriam kyla socialinės atskirties pavojus, ilgalaikė integracija į darbo rinką, taip pat ir įgyvendinant Jaunimo garantijų iniciatyvą </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2014 m. Tarybos rekomendacijoje Lietuvai siūloma didinti jaunimo galimybes įsidarbinti, skatinant kokybiškas pameistrystės programas ir stiprinant partnerystę su privačiu sektoriumi, ypač jaunimo, skiriant daugiau išteklių ADRP priemonėms. </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ES2020 pavyzdinė iniciatyva „Judus jaunimas“ siekia pagerinti jaunų žmonių įsitraukimą į darbo rinką, teikiant profesinį orientavimą, konsultavimo paslaugas, skatinant stažuotes ir kt.</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Šis investicinis prioritetas tiesiogiai prisidės, įgyvendinant Tarybos rekomendaciją dėl jaunimo garantijos (COM(2012) 729 </w:t>
            </w:r>
            <w:proofErr w:type="spellStart"/>
            <w:r w:rsidRPr="00C90FF2">
              <w:rPr>
                <w:rFonts w:ascii="Times New Roman" w:eastAsia="AngsanaUPC" w:hAnsi="Times New Roman" w:cs="Times New Roman"/>
                <w:bCs/>
                <w:lang w:eastAsia="lt-LT"/>
              </w:rPr>
              <w:t>final</w:t>
            </w:r>
            <w:proofErr w:type="spellEnd"/>
            <w:r w:rsidRPr="00C90FF2">
              <w:rPr>
                <w:rFonts w:ascii="Times New Roman" w:eastAsia="AngsanaUPC" w:hAnsi="Times New Roman" w:cs="Times New Roman"/>
                <w:bCs/>
                <w:lang w:eastAsia="lt-LT"/>
              </w:rPr>
              <w:t xml:space="preserve">) ir Komisijos komunikatą dėl jaunimo užimtumo iniciatyvos (COM(2013) 144 </w:t>
            </w:r>
            <w:proofErr w:type="spellStart"/>
            <w:r w:rsidRPr="00C90FF2">
              <w:rPr>
                <w:rFonts w:ascii="Times New Roman" w:eastAsia="AngsanaUPC" w:hAnsi="Times New Roman" w:cs="Times New Roman"/>
                <w:bCs/>
                <w:lang w:eastAsia="lt-LT"/>
              </w:rPr>
              <w:t>final</w:t>
            </w:r>
            <w:proofErr w:type="spellEnd"/>
            <w:r w:rsidRPr="00C90FF2">
              <w:rPr>
                <w:rFonts w:ascii="Times New Roman" w:eastAsia="AngsanaUPC" w:hAnsi="Times New Roman" w:cs="Times New Roman"/>
                <w:bCs/>
                <w:lang w:eastAsia="lt-LT"/>
              </w:rPr>
              <w:t>).</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siūloma įgyvendinti Jaunimo garantijų iniciatyvą.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lastRenderedPageBreak/>
              <w:t>Veiklos, skirtos mokymui ir stažuotėms, siekiant integruoti jaunimą į darbo rinką, prisidės prie ES BJRS prioritetinės srities „Švietimas“ įgyvendinimo.</w:t>
            </w:r>
          </w:p>
        </w:tc>
      </w:tr>
      <w:tr w:rsidR="00C90FF2" w:rsidRPr="00C90FF2" w:rsidTr="00C90FF2">
        <w:tc>
          <w:tcPr>
            <w:tcW w:w="1668" w:type="dxa"/>
            <w:vMerge w:val="restart"/>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lastRenderedPageBreak/>
              <w:t>9. Socialinės įtraukties skatinimas ir kova su skurdu bei diskriminacija</w:t>
            </w: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1. Investicijos į sveikatos ir socialinę infrastruktūrą, kuria prisidedama prie nacionalinės, regionų ir vietos plėtros, su sveikatos būkle susijusios nelygybės mažinimo, socialinės įtraukties skatinimo, suteikiant geresnę prieigą prie socialinių, kultūrinių ir rekreacinių paslaugų, ir perėjimo nuo institucinių prie bendruomeninių paslaugų</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2014 m. Tarybos rekomendacijoje Lietuvai rekomenduojama užtikrinti, kad reikiama parama būtų teikiama asmenims, kuriems labiausiai jos reikia, toliau stiprinti piniginės socialinės paramos sistemos sąsajas su aktyvumo skatinimo priemonėmis.  Siekiant ES2020 pagrindinio tikslo dėl skurdo mažinimo, Lietuva numato 2020 m. sumažinti skurdą arba atskirties riziką patiriančių žmonių skaičių iki 814 tūkst.</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ES2020 pabrėžiama, kad būtinos pastangos mažinant skurdą, socialinę atskirtį ir sveikatos netolygumus.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NRD nurodoma, kad viena iš pagrindinių skurdo ir socialinės atskirties mažinimo krypčių – sveikatos santykių teisumą skatinanti sveikatos apsaugos politika.</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2. Fizinio, ekonominio ir socialinio nepasiturinčių miestų ir kaimų bendruomenių bei vietovių atnaujinimo rėmimas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Lietuvoje didžiausią skurdo riziką patiria kaimo vietovių gyventojai. Lietuvoje skurdo rizikos lygis kaime 2011 m. buvo 2,4 karto didesnis nei didžiuosiuose miestuose. Lyginant su kitomis gyvenamųjų vietovių grupėmis, kaimo vietovės sparčiausiai sensta dėl nepakankamos natūralios gyventojų kaitos.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ES2020 pavyzdinė iniciatyva „Europos kovos su skurdu planas“ numato, kad reikia mažinti skirtumus ir nuolat kovoti su skurdu, ypač miestuose, imtis tikslinių veiksmų ekonominiu ir socialiniu požiūriu. </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siūloma daugiau dėmesio skirti skirtumų tarp miesto ir kaimo vietovių mažinimui, taip pat ir investuojant į nedidelės apimties infrastruktūrą, pagerinančią pagrindinių paslaugų prieinamumą ir gyvenimo kokybę vietos bendruomenėms.</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3. Aktyvi </w:t>
            </w:r>
            <w:proofErr w:type="spellStart"/>
            <w:r w:rsidRPr="00C90FF2">
              <w:rPr>
                <w:rFonts w:ascii="Times New Roman" w:hAnsi="Times New Roman" w:cs="Times New Roman"/>
                <w:lang w:eastAsia="lt-LT"/>
              </w:rPr>
              <w:t>įtrauktis</w:t>
            </w:r>
            <w:proofErr w:type="spellEnd"/>
            <w:r w:rsidRPr="00C90FF2">
              <w:rPr>
                <w:rFonts w:ascii="Times New Roman" w:hAnsi="Times New Roman" w:cs="Times New Roman"/>
                <w:lang w:eastAsia="lt-LT"/>
              </w:rPr>
              <w:t>, visų pirma siekiant skatinti lygias galimybes, dalyvavimą darbo rinkoje ir geresnes įsidarbinimo galimybes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2014 m. Tarybos rekomendacijoje Lietuvai siūloma tikslingiau taikyti aktyvios darbo rinkos politikos priemones žemos kvalifikacijos ir ilgalaikiams bedarbiams. ES2020 pavyzdinė iniciatyva „Europos kovos su skurdu planas“ nustato, kad geriausias būdas išbristi iš skurdo yra pasiekti ES2020 nustatytą tikslą dėl gyventojų užimtumo. Užsibrėžtas nacionalinis tikslas – iki 2020 m. padidinti gyventojų užimtumą iki 72,8 proc.</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NRD numatytas socialiai pažeidžiamų visuomenės grupių galimybių dalyvauti darbo rinkoje didinimas ir asmens, visuomenės ir rinkos poreikius atitinkančios švietimo ir kultūros, pagalbos ir paslaugų sistemos, skirtos socialiai pažeidžiamų visuomenės grupių prevencijai, tobulinimas. </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siūloma integruoti į darbo rinką bedarbius arba darbo rinkoje nedalyvaujančius darbingo amžiaus skurdo riziką patiriančius asmenis.</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4. Galimybių gauti įperkamas, darnias ir aukštos kokybės paslaugas didinimas, įskaitant sveikatos priežiūrą ir visuotinės svarbos socialines paslaugas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ES2020 numatoma, kad mažinant skurdą, socialinę atskirtį ir sveikatos netolygumus būtina gerinti vaikų ir kitų priklausomų asmenų priežiūros paslaugų prieinamumą.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ES2020 pavyzdinė iniciatyva „Europos kovos su skurdu planas“ skatina ES valstybes nares įgyvendinti priemones, skirtas padėti ypatingoje atskirties rizikoje dėl specifinių aplinkybių esančioms grupėms, tarp jų neįgaliesiems, mažumoms, įskaitant romus, benamiams ir pan.</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2010–2020 m. Europos strategijoje dėl negalios bei 2010–2015 m. moterų ir vyrų lygybės strategijoje kalbama apie būtinybę palengvinti šeimos ir darbo įsipareigojimų derinimą, užtikrinant galimybes naudotis kokybiškomis ir nebrangiomis priežiūros paslaugomis, sudarant profesionaliems slaugytojams palankias darbo sąlygas, remiant šeimas bei artimuosius slaugančius asmenis.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NRD numatoma gerinti tinkamos kokybės socialinių paslaugų prieinamumą, plačiau įtraukiant bendruomenes ir nevyriausybines organizacijas (NVO).</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5. Socialinės verslininkystės ir profesinės integracijos socialinėse įmonėse bei socialinės ir solidarumo ekonomikos </w:t>
            </w:r>
            <w:r w:rsidRPr="00C90FF2">
              <w:rPr>
                <w:rFonts w:ascii="Times New Roman" w:hAnsi="Times New Roman" w:cs="Times New Roman"/>
                <w:lang w:eastAsia="lt-LT"/>
              </w:rPr>
              <w:lastRenderedPageBreak/>
              <w:t>skatinimas, siekiant padidinti įsidarbinimo galimybes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lastRenderedPageBreak/>
              <w:t>ES2020 pavyzdinė iniciatyva „Globalizacijos erai pritaikyta pramonės politika“ nurodo, kad būtina skatinti įmonių socialinę atsakomybę, siekiant užtikrinti ilgalaikį darbuotojų ir vartotojų pasitikėjimą.</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EK komunikate, skirtame socialinėms investicijoms (COM(2013) 83final), valstybės narės raginamos socialinio verslo </w:t>
            </w:r>
            <w:r w:rsidRPr="00C90FF2">
              <w:rPr>
                <w:rFonts w:ascii="Times New Roman" w:eastAsia="AngsanaUPC" w:hAnsi="Times New Roman" w:cs="Times New Roman"/>
                <w:bCs/>
                <w:lang w:eastAsia="lt-LT"/>
              </w:rPr>
              <w:lastRenderedPageBreak/>
              <w:t xml:space="preserve">plėtrai skirti ESI fondų lėšas. </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NRD numatoma didinti darbdavių </w:t>
            </w:r>
            <w:proofErr w:type="spellStart"/>
            <w:r w:rsidRPr="00C90FF2">
              <w:rPr>
                <w:rFonts w:ascii="Times New Roman" w:eastAsia="AngsanaUPC" w:hAnsi="Times New Roman" w:cs="Times New Roman"/>
                <w:bCs/>
                <w:lang w:eastAsia="lt-LT"/>
              </w:rPr>
              <w:t>suinteresuotuma</w:t>
            </w:r>
            <w:proofErr w:type="spellEnd"/>
            <w:r w:rsidRPr="00C90FF2">
              <w:rPr>
                <w:rFonts w:ascii="Times New Roman" w:eastAsia="AngsanaUPC" w:hAnsi="Times New Roman" w:cs="Times New Roman"/>
                <w:bCs/>
                <w:lang w:eastAsia="lt-LT"/>
              </w:rPr>
              <w:t>̨ kurti naujas tinkamos kokybės darbo vietas, tam pasitelkiant ir įmonių socialinės atsakomybės plėtrą. Taip pat ketinama vykdyti socialinį dialogą, kuris padėtų modernizuoti darbo santykius – užtikrinti lanksčias darbo sutarčių sąlygas, darbo laiko reguliavimo ir darbo organizavimo galimybes.</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6. Bendruomenės inicijuojamų vietos plėtros (BIVP) strategijų įgyvendinimas</w:t>
            </w:r>
          </w:p>
        </w:tc>
        <w:tc>
          <w:tcPr>
            <w:tcW w:w="10064"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ES2020 pavyzdinė iniciatyva „Europos kovos su skurdu planas“ numato galimybes vietos grupėms pasinaudoti ES fondų lėšomis, siekiant skatinti bendruomeninius metodus.</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Sparčiai besivystantys didesni šalies miestai sutraukia didelius migracijos srautus, o su naujais gyventojais gaunamos ir papildomos socialinės problemos. </w:t>
            </w:r>
            <w:proofErr w:type="gramStart"/>
            <w:r w:rsidRPr="00C90FF2">
              <w:rPr>
                <w:rFonts w:ascii="Times New Roman" w:eastAsia="AngsanaUPC" w:hAnsi="Times New Roman" w:cs="Times New Roman"/>
                <w:bCs/>
                <w:lang w:eastAsia="lt-LT"/>
              </w:rPr>
              <w:t>Tuo tarpu</w:t>
            </w:r>
            <w:proofErr w:type="gramEnd"/>
            <w:r w:rsidRPr="00C90FF2">
              <w:rPr>
                <w:rFonts w:ascii="Times New Roman" w:eastAsia="AngsanaUPC" w:hAnsi="Times New Roman" w:cs="Times New Roman"/>
                <w:bCs/>
                <w:lang w:eastAsia="lt-LT"/>
              </w:rPr>
              <w:t xml:space="preserve"> mažesniuose miestuose vykstantis spartus gyventojų skaičiaus mažėjimas lemia mažėjantį ekonominį aktyvumą ir paslaugų prieinamumą visame mieste.</w:t>
            </w:r>
          </w:p>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siūloma naudoti naują BIVP metodą, skatinant socialinę įtrauktį ir remiantis LEADER įgyvendinimo patirtimi. Šis metodas ypač svarbus palankių sąlygų neturinčiose, socialiai izoliuotose vietovėse, mažuose ir vidutiniuose miestuose ir jų apylinkėse.</w:t>
            </w:r>
          </w:p>
        </w:tc>
      </w:tr>
      <w:tr w:rsidR="00C90FF2" w:rsidRPr="00C90FF2" w:rsidTr="00C90FF2">
        <w:tc>
          <w:tcPr>
            <w:tcW w:w="1668" w:type="dxa"/>
            <w:vMerge w:val="restart"/>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10. Investicijos į švietimą, gebėjimus ir mokymąsi visą gyvenimą</w:t>
            </w: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1. Investicijos į švietimą, profesinį mokymą, skirtos švietimo ir mokymo infrastruktūrai tobulinti, siekiant suteikti įgūdžių ir užtikrinti mokymosi visą gyvenimą galimybę</w:t>
            </w:r>
          </w:p>
        </w:tc>
        <w:tc>
          <w:tcPr>
            <w:tcW w:w="10064" w:type="dxa"/>
            <w:shd w:val="clear" w:color="auto" w:fill="auto"/>
          </w:tcPr>
          <w:p w:rsidR="00C90FF2" w:rsidRPr="00C90FF2" w:rsidRDefault="00C90FF2" w:rsidP="00C90FF2">
            <w:pPr>
              <w:jc w:val="both"/>
              <w:rPr>
                <w:rFonts w:ascii="Times New Roman" w:eastAsia="Calibri" w:hAnsi="Times New Roman" w:cs="Times New Roman"/>
                <w:iCs/>
              </w:rPr>
            </w:pPr>
            <w:r w:rsidRPr="00C90FF2">
              <w:rPr>
                <w:rFonts w:ascii="Times New Roman" w:eastAsia="Calibri" w:hAnsi="Times New Roman" w:cs="Times New Roman"/>
                <w:bCs/>
              </w:rPr>
              <w:t>ES2020 pavyzdinė iniciatyva „Naujų įgūdžių ir darbo vietų kūrimo darbotvarkė“ numato, kad įgyvendinant įgūdžių ugdymo ir jų tinkamumo tikslą, reikia vystyti švietimo infrastruktūrą.</w:t>
            </w:r>
          </w:p>
          <w:p w:rsidR="00C90FF2" w:rsidRPr="00C90FF2" w:rsidRDefault="00C90FF2" w:rsidP="00C90FF2">
            <w:pPr>
              <w:jc w:val="both"/>
              <w:rPr>
                <w:rFonts w:ascii="Times New Roman" w:eastAsia="AngsanaUPC" w:hAnsi="Times New Roman" w:cs="Times New Roman"/>
                <w:bCs/>
                <w:lang w:eastAsia="lt-LT"/>
              </w:rPr>
            </w:pPr>
            <w:r w:rsidRPr="00C90FF2">
              <w:rPr>
                <w:rFonts w:ascii="Times New Roman" w:eastAsia="Calibri" w:hAnsi="Times New Roman" w:cs="Times New Roman"/>
                <w:iCs/>
              </w:rPr>
              <w:t>NRD numato įgyvendinti bendrojo ugdymo mokyklų ir profesinio mokymo įstaigų mokinių bei aukštųjų mokyklų studentų ugdymui ir karjerai skirtus projektus. Taip pat projektus, skirtus karjeros stebėsenai atlikti ir infrastruktūrai plėtoti.</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2. Mokyklos nebaigiančių asmenų skaičiaus mažinimas ir mokyklos nebaigimo prevencija, lygių galimybių gauti geros kokybės ikimokyklinį, pradinį, pagrindinį ir vidurinį išsilavinimą, įskaitant grįžimui į švietimo ir mokymo procesą skirtus mokymosi būdus, tarp jų formalųjį, neformalųjį mokymąsi ir savišvietą, užtikrinimas</w:t>
            </w:r>
          </w:p>
        </w:tc>
        <w:tc>
          <w:tcPr>
            <w:tcW w:w="10064" w:type="dxa"/>
            <w:shd w:val="clear" w:color="auto" w:fill="auto"/>
          </w:tcPr>
          <w:p w:rsidR="00C90FF2" w:rsidRPr="00C90FF2" w:rsidRDefault="00C90FF2" w:rsidP="00C90FF2">
            <w:pPr>
              <w:jc w:val="both"/>
              <w:rPr>
                <w:rFonts w:ascii="Times New Roman" w:eastAsia="Calibri" w:hAnsi="Times New Roman" w:cs="Times New Roman"/>
                <w:iCs/>
              </w:rPr>
            </w:pPr>
            <w:r w:rsidRPr="00C90FF2">
              <w:rPr>
                <w:rFonts w:ascii="Times New Roman" w:eastAsia="AngsanaUPC" w:hAnsi="Times New Roman" w:cs="Times New Roman"/>
                <w:bCs/>
                <w:lang w:eastAsia="lt-LT"/>
              </w:rPr>
              <w:t xml:space="preserve">Siekdama ES2020 tikslo sumažinti mokyklos nebaigusių asmenų skaičių iki mažiau nei 10 proc., Lietuva numato šį procentą sumažinti iki 9 proc., </w:t>
            </w:r>
            <w:r w:rsidRPr="00C90FF2">
              <w:rPr>
                <w:rFonts w:ascii="Times New Roman" w:eastAsia="Calibri" w:hAnsi="Times New Roman" w:cs="Times New Roman"/>
                <w:iCs/>
              </w:rPr>
              <w:t>prioritetą skiriant kaimiškoms vietovėms, kur pasitraukusiųjų skaičius viršijo ES nustatytą tikslą.</w:t>
            </w:r>
          </w:p>
          <w:p w:rsidR="00C90FF2" w:rsidRPr="00C90FF2" w:rsidRDefault="00C90FF2" w:rsidP="00C90FF2">
            <w:pPr>
              <w:jc w:val="both"/>
              <w:rPr>
                <w:rFonts w:ascii="Times New Roman" w:eastAsia="Calibri" w:hAnsi="Times New Roman" w:cs="Times New Roman"/>
                <w:iCs/>
              </w:rPr>
            </w:pPr>
            <w:r w:rsidRPr="00C90FF2">
              <w:rPr>
                <w:rFonts w:ascii="Times New Roman" w:eastAsia="Calibri" w:hAnsi="Times New Roman" w:cs="Times New Roman"/>
                <w:iCs/>
              </w:rPr>
              <w:t>Lietuvoje dėl neracionalaus mokyklų tinklo, neišplėtotos švietimo pagalbos infrastruktūros ir nepakankamos pedagogų kvalifikacijos bei kompetencijos didėjo atotrūkis tarp regionų.</w:t>
            </w:r>
          </w:p>
          <w:p w:rsidR="00C90FF2" w:rsidRPr="00C90FF2" w:rsidRDefault="00C90FF2" w:rsidP="00C90FF2">
            <w:pPr>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EK pozicijoje siūloma sukurti ir įdiegti nuoseklias ir įrodymais pagrįstas mokyklos nebaigusių asmenų skaičiaus mažinimo strategijas, integruoti mokinius, turinčius specialiųjų poreikių ir priklausančius socialiai atskirtoms bendruomenės grupėms.</w:t>
            </w:r>
          </w:p>
          <w:p w:rsidR="00C90FF2" w:rsidRPr="00C90FF2" w:rsidRDefault="00C90FF2" w:rsidP="00C90FF2">
            <w:pPr>
              <w:jc w:val="both"/>
              <w:rPr>
                <w:rFonts w:ascii="Times New Roman" w:eastAsia="Calibri" w:hAnsi="Times New Roman" w:cs="Times New Roman"/>
                <w:iCs/>
              </w:rPr>
            </w:pPr>
            <w:r w:rsidRPr="00C90FF2">
              <w:rPr>
                <w:rFonts w:ascii="Times New Roman" w:eastAsia="Calibri" w:hAnsi="Times New Roman" w:cs="Times New Roman"/>
                <w:iCs/>
              </w:rPr>
              <w:t xml:space="preserve">Taip pat pagal šį investicinį prioritetą gali būti įgyvendinamos veiklos, prisidedančios prie ES BJRS prioritetinės srities „Švietimas“, kiek jos susijusios su stažuotėmis ir tarptautinės patirties įgijimu. </w:t>
            </w:r>
          </w:p>
        </w:tc>
      </w:tr>
      <w:tr w:rsidR="00C90FF2" w:rsidRPr="00C90FF2" w:rsidTr="00C90FF2">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3. Aukštojo ir lygiaverčio jam mokslo kokybės, veiksmingumo ir prieinamumo didinimas, siekiant didesnės studentų įtraukties ir geresnio mokymosi pažangumo, atkreipiant dėmesį į atskirties grupes</w:t>
            </w:r>
          </w:p>
        </w:tc>
        <w:tc>
          <w:tcPr>
            <w:tcW w:w="10064" w:type="dxa"/>
            <w:shd w:val="clear" w:color="auto" w:fill="auto"/>
          </w:tcPr>
          <w:p w:rsidR="00C90FF2" w:rsidRPr="00C90FF2" w:rsidRDefault="00C90FF2" w:rsidP="00C90FF2">
            <w:pPr>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Siekdama ES2020 tikslo padidinti 30–34 m. gyventojų, turinčių aukštąjį ar jam prilygintą išsilavinimą, skaičių, Lietuva iki 2020 m. numato, kad aukštąjį arba jam prilygstantį išsilavinimą turės ne mažiau kaip 47,9 proc. 30–34 metų gyventojų. Kadangi vis daugiau jaunuolių siekia aukštojo mokslo, šiuo metu iškilo poreikis daugiau dėmesio skirti studijų kokybei. Tai padėtų išlaikyti aukštą gyventojų išsilavinimo lygį.</w:t>
            </w:r>
          </w:p>
          <w:p w:rsidR="00C90FF2" w:rsidRPr="00C90FF2" w:rsidRDefault="00C90FF2" w:rsidP="00C90FF2">
            <w:pPr>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Pagal šį investicinį prioritetą taip pat bus įgyvendinamos veiklos, skirtos tyrėjų stažuotėms užsienio mokslo institucijose ir įmonėse. Šios veiklos prisideda prie ES BJRS prioritetinės srities „Švietimas“. Taip pat šios veiklos netiesiogiai prisidės prie prioritetinės srities „Inovacijos“ įgyvendinimo. </w:t>
            </w:r>
          </w:p>
        </w:tc>
      </w:tr>
      <w:tr w:rsidR="00C90FF2" w:rsidRPr="00C90FF2" w:rsidTr="00C90FF2">
        <w:trPr>
          <w:trHeight w:val="1222"/>
        </w:trPr>
        <w:tc>
          <w:tcPr>
            <w:tcW w:w="1668" w:type="dxa"/>
            <w:vMerge/>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p>
        </w:tc>
        <w:tc>
          <w:tcPr>
            <w:tcW w:w="3685" w:type="dxa"/>
            <w:shd w:val="clear" w:color="auto" w:fill="auto"/>
          </w:tcPr>
          <w:p w:rsidR="00C90FF2" w:rsidRPr="00C90FF2" w:rsidRDefault="00C90FF2" w:rsidP="00C90FF2">
            <w:pPr>
              <w:widowControl w:val="0"/>
              <w:tabs>
                <w:tab w:val="left" w:pos="1276"/>
              </w:tabs>
              <w:adjustRightInd w:val="0"/>
              <w:spacing w:after="120"/>
              <w:jc w:val="both"/>
              <w:textAlignment w:val="baseline"/>
              <w:rPr>
                <w:rFonts w:ascii="Times New Roman" w:hAnsi="Times New Roman" w:cs="Times New Roman"/>
                <w:lang w:eastAsia="lt-LT"/>
              </w:rPr>
            </w:pPr>
            <w:r w:rsidRPr="00C90FF2">
              <w:rPr>
                <w:rFonts w:ascii="Times New Roman" w:hAnsi="Times New Roman" w:cs="Times New Roman"/>
                <w:lang w:eastAsia="lt-LT"/>
              </w:rPr>
              <w:t xml:space="preserve">4. Vienodų galimybių formaliai, neformaliai ir savarankiškai mokytis visą gyvenimą suteikimas visoms amžiaus grupėms, darbuotojų žinių, įgūdžių ir kompetencijos ugdymas ir lanksčių mokymosi būdų, be kita ko, pasitelkiant profesinį mokymą ir įgytos kompetencijos </w:t>
            </w:r>
            <w:r w:rsidRPr="00C90FF2">
              <w:rPr>
                <w:rFonts w:ascii="Times New Roman" w:hAnsi="Times New Roman" w:cs="Times New Roman"/>
                <w:lang w:eastAsia="lt-LT"/>
              </w:rPr>
              <w:lastRenderedPageBreak/>
              <w:t>pripažinimą, skatinimas</w:t>
            </w:r>
          </w:p>
        </w:tc>
        <w:tc>
          <w:tcPr>
            <w:tcW w:w="10064" w:type="dxa"/>
            <w:shd w:val="clear" w:color="auto" w:fill="auto"/>
          </w:tcPr>
          <w:p w:rsidR="00C90FF2" w:rsidRPr="00C90FF2" w:rsidRDefault="00C90FF2" w:rsidP="00C90FF2">
            <w:pPr>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lastRenderedPageBreak/>
              <w:t>ES2020 pavyzdinė iniciatyva „Naujų įgūdžių ir darbo vietų kūrimo darbotvarkė“ nustato galimybių mokytis visą gyvenimą gerinimą, pabrėžia žmonių prisitaikymo prie naujų sąlygų didinimą, profesinio mokymo patrauklumo svarbą, geresnių sąlygų keisti profesinę veiklą sudarymą ir nacionalinių kvalifikacijų sistemų kūrimo būtinumą.</w:t>
            </w:r>
          </w:p>
          <w:p w:rsidR="00C90FF2" w:rsidRPr="00C90FF2" w:rsidRDefault="00C90FF2" w:rsidP="00C90FF2">
            <w:pPr>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t xml:space="preserve">NRD numato sukurti mokymosi visą gyvenimą pasiūlos ir paklausos sistemą, kuri sudarytų sąlygas suaugusių asmenų socialinei ir darbinei </w:t>
            </w:r>
            <w:proofErr w:type="spellStart"/>
            <w:r w:rsidRPr="00C90FF2">
              <w:rPr>
                <w:rFonts w:ascii="Times New Roman" w:eastAsia="AngsanaUPC" w:hAnsi="Times New Roman" w:cs="Times New Roman"/>
                <w:bCs/>
                <w:lang w:eastAsia="lt-LT"/>
              </w:rPr>
              <w:t>įtraukčiai</w:t>
            </w:r>
            <w:proofErr w:type="spellEnd"/>
            <w:r w:rsidRPr="00C90FF2">
              <w:rPr>
                <w:rFonts w:ascii="Times New Roman" w:eastAsia="AngsanaUPC" w:hAnsi="Times New Roman" w:cs="Times New Roman"/>
                <w:bCs/>
                <w:lang w:eastAsia="lt-LT"/>
              </w:rPr>
              <w:t>, aktyviam pilietiškumui ir asmeniniam tobulėjimui.</w:t>
            </w:r>
          </w:p>
        </w:tc>
      </w:tr>
      <w:tr w:rsidR="00C90FF2" w:rsidRPr="00C90FF2" w:rsidTr="00C90FF2">
        <w:tc>
          <w:tcPr>
            <w:tcW w:w="1668" w:type="dxa"/>
            <w:shd w:val="clear" w:color="auto" w:fill="auto"/>
          </w:tcPr>
          <w:p w:rsidR="00C90FF2" w:rsidRPr="00C90FF2" w:rsidRDefault="00C90FF2" w:rsidP="00C90FF2">
            <w:pPr>
              <w:widowControl w:val="0"/>
              <w:tabs>
                <w:tab w:val="left" w:pos="622"/>
              </w:tabs>
              <w:jc w:val="both"/>
              <w:rPr>
                <w:rFonts w:ascii="Times New Roman" w:eastAsia="AngsanaUPC" w:hAnsi="Times New Roman" w:cs="Times New Roman"/>
                <w:bCs/>
                <w:lang w:eastAsia="lt-LT"/>
              </w:rPr>
            </w:pPr>
            <w:r w:rsidRPr="00C90FF2">
              <w:rPr>
                <w:rFonts w:ascii="Times New Roman" w:eastAsia="AngsanaUPC" w:hAnsi="Times New Roman" w:cs="Times New Roman"/>
                <w:bCs/>
                <w:lang w:eastAsia="lt-LT"/>
              </w:rPr>
              <w:lastRenderedPageBreak/>
              <w:t>11. Institucinių pajėgumų stiprinimas ir veiksmingas viešasis administravimas</w:t>
            </w:r>
          </w:p>
        </w:tc>
        <w:tc>
          <w:tcPr>
            <w:tcW w:w="3685" w:type="dxa"/>
            <w:shd w:val="clear" w:color="auto" w:fill="auto"/>
          </w:tcPr>
          <w:p w:rsidR="00C90FF2" w:rsidRPr="00C90FF2" w:rsidRDefault="00C90FF2" w:rsidP="00C90FF2">
            <w:pPr>
              <w:widowControl w:val="0"/>
              <w:tabs>
                <w:tab w:val="left" w:pos="1276"/>
              </w:tabs>
              <w:adjustRightInd w:val="0"/>
              <w:jc w:val="both"/>
              <w:textAlignment w:val="baseline"/>
              <w:rPr>
                <w:rFonts w:ascii="Times New Roman" w:eastAsia="Calibri" w:hAnsi="Times New Roman" w:cs="Times New Roman"/>
              </w:rPr>
            </w:pPr>
            <w:r w:rsidRPr="00C90FF2">
              <w:rPr>
                <w:rFonts w:ascii="Times New Roman" w:eastAsia="Calibri" w:hAnsi="Times New Roman" w:cs="Times New Roman"/>
              </w:rPr>
              <w:t>1. Investavimas į institucinių gebėjimų stiprinimą ir veiksmingesnį viešąjį administravimą bei viešąsias paslaugas nacionaliniu, regionų ir vietos lygmenimis, siekiant reformų, geresnio reglamentavimo ir gero valdymo</w:t>
            </w:r>
          </w:p>
        </w:tc>
        <w:tc>
          <w:tcPr>
            <w:tcW w:w="10064" w:type="dxa"/>
            <w:shd w:val="clear" w:color="auto" w:fill="auto"/>
          </w:tcPr>
          <w:p w:rsidR="00C90FF2" w:rsidRPr="00C90FF2" w:rsidRDefault="00C90FF2" w:rsidP="00C90FF2">
            <w:pPr>
              <w:jc w:val="both"/>
              <w:rPr>
                <w:rFonts w:ascii="Times New Roman" w:eastAsia="AngsanaUPC" w:hAnsi="Times New Roman" w:cs="Times New Roman"/>
                <w:bCs/>
                <w:lang w:eastAsia="lt-LT"/>
              </w:rPr>
            </w:pPr>
            <w:r w:rsidRPr="00C90FF2">
              <w:rPr>
                <w:rFonts w:ascii="Times New Roman" w:eastAsia="Calibri" w:hAnsi="Times New Roman" w:cs="Times New Roman"/>
                <w:bCs/>
                <w:iCs/>
              </w:rPr>
              <w:t>NRD nustatyta, kad efektyvus viešasis valdymas yra svarbus šalies pažangą ir konkurencingumą lemiantis veiksnys. Poreikis tobulinti viešąjį valdymą akcentuojamas Lietuvos pažangos strategijoje „Lietuva 2030“, NPP, Viešojo valdymo tobulinimo 2012–2020 metų programoje</w:t>
            </w:r>
            <w:r w:rsidRPr="00C90FF2">
              <w:rPr>
                <w:rFonts w:ascii="Times New Roman" w:eastAsia="AngsanaUPC" w:hAnsi="Times New Roman" w:cs="Times New Roman"/>
                <w:bCs/>
                <w:lang w:eastAsia="lt-LT"/>
              </w:rPr>
              <w:t>. Pažymėtina, kad viena iš 2014 m. Europos Tarybos rekomendacijų yra skirta valstybės valdomų įmonių reformai.</w:t>
            </w:r>
          </w:p>
          <w:p w:rsidR="00C90FF2" w:rsidRPr="00C90FF2" w:rsidRDefault="00C90FF2" w:rsidP="00C90FF2">
            <w:pPr>
              <w:jc w:val="both"/>
              <w:rPr>
                <w:rFonts w:ascii="Times New Roman" w:eastAsia="Calibri" w:hAnsi="Times New Roman" w:cs="Times New Roman"/>
                <w:bCs/>
                <w:iCs/>
              </w:rPr>
            </w:pPr>
            <w:r w:rsidRPr="00C90FF2">
              <w:rPr>
                <w:rFonts w:ascii="Times New Roman" w:eastAsia="AngsanaUPC" w:hAnsi="Times New Roman" w:cs="Times New Roman"/>
                <w:bCs/>
                <w:lang w:eastAsia="lt-LT"/>
              </w:rPr>
              <w:t>EK pozicijoje siūloma viešąjį administravimą labiau orientuoti į klientą, o viešojo administravimo institucijas orientuoti į rezultatus.</w:t>
            </w:r>
          </w:p>
        </w:tc>
      </w:tr>
      <w:tr w:rsidR="008B637B" w:rsidRPr="00C90FF2" w:rsidTr="00C90FF2">
        <w:tc>
          <w:tcPr>
            <w:tcW w:w="1668" w:type="dxa"/>
            <w:shd w:val="clear" w:color="auto" w:fill="auto"/>
          </w:tcPr>
          <w:p w:rsidR="008B637B" w:rsidRPr="001F4C4B" w:rsidRDefault="008B637B" w:rsidP="00C90FF2">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12. Veiksmų, skirtų COVID-19 pandemijos sukeltai krizei įveikti, skatinimas ir pasirengimas</w:t>
            </w:r>
            <w:r w:rsidR="006B25FD">
              <w:rPr>
                <w:rFonts w:ascii="Times New Roman" w:eastAsia="AngsanaUPC" w:hAnsi="Times New Roman" w:cs="Times New Roman"/>
                <w:b/>
                <w:bCs/>
                <w:lang w:eastAsia="lt-LT"/>
              </w:rPr>
              <w:t xml:space="preserve"> </w:t>
            </w:r>
            <w:r w:rsidR="00A04B6A">
              <w:rPr>
                <w:rFonts w:ascii="Times New Roman" w:eastAsia="AngsanaUPC" w:hAnsi="Times New Roman" w:cs="Times New Roman"/>
                <w:b/>
                <w:bCs/>
                <w:lang w:eastAsia="lt-LT"/>
              </w:rPr>
              <w:t>aplinką tausojančiam</w:t>
            </w:r>
            <w:r w:rsidRPr="001F4C4B">
              <w:rPr>
                <w:rFonts w:ascii="Times New Roman" w:eastAsia="AngsanaUPC" w:hAnsi="Times New Roman" w:cs="Times New Roman"/>
                <w:b/>
                <w:bCs/>
                <w:lang w:eastAsia="lt-LT"/>
              </w:rPr>
              <w:t>, skaitmenin</w:t>
            </w:r>
            <w:r w:rsidR="00A04B6A">
              <w:rPr>
                <w:rFonts w:ascii="Times New Roman" w:eastAsia="AngsanaUPC" w:hAnsi="Times New Roman" w:cs="Times New Roman"/>
                <w:b/>
                <w:bCs/>
                <w:lang w:eastAsia="lt-LT"/>
              </w:rPr>
              <w:t>t</w:t>
            </w:r>
            <w:r w:rsidRPr="001F4C4B">
              <w:rPr>
                <w:rFonts w:ascii="Times New Roman" w:eastAsia="AngsanaUPC" w:hAnsi="Times New Roman" w:cs="Times New Roman"/>
                <w:b/>
                <w:bCs/>
                <w:lang w:eastAsia="lt-LT"/>
              </w:rPr>
              <w:t xml:space="preserve">am ir </w:t>
            </w:r>
            <w:r w:rsidR="00A04B6A">
              <w:rPr>
                <w:rFonts w:ascii="Times New Roman" w:eastAsia="AngsanaUPC" w:hAnsi="Times New Roman" w:cs="Times New Roman"/>
                <w:b/>
                <w:bCs/>
                <w:lang w:eastAsia="lt-LT"/>
              </w:rPr>
              <w:t>tvariam</w:t>
            </w:r>
            <w:r w:rsidRPr="001F4C4B">
              <w:rPr>
                <w:rFonts w:ascii="Times New Roman" w:eastAsia="AngsanaUPC" w:hAnsi="Times New Roman" w:cs="Times New Roman"/>
                <w:b/>
                <w:bCs/>
                <w:lang w:eastAsia="lt-LT"/>
              </w:rPr>
              <w:t xml:space="preserve"> ekonomikos atgaivinimui</w:t>
            </w:r>
          </w:p>
        </w:tc>
        <w:tc>
          <w:tcPr>
            <w:tcW w:w="3685" w:type="dxa"/>
            <w:shd w:val="clear" w:color="auto" w:fill="auto"/>
          </w:tcPr>
          <w:p w:rsidR="008B637B" w:rsidRPr="001F4C4B" w:rsidRDefault="008B637B" w:rsidP="00C90FF2">
            <w:pPr>
              <w:widowControl w:val="0"/>
              <w:tabs>
                <w:tab w:val="left" w:pos="1276"/>
              </w:tabs>
              <w:adjustRightInd w:val="0"/>
              <w:jc w:val="both"/>
              <w:textAlignment w:val="baseline"/>
              <w:rPr>
                <w:rFonts w:ascii="Times New Roman" w:eastAsia="Calibri" w:hAnsi="Times New Roman" w:cs="Times New Roman"/>
                <w:b/>
              </w:rPr>
            </w:pPr>
            <w:r w:rsidRPr="001F4C4B">
              <w:rPr>
                <w:rFonts w:ascii="Times New Roman" w:eastAsia="Calibri" w:hAnsi="Times New Roman" w:cs="Times New Roman"/>
                <w:b/>
              </w:rPr>
              <w:t>–</w:t>
            </w:r>
          </w:p>
        </w:tc>
        <w:tc>
          <w:tcPr>
            <w:tcW w:w="10064" w:type="dxa"/>
            <w:vMerge w:val="restart"/>
            <w:shd w:val="clear" w:color="auto" w:fill="auto"/>
          </w:tcPr>
          <w:p w:rsidR="008B637B" w:rsidRPr="001F4C4B" w:rsidRDefault="008B637B" w:rsidP="007E7F9B">
            <w:pPr>
              <w:jc w:val="both"/>
              <w:rPr>
                <w:rFonts w:ascii="Times New Roman" w:eastAsia="Calibri" w:hAnsi="Times New Roman" w:cs="Times New Roman"/>
                <w:b/>
                <w:bCs/>
                <w:iCs/>
              </w:rPr>
            </w:pPr>
            <w:r w:rsidRPr="001F4C4B">
              <w:rPr>
                <w:rFonts w:ascii="Times New Roman" w:eastAsia="Calibri" w:hAnsi="Times New Roman" w:cs="Times New Roman"/>
                <w:b/>
                <w:bCs/>
                <w:iCs/>
              </w:rPr>
              <w:t>2020 m. ES Tarybos rekomendacijose Lietuvai siūloma imtis visų būtinų priemonių, kad būtų veiksmingai kovojama su pandemija, palaikoma ekonomika ir remiamas būsimas atsigavimas, švelninamas poveikis užimtumui bei užtikrinama minimali socialinė apsauga.</w:t>
            </w:r>
          </w:p>
          <w:p w:rsidR="008B637B" w:rsidRPr="001F4C4B" w:rsidRDefault="008B637B" w:rsidP="00F96132">
            <w:pPr>
              <w:jc w:val="both"/>
              <w:rPr>
                <w:rFonts w:ascii="Times New Roman" w:eastAsia="Calibri" w:hAnsi="Times New Roman" w:cs="Times New Roman"/>
                <w:b/>
                <w:bCs/>
                <w:iCs/>
              </w:rPr>
            </w:pPr>
            <w:r w:rsidRPr="001F4C4B">
              <w:rPr>
                <w:rFonts w:ascii="Times New Roman" w:eastAsia="Calibri" w:hAnsi="Times New Roman" w:cs="Times New Roman"/>
                <w:b/>
                <w:bCs/>
                <w:iCs/>
              </w:rPr>
              <w:t>Siekiant reaguoti į pasaulinės krizės sukeltas neigiamas pasekmes, kurios apima ne tik sveikatos sistemos sukrėtimą, bet ir vidaus ekonomikos sutrikimus (laikinai sustabdytas verslas, plačiai taikomi apribojimai kelionėms ir mobilumui, mažėja vidaus pasiūla ir paklausa), smunkančią išorės paklausą, finansų rinkų neapibrėžtumą, padidėjusį netikrumą dėl ateities, Lietuvos Respublikos Vyriausybės patvirtintas Ateities ekonomikos DNR planas, skirtas skatinti sparčias ir efektyvias investicijas į ekonomikos atsigavimą ir ilgalaikį, subalansuotą ir tvarų socialinės ir ekonominės gerovės augimą.</w:t>
            </w:r>
          </w:p>
          <w:p w:rsidR="008B637B" w:rsidRPr="001F4C4B" w:rsidRDefault="008B637B" w:rsidP="00F96132">
            <w:pPr>
              <w:jc w:val="both"/>
              <w:rPr>
                <w:rFonts w:ascii="Times New Roman" w:eastAsia="Calibri" w:hAnsi="Times New Roman" w:cs="Times New Roman"/>
                <w:b/>
                <w:bCs/>
                <w:iCs/>
              </w:rPr>
            </w:pPr>
            <w:r w:rsidRPr="001F4C4B">
              <w:rPr>
                <w:rFonts w:ascii="Times New Roman" w:eastAsia="Calibri" w:hAnsi="Times New Roman" w:cs="Times New Roman"/>
                <w:b/>
                <w:bCs/>
                <w:iCs/>
              </w:rPr>
              <w:t xml:space="preserve">Atsižvelgiant į Ateities ekonomikos DNR planą ir ES Tarybos rekomendacijas Lietuvai 2020 metams, dvylikto </w:t>
            </w:r>
            <w:r>
              <w:rPr>
                <w:rFonts w:ascii="Times New Roman" w:eastAsia="Calibri" w:hAnsi="Times New Roman" w:cs="Times New Roman"/>
                <w:b/>
                <w:bCs/>
                <w:iCs/>
              </w:rPr>
              <w:t xml:space="preserve">ir trylikto </w:t>
            </w:r>
            <w:r w:rsidRPr="001F4C4B">
              <w:rPr>
                <w:rFonts w:ascii="Times New Roman" w:eastAsia="Calibri" w:hAnsi="Times New Roman" w:cs="Times New Roman"/>
                <w:b/>
                <w:bCs/>
                <w:iCs/>
              </w:rPr>
              <w:t>temini</w:t>
            </w:r>
            <w:r>
              <w:rPr>
                <w:rFonts w:ascii="Times New Roman" w:eastAsia="Calibri" w:hAnsi="Times New Roman" w:cs="Times New Roman"/>
                <w:b/>
                <w:bCs/>
                <w:iCs/>
              </w:rPr>
              <w:t>ų</w:t>
            </w:r>
            <w:r w:rsidRPr="001F4C4B">
              <w:rPr>
                <w:rFonts w:ascii="Times New Roman" w:eastAsia="Calibri" w:hAnsi="Times New Roman" w:cs="Times New Roman"/>
                <w:b/>
                <w:bCs/>
                <w:iCs/>
              </w:rPr>
              <w:t xml:space="preserve"> tiksl</w:t>
            </w:r>
            <w:r>
              <w:rPr>
                <w:rFonts w:ascii="Times New Roman" w:eastAsia="Calibri" w:hAnsi="Times New Roman" w:cs="Times New Roman"/>
                <w:b/>
                <w:bCs/>
                <w:iCs/>
              </w:rPr>
              <w:t>ų</w:t>
            </w:r>
            <w:r w:rsidRPr="001F4C4B">
              <w:rPr>
                <w:rFonts w:ascii="Times New Roman" w:eastAsia="Calibri" w:hAnsi="Times New Roman" w:cs="Times New Roman"/>
                <w:b/>
                <w:bCs/>
                <w:iCs/>
              </w:rPr>
              <w:t>, finansuojam</w:t>
            </w:r>
            <w:r>
              <w:rPr>
                <w:rFonts w:ascii="Times New Roman" w:eastAsia="Calibri" w:hAnsi="Times New Roman" w:cs="Times New Roman"/>
                <w:b/>
                <w:bCs/>
                <w:iCs/>
              </w:rPr>
              <w:t>ų</w:t>
            </w:r>
            <w:r w:rsidRPr="001F4C4B">
              <w:rPr>
                <w:rFonts w:ascii="Times New Roman" w:eastAsia="Calibri" w:hAnsi="Times New Roman" w:cs="Times New Roman"/>
                <w:b/>
                <w:bCs/>
                <w:iCs/>
              </w:rPr>
              <w:t xml:space="preserve"> „React–EU“ iniciatyvos lėšomis, investicijos bus skirtos spręsti iššūkius, kilusius dėl COVID-19 pandemijos krizės, susidoroti su socialiniais ir ekonominiais sunkumais, užtikrinti pažangų ekonomikos augimą bei stiprinti jos pasirengimą atremti galimus sukrėtimus ateityje.</w:t>
            </w:r>
          </w:p>
        </w:tc>
      </w:tr>
      <w:tr w:rsidR="008B637B" w:rsidRPr="00C90FF2" w:rsidTr="00C90FF2">
        <w:tc>
          <w:tcPr>
            <w:tcW w:w="1668" w:type="dxa"/>
            <w:shd w:val="clear" w:color="auto" w:fill="auto"/>
          </w:tcPr>
          <w:p w:rsidR="008B637B" w:rsidRPr="001F4C4B" w:rsidRDefault="008B637B" w:rsidP="00C90FF2">
            <w:pPr>
              <w:widowControl w:val="0"/>
              <w:tabs>
                <w:tab w:val="left" w:pos="622"/>
              </w:tabs>
              <w:jc w:val="both"/>
              <w:rPr>
                <w:rFonts w:ascii="Times New Roman" w:eastAsia="AngsanaUPC" w:hAnsi="Times New Roman" w:cs="Times New Roman"/>
                <w:b/>
                <w:bCs/>
                <w:lang w:eastAsia="lt-LT"/>
              </w:rPr>
            </w:pPr>
            <w:r>
              <w:rPr>
                <w:rFonts w:ascii="Times New Roman" w:eastAsia="AngsanaUPC" w:hAnsi="Times New Roman" w:cs="Times New Roman"/>
                <w:b/>
                <w:bCs/>
                <w:lang w:eastAsia="lt-LT"/>
              </w:rPr>
              <w:t xml:space="preserve">13. </w:t>
            </w:r>
            <w:r w:rsidRPr="008B637B">
              <w:rPr>
                <w:rFonts w:ascii="Times New Roman" w:eastAsia="AngsanaUPC" w:hAnsi="Times New Roman" w:cs="Times New Roman"/>
                <w:b/>
                <w:bCs/>
                <w:lang w:eastAsia="lt-LT"/>
              </w:rPr>
              <w:t>Veiksmų, skirtų COVID-19 pandemijos sukeltai krizei įveikti, ska</w:t>
            </w:r>
            <w:r w:rsidR="00A04B6A">
              <w:rPr>
                <w:rFonts w:ascii="Times New Roman" w:eastAsia="AngsanaUPC" w:hAnsi="Times New Roman" w:cs="Times New Roman"/>
                <w:b/>
                <w:bCs/>
                <w:lang w:eastAsia="lt-LT"/>
              </w:rPr>
              <w:t>tinimas, siekiant didinti užimtumą ir socialinę įtrauktį</w:t>
            </w:r>
          </w:p>
        </w:tc>
        <w:tc>
          <w:tcPr>
            <w:tcW w:w="3685" w:type="dxa"/>
            <w:shd w:val="clear" w:color="auto" w:fill="auto"/>
          </w:tcPr>
          <w:p w:rsidR="008B637B" w:rsidRPr="001F4C4B" w:rsidRDefault="008B637B" w:rsidP="00C90FF2">
            <w:pPr>
              <w:widowControl w:val="0"/>
              <w:tabs>
                <w:tab w:val="left" w:pos="1276"/>
              </w:tabs>
              <w:adjustRightInd w:val="0"/>
              <w:jc w:val="both"/>
              <w:textAlignment w:val="baseline"/>
              <w:rPr>
                <w:rFonts w:ascii="Times New Roman" w:eastAsia="Calibri" w:hAnsi="Times New Roman" w:cs="Times New Roman"/>
                <w:b/>
              </w:rPr>
            </w:pPr>
            <w:r>
              <w:rPr>
                <w:rFonts w:ascii="Times New Roman" w:eastAsia="Calibri" w:hAnsi="Times New Roman" w:cs="Times New Roman"/>
                <w:b/>
              </w:rPr>
              <w:t>–</w:t>
            </w:r>
          </w:p>
        </w:tc>
        <w:tc>
          <w:tcPr>
            <w:tcW w:w="10064" w:type="dxa"/>
            <w:vMerge/>
            <w:shd w:val="clear" w:color="auto" w:fill="auto"/>
          </w:tcPr>
          <w:p w:rsidR="008B637B" w:rsidRPr="001F4C4B" w:rsidRDefault="008B637B" w:rsidP="007E7F9B">
            <w:pPr>
              <w:jc w:val="both"/>
              <w:rPr>
                <w:rFonts w:ascii="Times New Roman" w:eastAsia="Calibri" w:hAnsi="Times New Roman" w:cs="Times New Roman"/>
                <w:b/>
                <w:bCs/>
                <w:iCs/>
              </w:rPr>
            </w:pPr>
          </w:p>
        </w:tc>
      </w:tr>
    </w:tbl>
    <w:p w:rsidR="00C90FF2" w:rsidRDefault="00C90FF2" w:rsidP="00F22733">
      <w:pPr>
        <w:widowControl w:val="0"/>
        <w:shd w:val="clear" w:color="auto" w:fill="FFFFFF"/>
        <w:spacing w:before="240" w:after="240"/>
        <w:jc w:val="both"/>
        <w:textAlignment w:val="baseline"/>
        <w:rPr>
          <w:rFonts w:ascii="Times New Roman" w:hAnsi="Times New Roman" w:cs="Times New Roman"/>
          <w:i/>
          <w:color w:val="000000"/>
          <w:sz w:val="24"/>
          <w:szCs w:val="24"/>
          <w:u w:val="single"/>
        </w:rPr>
      </w:pPr>
    </w:p>
    <w:p w:rsidR="00C90FF2" w:rsidRDefault="00C90FF2" w:rsidP="00C90FF2">
      <w:pPr>
        <w:rPr>
          <w:rFonts w:ascii="Times New Roman" w:hAnsi="Times New Roman" w:cs="Times New Roman"/>
          <w:i/>
          <w:color w:val="000000"/>
          <w:sz w:val="24"/>
          <w:szCs w:val="24"/>
          <w:u w:val="single"/>
        </w:rPr>
        <w:sectPr w:rsidR="00C90FF2" w:rsidSect="00C90FF2">
          <w:pgSz w:w="16839" w:h="11907" w:orient="landscape" w:code="9"/>
          <w:pgMar w:top="1134" w:right="1134" w:bottom="567" w:left="1134" w:header="561" w:footer="686" w:gutter="0"/>
          <w:cols w:space="1296"/>
          <w:formProt w:val="0"/>
          <w:titlePg/>
          <w:docGrid w:linePitch="326"/>
        </w:sectPr>
      </w:pPr>
      <w:r>
        <w:rPr>
          <w:rFonts w:ascii="Times New Roman" w:hAnsi="Times New Roman" w:cs="Times New Roman"/>
          <w:i/>
          <w:color w:val="000000"/>
          <w:sz w:val="24"/>
          <w:szCs w:val="24"/>
          <w:u w:val="single"/>
        </w:rPr>
        <w:br w:type="page"/>
      </w:r>
    </w:p>
    <w:p w:rsidR="00C90FF2" w:rsidRPr="00C32E92" w:rsidRDefault="00522D09" w:rsidP="00C90FF2">
      <w:pPr>
        <w:widowControl w:val="0"/>
        <w:shd w:val="clear" w:color="auto" w:fill="FFFFFF"/>
        <w:spacing w:before="240" w:after="240"/>
        <w:jc w:val="both"/>
        <w:textAlignment w:val="baseline"/>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lastRenderedPageBreak/>
        <w:t>3</w:t>
      </w:r>
      <w:r w:rsidR="00C90FF2" w:rsidRPr="00697AD2">
        <w:rPr>
          <w:rFonts w:ascii="Times New Roman" w:hAnsi="Times New Roman" w:cs="Times New Roman"/>
          <w:i/>
          <w:color w:val="000000"/>
          <w:sz w:val="24"/>
          <w:szCs w:val="24"/>
          <w:u w:val="single"/>
        </w:rPr>
        <w:t xml:space="preserve">. </w:t>
      </w:r>
      <w:r w:rsidR="00C90FF2">
        <w:rPr>
          <w:rFonts w:ascii="Times New Roman" w:hAnsi="Times New Roman" w:cs="Times New Roman"/>
          <w:i/>
          <w:color w:val="000000"/>
          <w:sz w:val="24"/>
          <w:szCs w:val="24"/>
          <w:u w:val="single"/>
        </w:rPr>
        <w:t>Papildyti Veiksmų programos 1 skirsnio „Veiksmų programos indėlis į s</w:t>
      </w:r>
      <w:r w:rsidR="00C32E92">
        <w:rPr>
          <w:rFonts w:ascii="Times New Roman" w:hAnsi="Times New Roman" w:cs="Times New Roman"/>
          <w:i/>
          <w:color w:val="000000"/>
          <w:sz w:val="24"/>
          <w:szCs w:val="24"/>
          <w:u w:val="single"/>
        </w:rPr>
        <w:t>trategiją „Europa 2020“ 1.2</w:t>
      </w:r>
      <w:r w:rsidR="00C90FF2">
        <w:rPr>
          <w:rFonts w:ascii="Times New Roman" w:hAnsi="Times New Roman" w:cs="Times New Roman"/>
          <w:i/>
          <w:color w:val="000000"/>
          <w:sz w:val="24"/>
          <w:szCs w:val="24"/>
          <w:u w:val="single"/>
        </w:rPr>
        <w:t xml:space="preserve"> dalį </w:t>
      </w:r>
      <w:r w:rsidR="00C90FF2" w:rsidRPr="00C32E92">
        <w:rPr>
          <w:rFonts w:ascii="Times New Roman" w:hAnsi="Times New Roman" w:cs="Times New Roman"/>
          <w:i/>
          <w:color w:val="000000"/>
          <w:sz w:val="24"/>
          <w:szCs w:val="24"/>
          <w:u w:val="single"/>
        </w:rPr>
        <w:t>„</w:t>
      </w:r>
      <w:r w:rsidR="00C32E92" w:rsidRPr="00C32E92">
        <w:rPr>
          <w:rFonts w:ascii="Times New Roman" w:hAnsi="Times New Roman" w:cs="Times New Roman"/>
          <w:bCs/>
          <w:i/>
          <w:iCs/>
          <w:color w:val="000000"/>
          <w:sz w:val="24"/>
          <w:szCs w:val="24"/>
          <w:u w:val="single"/>
        </w:rPr>
        <w:t>Finansinių asignavimų pagrindimas</w:t>
      </w:r>
      <w:r w:rsidR="00C90FF2" w:rsidRPr="00C32E92">
        <w:rPr>
          <w:rFonts w:ascii="Times New Roman" w:hAnsi="Times New Roman" w:cs="Times New Roman"/>
          <w:i/>
          <w:color w:val="000000"/>
          <w:sz w:val="24"/>
          <w:szCs w:val="24"/>
          <w:u w:val="single"/>
        </w:rPr>
        <w:t>“ ir išdėstyti ją taip:</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C32E92">
        <w:rPr>
          <w:rFonts w:ascii="Times New Roman" w:eastAsia="Calibri" w:hAnsi="Times New Roman" w:cs="Times New Roman"/>
          <w:bCs/>
          <w:sz w:val="24"/>
          <w:szCs w:val="24"/>
        </w:rPr>
        <w:t xml:space="preserve">Paskirstant 2014–2020 m. ES fondų lėšas, pirmiausiai, atsižvelgiama į 2014–2020 m. ES sanglaudos politikos reglamentuose numatytus teminės koncentracijos reikalavimus teminiams tikslams ir investavimo prioritetams bei į reikalavimus, taikomus dėl minimalių ESF) ir </w:t>
      </w:r>
      <w:proofErr w:type="spellStart"/>
      <w:r w:rsidRPr="00C32E92">
        <w:rPr>
          <w:rFonts w:ascii="Times New Roman" w:eastAsia="Calibri" w:hAnsi="Times New Roman" w:cs="Times New Roman"/>
          <w:bCs/>
          <w:sz w:val="24"/>
          <w:szCs w:val="24"/>
        </w:rPr>
        <w:t>SaF</w:t>
      </w:r>
      <w:proofErr w:type="spellEnd"/>
      <w:r w:rsidRPr="00C32E92">
        <w:rPr>
          <w:rFonts w:ascii="Times New Roman" w:eastAsia="Calibri" w:hAnsi="Times New Roman" w:cs="Times New Roman"/>
          <w:bCs/>
          <w:sz w:val="24"/>
          <w:szCs w:val="24"/>
        </w:rPr>
        <w:t xml:space="preserve"> dalių. </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Nustatant konkrečias finansines proporcijas, buvo vertinami pagrindiniai iššūkiai ir plėtros potencialas. Vertinant iššūkius, buvo atsižvelgta ne tik į Lietuvos, bet ir į visos ES ir pasaulines tendencijas, išdėstytas Lietuvos pažangos strategijoje „Lietuva 2030“, strategijoje „ES 2020“, Europos Vadovų Tarybos išvadose, konkrečiai valstybei narei skirtose rekomendacijose, nacionaliniuose strateginiuose dokumentuose, įvairiuose teminiuose vertinimuose, Pasaulio Banko, Ekonominio bendradarbiavimo ir plėtros organizacijos ir kitų pripažintų tarptautinių organizacijų, taip pat EK pozicijoje dėl Lietuvos ūkio ir atskirų sektorių plėtros perspektyvų ir kt. Kartu įvertinta, kokie pokyčiai būtini nacionaliniams strateginiams įsipareigojimams vykdyti (pavyzdžiui, likviduoti tam tikrų rodiklių atotrūkį nuo ES vidurkio arba pasiekti strategijos ES 2020 nacionalinio tikslo reikšmę).</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ES fondų lėšų nustatymas 2014–2020 m. ES sanglaudos politikos reglamentuose nustatytiems konkretiems teminiams tikslams atliktas, atsižvelgiant į Partnerystės sutarties 1.1. dalyje „Situacijos analizė, iššūkiai ir augimo potencialas“ nustatytus iššūkius bei augimo potencialą ir 1.3. dalyje „Kiekvieno teminio tikslo rezultatų kiekvieno fondo atžvilgiu santrauka“ </w:t>
      </w:r>
      <w:r w:rsidRPr="00C32E92">
        <w:rPr>
          <w:rFonts w:ascii="Times New Roman" w:eastAsia="Calibri" w:hAnsi="Times New Roman" w:cs="Times New Roman"/>
          <w:bCs/>
          <w:iCs/>
          <w:sz w:val="24"/>
          <w:szCs w:val="24"/>
        </w:rPr>
        <w:t>investicijomis numatomus pasiekti rezultatus</w:t>
      </w:r>
      <w:r w:rsidRPr="00C32E92">
        <w:rPr>
          <w:rFonts w:ascii="Times New Roman" w:eastAsia="Calibri" w:hAnsi="Times New Roman" w:cs="Times New Roman"/>
          <w:bCs/>
          <w:sz w:val="24"/>
          <w:szCs w:val="24"/>
        </w:rPr>
        <w:t xml:space="preserve">. </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1 teminiam tikslui numatoma 10,1 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arba beveik 19,4 proc. ERPF lėšų), kuriomis daugiausiai prisidedama prie investicijų į MTEP ir inovacijas skatinimą siekiant, kad Lietuvoje iki 2020 m. investicijos šioje srityje sudarytų 1,9 proc. BVP.</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2 teminiam tikslui numatoma 2,8 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arba beveik 5,4 proc. ERPF lėšų), kuriomis atsižvelgiant į strategijos „ES 2020“ pavyzdinės iniciatyvos „Skaitmeninės darbotvarkės“ tikslus bus siekiama užtikrinti plačiajuosčio ryšio prieinamumą visiems gyventojams, plėtoti gyventojų skaitmeninį raštingumą, plėtoti įvairias el. paslaugas ir el. sprendimus.</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3 teminiam tikslui numatoma 8,1 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 xml:space="preserve">arba beveik 15,4 proc. ERPF lėšų), kurios daugiausiai didins MVĮ konkurencingumą, produktyvumą ir </w:t>
      </w:r>
      <w:proofErr w:type="spellStart"/>
      <w:r w:rsidRPr="00C32E92">
        <w:rPr>
          <w:rFonts w:ascii="Times New Roman" w:eastAsia="Calibri" w:hAnsi="Times New Roman" w:cs="Times New Roman"/>
          <w:bCs/>
          <w:sz w:val="24"/>
          <w:szCs w:val="24"/>
        </w:rPr>
        <w:t>tarptautiškumą</w:t>
      </w:r>
      <w:proofErr w:type="spellEnd"/>
      <w:r w:rsidRPr="00C32E92">
        <w:rPr>
          <w:rFonts w:ascii="Times New Roman" w:eastAsia="Calibri" w:hAnsi="Times New Roman" w:cs="Times New Roman"/>
          <w:bCs/>
          <w:sz w:val="24"/>
          <w:szCs w:val="24"/>
        </w:rPr>
        <w:t>, padės užtikrinti finansavimo prieinamumą ir darnų išteklių naudojimą.</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4 teminiam tikslui numatoma apie </w:t>
      </w:r>
      <w:r w:rsidRPr="00C32E92">
        <w:rPr>
          <w:rFonts w:ascii="Times New Roman" w:eastAsia="Calibri" w:hAnsi="Times New Roman" w:cs="Times New Roman"/>
          <w:color w:val="000000"/>
          <w:sz w:val="24"/>
          <w:szCs w:val="24"/>
        </w:rPr>
        <w:t xml:space="preserve">13,8 </w:t>
      </w:r>
      <w:r w:rsidRPr="00C32E92">
        <w:rPr>
          <w:rFonts w:ascii="Times New Roman" w:eastAsia="Calibri" w:hAnsi="Times New Roman" w:cs="Times New Roman"/>
          <w:bCs/>
          <w:sz w:val="24"/>
          <w:szCs w:val="24"/>
        </w:rPr>
        <w:t xml:space="preserve">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 xml:space="preserve">arba apie 16,1 proc. ERPF ir </w:t>
      </w:r>
      <w:r w:rsidRPr="00C32E92">
        <w:rPr>
          <w:rFonts w:ascii="Times New Roman" w:eastAsia="Calibri" w:hAnsi="Times New Roman" w:cs="Times New Roman"/>
          <w:color w:val="000000"/>
          <w:sz w:val="24"/>
          <w:szCs w:val="24"/>
        </w:rPr>
        <w:t xml:space="preserve">17,6 </w:t>
      </w:r>
      <w:r w:rsidRPr="00C32E92">
        <w:rPr>
          <w:rFonts w:ascii="Times New Roman" w:eastAsia="Calibri" w:hAnsi="Times New Roman" w:cs="Times New Roman"/>
          <w:bCs/>
          <w:sz w:val="24"/>
          <w:szCs w:val="24"/>
        </w:rPr>
        <w:t xml:space="preserve">proc. </w:t>
      </w:r>
      <w:proofErr w:type="spellStart"/>
      <w:r w:rsidRPr="00C32E92">
        <w:rPr>
          <w:rFonts w:ascii="Times New Roman" w:eastAsia="Calibri" w:hAnsi="Times New Roman" w:cs="Times New Roman"/>
          <w:bCs/>
          <w:sz w:val="24"/>
          <w:szCs w:val="24"/>
        </w:rPr>
        <w:t>SaF</w:t>
      </w:r>
      <w:proofErr w:type="spellEnd"/>
      <w:r w:rsidRPr="00C32E92">
        <w:rPr>
          <w:rFonts w:ascii="Times New Roman" w:eastAsia="Calibri" w:hAnsi="Times New Roman" w:cs="Times New Roman"/>
          <w:bCs/>
          <w:sz w:val="24"/>
          <w:szCs w:val="24"/>
        </w:rPr>
        <w:t>), kurios turėtų daugiausiai prisidės prie NRP siekio, kad iki 2020 m. iš AIE pagaminama energija sudarytų 23 proc. Be to, siekiama, kad 17 proc. padidėtų energijos vartojimo efektyvumas ir iki ne daugiau kaip + 15 proc. sumažėtų išmetamų šiltnamio efektą sukeliančių dujų kiekis.</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5 teminiam tikslui numatoma apie 1,6 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 xml:space="preserve">arba 0,1 proc. ERPF ir apie 5,1 proc. </w:t>
      </w:r>
      <w:proofErr w:type="spellStart"/>
      <w:r w:rsidRPr="00C32E92">
        <w:rPr>
          <w:rFonts w:ascii="Times New Roman" w:eastAsia="Calibri" w:hAnsi="Times New Roman" w:cs="Times New Roman"/>
          <w:bCs/>
          <w:sz w:val="24"/>
          <w:szCs w:val="24"/>
        </w:rPr>
        <w:t>SaF</w:t>
      </w:r>
      <w:proofErr w:type="spellEnd"/>
      <w:r w:rsidRPr="00C32E92">
        <w:rPr>
          <w:rFonts w:ascii="Times New Roman" w:eastAsia="Calibri" w:hAnsi="Times New Roman" w:cs="Times New Roman"/>
          <w:bCs/>
          <w:sz w:val="24"/>
          <w:szCs w:val="24"/>
        </w:rPr>
        <w:t>), kurios padės sustiprinti atsparumo klimato kaitos keliamiems pavojams ir stichinių nelaimių prevencijos pajėgumus bei sustiprins klimato kaitai jautriausių Lietuvos teritorijos dalių aplinkos atsparumą klimato kaitai.</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6 teminiam tikslui numatoma beveik </w:t>
      </w:r>
      <w:r w:rsidRPr="00C32E92">
        <w:rPr>
          <w:rFonts w:ascii="Times New Roman" w:eastAsia="Calibri" w:hAnsi="Times New Roman" w:cs="Times New Roman"/>
          <w:color w:val="000000"/>
          <w:sz w:val="24"/>
          <w:szCs w:val="24"/>
        </w:rPr>
        <w:t xml:space="preserve">11,8 </w:t>
      </w:r>
      <w:r w:rsidRPr="00C32E92">
        <w:rPr>
          <w:rFonts w:ascii="Times New Roman" w:eastAsia="Calibri" w:hAnsi="Times New Roman" w:cs="Times New Roman"/>
          <w:bCs/>
          <w:sz w:val="24"/>
          <w:szCs w:val="24"/>
        </w:rPr>
        <w:t xml:space="preserve">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 xml:space="preserve">arba 5,4 proc. ERPF ir apie </w:t>
      </w:r>
      <w:r w:rsidRPr="00C32E92">
        <w:rPr>
          <w:rFonts w:ascii="Times New Roman" w:eastAsia="Calibri" w:hAnsi="Times New Roman" w:cs="Times New Roman"/>
          <w:color w:val="000000"/>
          <w:sz w:val="24"/>
          <w:szCs w:val="24"/>
        </w:rPr>
        <w:t xml:space="preserve">29,6 </w:t>
      </w:r>
      <w:r w:rsidRPr="00C32E92">
        <w:rPr>
          <w:rFonts w:ascii="Times New Roman" w:eastAsia="Calibri" w:hAnsi="Times New Roman" w:cs="Times New Roman"/>
          <w:bCs/>
          <w:sz w:val="24"/>
          <w:szCs w:val="24"/>
        </w:rPr>
        <w:t xml:space="preserve">proc. </w:t>
      </w:r>
      <w:proofErr w:type="spellStart"/>
      <w:r w:rsidRPr="00C32E92">
        <w:rPr>
          <w:rFonts w:ascii="Times New Roman" w:eastAsia="Calibri" w:hAnsi="Times New Roman" w:cs="Times New Roman"/>
          <w:bCs/>
          <w:sz w:val="24"/>
          <w:szCs w:val="24"/>
        </w:rPr>
        <w:t>SaF</w:t>
      </w:r>
      <w:proofErr w:type="spellEnd"/>
      <w:r w:rsidRPr="00C32E92">
        <w:rPr>
          <w:rFonts w:ascii="Times New Roman" w:eastAsia="Calibri" w:hAnsi="Times New Roman" w:cs="Times New Roman"/>
          <w:bCs/>
          <w:sz w:val="24"/>
          <w:szCs w:val="24"/>
        </w:rPr>
        <w:t xml:space="preserve">), kurios padės įvykdyti ES aplinkos </w:t>
      </w:r>
      <w:proofErr w:type="spellStart"/>
      <w:r w:rsidRPr="00C32E92">
        <w:rPr>
          <w:rFonts w:ascii="Times New Roman" w:eastAsia="Calibri" w:hAnsi="Times New Roman" w:cs="Times New Roman"/>
          <w:bCs/>
          <w:i/>
          <w:sz w:val="24"/>
          <w:szCs w:val="24"/>
        </w:rPr>
        <w:t>acquis</w:t>
      </w:r>
      <w:proofErr w:type="spellEnd"/>
      <w:r w:rsidRPr="00C32E92">
        <w:rPr>
          <w:rFonts w:ascii="Times New Roman" w:eastAsia="Calibri" w:hAnsi="Times New Roman" w:cs="Times New Roman"/>
          <w:bCs/>
          <w:sz w:val="24"/>
          <w:szCs w:val="24"/>
        </w:rPr>
        <w:t xml:space="preserve"> reikalavimus atliekų ir vandens srityje, prisidės prie oro kokybės gerinimo ir biologinės įvairovės išsaugojimo, padės vystyti gamtos ir kultūros paveldo apsaugą, propagavimą ir vystymą bei apleistų teritorijų sutvarkymą.</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7 teminiam tikslui numatoma 17,6 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 xml:space="preserve">arba beveik 11,2 proc. ERPF ir apie 38,5 proc. </w:t>
      </w:r>
      <w:proofErr w:type="spellStart"/>
      <w:r w:rsidRPr="00C32E92">
        <w:rPr>
          <w:rFonts w:ascii="Times New Roman" w:eastAsia="Calibri" w:hAnsi="Times New Roman" w:cs="Times New Roman"/>
          <w:bCs/>
          <w:sz w:val="24"/>
          <w:szCs w:val="24"/>
        </w:rPr>
        <w:t>SaF</w:t>
      </w:r>
      <w:proofErr w:type="spellEnd"/>
      <w:r w:rsidRPr="00C32E92">
        <w:rPr>
          <w:rFonts w:ascii="Times New Roman" w:eastAsia="Calibri" w:hAnsi="Times New Roman" w:cs="Times New Roman"/>
          <w:bCs/>
          <w:sz w:val="24"/>
          <w:szCs w:val="24"/>
        </w:rPr>
        <w:t>), kuriomis atsižvelgiant į strategiją „ES 2020“ ir pavyzdinę iniciatyvą „Tausiai išteklius naudojanti Europa“ bus šalinamos kliūtys pagrindinėse tinklo infrastruktūrose, modernizuojant esminę ekonominę infrastruktūrą. Transporto srityje numatom vystyti skirtingų transporto rūšių suderinamumą ir tinklo pasiekiamumą, o atsižvelgiant į 2014 m ES Tarybos rekomendacijas bus plėtojama elektros energijos ir dujų tinklų jungtys.</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8 teminiam tikslui numatoma 10,9 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 xml:space="preserve">arba 12 proc. ERPF ir apie 24,4 proc. ESF), kurios prisidės prie NRP nustatyto Lietuvos nacionalinio tikslo – iki 2020 m. padidinti gyventojų užimtumą iki 72,8 proc. ir kartu prie miestų plėtros netolygumų šalinimo, kad miestų ar atskirų jų teritorijų dalių turimas potencialas būtų veiksmingai panaudotas. Atsižvelgiant į 2014 m. ES Tarybos </w:t>
      </w:r>
      <w:r w:rsidRPr="00C32E92">
        <w:rPr>
          <w:rFonts w:ascii="Times New Roman" w:eastAsia="Calibri" w:hAnsi="Times New Roman" w:cs="Times New Roman"/>
          <w:bCs/>
          <w:sz w:val="24"/>
          <w:szCs w:val="24"/>
        </w:rPr>
        <w:lastRenderedPageBreak/>
        <w:t xml:space="preserve">rekomendacijas, bus tikslingiau taikomos aktyvios darbo rinkos politikos priemonės. Taip pat pagal šį teminį tikslą bus investuojami jaunimo užimtumo iniciatyvai numatyti specialūs asignavimai. </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9 teminiam tikslui numatoma 8,2 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8,7 proc. ERPF ir 22 proc. ESF), kuriomis bus prisidedama prie NRP nustatyto Lietuvos nacionalinio tikslo – iki 2020 m. sumažinti skurdo arba atskirties riziką patiriančių žmonių iki ne daugiau kaip 814 tūkst. Atsižvelgiant į 2014 m. ES Tarybos rekomendacijas, bus įgyvendinamos konkrečias priemonės, skirtos skurdui ir socialinei atskirčiai mažinti.</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10 teminiam tikslui numatoma apie 9,9 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 xml:space="preserve">apie 6 proc. ERPF ir apie 40,4 proc. ESF), kurios labiausiai prisidės prie Lietuvos nacionalinio tikslo – kad iki 2020 m. aukštąjį arba jam prilygstantį išsilavinimą turėtų ne mažiau kaip 47,9 proc. 30–34 metų gyventojų, o mokyklos nebaigusių asmenų skaičius būtų mažesnis nei 9 proc. </w:t>
      </w:r>
    </w:p>
    <w:p w:rsidR="00C32E92" w:rsidRDefault="00C32E92" w:rsidP="00C32E92">
      <w:pPr>
        <w:autoSpaceDE w:val="0"/>
        <w:autoSpaceDN w:val="0"/>
        <w:adjustRightInd w:val="0"/>
        <w:ind w:firstLine="624"/>
        <w:jc w:val="both"/>
        <w:rPr>
          <w:rFonts w:ascii="Times New Roman" w:eastAsia="Calibri" w:hAnsi="Times New Roman" w:cs="Times New Roman"/>
          <w:bCs/>
          <w:iCs/>
          <w:sz w:val="24"/>
          <w:szCs w:val="24"/>
        </w:rPr>
      </w:pPr>
      <w:r w:rsidRPr="00C32E92">
        <w:rPr>
          <w:rFonts w:ascii="Times New Roman" w:eastAsia="Calibri" w:hAnsi="Times New Roman" w:cs="Times New Roman"/>
          <w:bCs/>
          <w:sz w:val="24"/>
          <w:szCs w:val="24"/>
        </w:rPr>
        <w:t xml:space="preserve">11 teminiam tikslui numatoma daugiau nei 1,8 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 xml:space="preserve">10,9 proc. ESF), kurios </w:t>
      </w:r>
      <w:r w:rsidRPr="00C32E92">
        <w:rPr>
          <w:rFonts w:ascii="Times New Roman" w:eastAsia="Calibri" w:hAnsi="Times New Roman" w:cs="Times New Roman"/>
          <w:bCs/>
          <w:iCs/>
          <w:sz w:val="24"/>
          <w:szCs w:val="24"/>
        </w:rPr>
        <w:t>skiriamos viešojo valdymo institucijų veiklos efektyvumui didinti, nacionalinėms viešojo valdymo reformoms parengti ir vykdyti bei 2014 m. ES Tarybos rekomendacijai dėl valstybės valdomų įmonių reformai įgyvendinti.</w:t>
      </w:r>
    </w:p>
    <w:p w:rsidR="00456C21" w:rsidRDefault="00456C21" w:rsidP="00F07BDB">
      <w:pPr>
        <w:autoSpaceDE w:val="0"/>
        <w:autoSpaceDN w:val="0"/>
        <w:adjustRightInd w:val="0"/>
        <w:ind w:firstLine="624"/>
        <w:jc w:val="both"/>
        <w:rPr>
          <w:rFonts w:ascii="Times New Roman" w:eastAsia="Calibri" w:hAnsi="Times New Roman" w:cs="Times New Roman"/>
          <w:b/>
          <w:bCs/>
          <w:sz w:val="24"/>
          <w:szCs w:val="24"/>
        </w:rPr>
      </w:pPr>
      <w:r w:rsidRPr="001F4C4B">
        <w:rPr>
          <w:rFonts w:ascii="Times New Roman" w:eastAsia="Calibri" w:hAnsi="Times New Roman" w:cs="Times New Roman"/>
          <w:b/>
          <w:bCs/>
          <w:sz w:val="24"/>
          <w:szCs w:val="24"/>
        </w:rPr>
        <w:t xml:space="preserve">12 teminiam tikslui numatoma apie </w:t>
      </w:r>
      <w:r w:rsidR="00883011" w:rsidRPr="00883011">
        <w:rPr>
          <w:rFonts w:ascii="Times New Roman" w:eastAsia="Calibri" w:hAnsi="Times New Roman" w:cs="Times New Roman"/>
          <w:b/>
          <w:bCs/>
          <w:sz w:val="24"/>
          <w:szCs w:val="24"/>
        </w:rPr>
        <w:t>4,2</w:t>
      </w:r>
      <w:r w:rsidRPr="00883011">
        <w:rPr>
          <w:rFonts w:ascii="Times New Roman" w:eastAsia="Calibri" w:hAnsi="Times New Roman" w:cs="Times New Roman"/>
          <w:b/>
          <w:bCs/>
          <w:sz w:val="24"/>
          <w:szCs w:val="24"/>
        </w:rPr>
        <w:t xml:space="preserve"> proc. </w:t>
      </w:r>
      <w:r w:rsidR="00883011" w:rsidRPr="00883011">
        <w:rPr>
          <w:rFonts w:ascii="Times New Roman" w:eastAsia="Calibri" w:hAnsi="Times New Roman" w:cs="Times New Roman"/>
          <w:b/>
          <w:bCs/>
          <w:sz w:val="24"/>
          <w:szCs w:val="24"/>
        </w:rPr>
        <w:t xml:space="preserve">ES fondų lėšų </w:t>
      </w:r>
      <w:proofErr w:type="gramStart"/>
      <w:r w:rsidR="00883011" w:rsidRPr="00883011">
        <w:rPr>
          <w:rFonts w:ascii="Times New Roman" w:eastAsia="Calibri" w:hAnsi="Times New Roman" w:cs="Times New Roman"/>
          <w:b/>
          <w:bCs/>
          <w:sz w:val="24"/>
          <w:szCs w:val="24"/>
        </w:rPr>
        <w:t>(</w:t>
      </w:r>
      <w:proofErr w:type="gramEnd"/>
      <w:r w:rsidR="00883011" w:rsidRPr="00883011">
        <w:rPr>
          <w:rFonts w:ascii="Times New Roman" w:eastAsia="Calibri" w:hAnsi="Times New Roman" w:cs="Times New Roman"/>
          <w:b/>
          <w:bCs/>
          <w:sz w:val="24"/>
          <w:szCs w:val="24"/>
        </w:rPr>
        <w:t>8</w:t>
      </w:r>
      <w:r w:rsidR="00040BDB" w:rsidRPr="00883011">
        <w:rPr>
          <w:rFonts w:ascii="Times New Roman" w:eastAsia="Calibri" w:hAnsi="Times New Roman" w:cs="Times New Roman"/>
          <w:b/>
          <w:bCs/>
          <w:sz w:val="24"/>
          <w:szCs w:val="24"/>
        </w:rPr>
        <w:t xml:space="preserve"> proc. ERPF</w:t>
      </w:r>
      <w:r w:rsidRPr="00883011">
        <w:rPr>
          <w:rFonts w:ascii="Times New Roman" w:eastAsia="Calibri" w:hAnsi="Times New Roman" w:cs="Times New Roman"/>
          <w:b/>
          <w:bCs/>
          <w:sz w:val="24"/>
          <w:szCs w:val="24"/>
        </w:rPr>
        <w:t xml:space="preserve">), kurios skiriamos ekonomikos </w:t>
      </w:r>
      <w:r w:rsidR="00746A15" w:rsidRPr="00883011">
        <w:rPr>
          <w:rFonts w:ascii="Times New Roman" w:eastAsia="Calibri" w:hAnsi="Times New Roman" w:cs="Times New Roman"/>
          <w:b/>
          <w:bCs/>
          <w:sz w:val="24"/>
          <w:szCs w:val="24"/>
        </w:rPr>
        <w:t>ir verslo</w:t>
      </w:r>
      <w:r w:rsidR="0037196C" w:rsidRPr="00883011">
        <w:rPr>
          <w:rFonts w:ascii="Times New Roman" w:eastAsia="Calibri" w:hAnsi="Times New Roman" w:cs="Times New Roman"/>
          <w:b/>
          <w:bCs/>
          <w:sz w:val="24"/>
          <w:szCs w:val="24"/>
        </w:rPr>
        <w:t xml:space="preserve"> </w:t>
      </w:r>
      <w:r w:rsidRPr="00883011">
        <w:rPr>
          <w:rFonts w:ascii="Times New Roman" w:eastAsia="Calibri" w:hAnsi="Times New Roman" w:cs="Times New Roman"/>
          <w:b/>
          <w:bCs/>
          <w:sz w:val="24"/>
          <w:szCs w:val="24"/>
        </w:rPr>
        <w:t>skaitmeninimo</w:t>
      </w:r>
      <w:r w:rsidR="00B227A3" w:rsidRPr="00883011">
        <w:rPr>
          <w:rFonts w:ascii="Times New Roman" w:eastAsia="Calibri" w:hAnsi="Times New Roman" w:cs="Times New Roman"/>
          <w:b/>
          <w:bCs/>
          <w:sz w:val="24"/>
          <w:szCs w:val="24"/>
        </w:rPr>
        <w:t>,</w:t>
      </w:r>
      <w:r w:rsidRPr="00883011">
        <w:rPr>
          <w:rFonts w:ascii="Times New Roman" w:eastAsia="Calibri" w:hAnsi="Times New Roman" w:cs="Times New Roman"/>
          <w:b/>
          <w:bCs/>
          <w:sz w:val="24"/>
          <w:szCs w:val="24"/>
        </w:rPr>
        <w:t xml:space="preserve"> </w:t>
      </w:r>
      <w:r w:rsidR="00B227A3" w:rsidRPr="00883011">
        <w:rPr>
          <w:rFonts w:ascii="Times New Roman" w:eastAsia="Calibri" w:hAnsi="Times New Roman" w:cs="Times New Roman"/>
          <w:b/>
          <w:bCs/>
          <w:sz w:val="24"/>
          <w:szCs w:val="24"/>
        </w:rPr>
        <w:t>MTEP</w:t>
      </w:r>
      <w:r w:rsidRPr="00883011">
        <w:rPr>
          <w:rFonts w:ascii="Times New Roman" w:eastAsia="Calibri" w:hAnsi="Times New Roman" w:cs="Times New Roman"/>
          <w:b/>
          <w:bCs/>
          <w:sz w:val="24"/>
          <w:szCs w:val="24"/>
        </w:rPr>
        <w:t xml:space="preserve"> </w:t>
      </w:r>
      <w:r w:rsidR="00B227A3" w:rsidRPr="00883011">
        <w:rPr>
          <w:rFonts w:ascii="Times New Roman" w:eastAsia="Calibri" w:hAnsi="Times New Roman" w:cs="Times New Roman"/>
          <w:b/>
          <w:bCs/>
          <w:sz w:val="24"/>
          <w:szCs w:val="24"/>
        </w:rPr>
        <w:t xml:space="preserve">ir </w:t>
      </w:r>
      <w:r w:rsidRPr="00883011">
        <w:rPr>
          <w:rFonts w:ascii="Times New Roman" w:eastAsia="Calibri" w:hAnsi="Times New Roman" w:cs="Times New Roman"/>
          <w:b/>
          <w:bCs/>
          <w:sz w:val="24"/>
          <w:szCs w:val="24"/>
        </w:rPr>
        <w:t>inovacijų plėtrai</w:t>
      </w:r>
      <w:r w:rsidR="00B227A3" w:rsidRPr="00883011">
        <w:rPr>
          <w:rFonts w:ascii="Times New Roman" w:eastAsia="Calibri" w:hAnsi="Times New Roman" w:cs="Times New Roman"/>
          <w:b/>
          <w:bCs/>
          <w:sz w:val="24"/>
          <w:szCs w:val="24"/>
        </w:rPr>
        <w:t>,</w:t>
      </w:r>
      <w:r w:rsidRPr="00883011">
        <w:rPr>
          <w:rFonts w:ascii="Times New Roman" w:eastAsia="Calibri" w:hAnsi="Times New Roman" w:cs="Times New Roman"/>
          <w:b/>
          <w:bCs/>
          <w:sz w:val="24"/>
          <w:szCs w:val="24"/>
        </w:rPr>
        <w:t xml:space="preserve"> </w:t>
      </w:r>
      <w:r w:rsidR="00F07BDB" w:rsidRPr="00883011">
        <w:rPr>
          <w:rFonts w:ascii="Times New Roman" w:eastAsia="Calibri" w:hAnsi="Times New Roman" w:cs="Times New Roman"/>
          <w:b/>
          <w:bCs/>
          <w:sz w:val="24"/>
          <w:szCs w:val="24"/>
        </w:rPr>
        <w:t>sveikatos</w:t>
      </w:r>
      <w:r w:rsidR="00F07BDB" w:rsidRPr="001F4C4B">
        <w:rPr>
          <w:rFonts w:ascii="Times New Roman" w:eastAsia="Calibri" w:hAnsi="Times New Roman" w:cs="Times New Roman"/>
          <w:b/>
          <w:bCs/>
          <w:sz w:val="24"/>
          <w:szCs w:val="24"/>
        </w:rPr>
        <w:t xml:space="preserve"> sistemos atsparumo didinimui</w:t>
      </w:r>
      <w:r w:rsidR="002C482C">
        <w:rPr>
          <w:rFonts w:ascii="Times New Roman" w:eastAsia="Calibri" w:hAnsi="Times New Roman" w:cs="Times New Roman"/>
          <w:b/>
          <w:bCs/>
          <w:sz w:val="24"/>
          <w:szCs w:val="24"/>
        </w:rPr>
        <w:t>,</w:t>
      </w:r>
      <w:r w:rsidR="00F07BDB" w:rsidRPr="001F4C4B">
        <w:rPr>
          <w:rFonts w:ascii="Times New Roman" w:eastAsia="Calibri" w:hAnsi="Times New Roman" w:cs="Times New Roman"/>
          <w:b/>
          <w:bCs/>
          <w:sz w:val="24"/>
          <w:szCs w:val="24"/>
        </w:rPr>
        <w:t xml:space="preserve"> d</w:t>
      </w:r>
      <w:r w:rsidR="002C482C">
        <w:rPr>
          <w:rFonts w:ascii="Times New Roman" w:eastAsia="Calibri" w:hAnsi="Times New Roman" w:cs="Times New Roman"/>
          <w:b/>
          <w:bCs/>
          <w:sz w:val="24"/>
          <w:szCs w:val="24"/>
        </w:rPr>
        <w:t xml:space="preserve">iegiant inovatyvius sprendimus bei </w:t>
      </w:r>
      <w:r w:rsidRPr="001F4C4B">
        <w:rPr>
          <w:rFonts w:ascii="Times New Roman" w:eastAsia="Calibri" w:hAnsi="Times New Roman" w:cs="Times New Roman"/>
          <w:b/>
          <w:bCs/>
          <w:sz w:val="24"/>
          <w:szCs w:val="24"/>
        </w:rPr>
        <w:t>klim</w:t>
      </w:r>
      <w:r w:rsidR="0037196C" w:rsidRPr="001F4C4B">
        <w:rPr>
          <w:rFonts w:ascii="Times New Roman" w:eastAsia="Calibri" w:hAnsi="Times New Roman" w:cs="Times New Roman"/>
          <w:b/>
          <w:bCs/>
          <w:sz w:val="24"/>
          <w:szCs w:val="24"/>
        </w:rPr>
        <w:t>ato kaitos švelninimui</w:t>
      </w:r>
      <w:r w:rsidR="00EE6C7D">
        <w:rPr>
          <w:rFonts w:ascii="Times New Roman" w:eastAsia="Calibri" w:hAnsi="Times New Roman" w:cs="Times New Roman"/>
          <w:b/>
          <w:bCs/>
          <w:sz w:val="24"/>
          <w:szCs w:val="24"/>
        </w:rPr>
        <w:t xml:space="preserve"> ir</w:t>
      </w:r>
      <w:r w:rsidR="0037196C" w:rsidRPr="001F4C4B">
        <w:rPr>
          <w:rFonts w:ascii="Times New Roman" w:eastAsia="Calibri" w:hAnsi="Times New Roman" w:cs="Times New Roman"/>
          <w:b/>
          <w:bCs/>
          <w:sz w:val="24"/>
          <w:szCs w:val="24"/>
        </w:rPr>
        <w:t xml:space="preserve"> ener</w:t>
      </w:r>
      <w:r w:rsidR="00EE6C7D">
        <w:rPr>
          <w:rFonts w:ascii="Times New Roman" w:eastAsia="Calibri" w:hAnsi="Times New Roman" w:cs="Times New Roman"/>
          <w:b/>
          <w:bCs/>
          <w:sz w:val="24"/>
          <w:szCs w:val="24"/>
        </w:rPr>
        <w:t xml:space="preserve">getikos efektyvumui </w:t>
      </w:r>
      <w:r w:rsidR="0037196C" w:rsidRPr="001F4C4B">
        <w:rPr>
          <w:rFonts w:ascii="Times New Roman" w:eastAsia="Calibri" w:hAnsi="Times New Roman" w:cs="Times New Roman"/>
          <w:b/>
          <w:bCs/>
          <w:sz w:val="24"/>
          <w:szCs w:val="24"/>
        </w:rPr>
        <w:t>didinti</w:t>
      </w:r>
      <w:r w:rsidR="00FD0D8E">
        <w:rPr>
          <w:rFonts w:ascii="Times New Roman" w:eastAsia="Calibri" w:hAnsi="Times New Roman" w:cs="Times New Roman"/>
          <w:b/>
          <w:bCs/>
          <w:sz w:val="24"/>
          <w:szCs w:val="24"/>
        </w:rPr>
        <w:t>.</w:t>
      </w:r>
      <w:r w:rsidR="007E7F9B" w:rsidRPr="001F4C4B">
        <w:rPr>
          <w:rFonts w:ascii="Times New Roman" w:eastAsia="Calibri" w:hAnsi="Times New Roman" w:cs="Times New Roman"/>
          <w:b/>
          <w:bCs/>
          <w:sz w:val="24"/>
          <w:szCs w:val="24"/>
        </w:rPr>
        <w:t xml:space="preserve"> </w:t>
      </w:r>
      <w:r w:rsidRPr="001F4C4B">
        <w:rPr>
          <w:rFonts w:ascii="Times New Roman" w:eastAsia="Calibri" w:hAnsi="Times New Roman" w:cs="Times New Roman"/>
          <w:b/>
          <w:bCs/>
          <w:sz w:val="24"/>
          <w:szCs w:val="24"/>
        </w:rPr>
        <w:t xml:space="preserve">Šiomis investicijomis bus </w:t>
      </w:r>
      <w:r w:rsidR="00746A15" w:rsidRPr="001F4C4B">
        <w:rPr>
          <w:rFonts w:ascii="Times New Roman" w:eastAsia="Calibri" w:hAnsi="Times New Roman" w:cs="Times New Roman"/>
          <w:b/>
          <w:bCs/>
          <w:sz w:val="24"/>
          <w:szCs w:val="24"/>
        </w:rPr>
        <w:t xml:space="preserve">prisidedama prie Lietuvos Respublikos Vyriausybės </w:t>
      </w:r>
      <w:r w:rsidR="00B227A3" w:rsidRPr="001F4C4B">
        <w:rPr>
          <w:rFonts w:ascii="Times New Roman" w:eastAsia="Calibri" w:hAnsi="Times New Roman" w:cs="Times New Roman"/>
          <w:b/>
          <w:bCs/>
          <w:sz w:val="24"/>
          <w:szCs w:val="24"/>
        </w:rPr>
        <w:t xml:space="preserve">patvirtinto </w:t>
      </w:r>
      <w:r w:rsidR="00746A15" w:rsidRPr="001F4C4B">
        <w:rPr>
          <w:rFonts w:ascii="Times New Roman" w:eastAsia="Calibri" w:hAnsi="Times New Roman" w:cs="Times New Roman"/>
          <w:b/>
          <w:bCs/>
          <w:sz w:val="24"/>
          <w:szCs w:val="24"/>
        </w:rPr>
        <w:t>Ateities ekonomikos DNR plano tikslų</w:t>
      </w:r>
      <w:r w:rsidR="00EE6C7D">
        <w:rPr>
          <w:rFonts w:ascii="Times New Roman" w:eastAsia="Calibri" w:hAnsi="Times New Roman" w:cs="Times New Roman"/>
          <w:b/>
          <w:bCs/>
          <w:sz w:val="24"/>
          <w:szCs w:val="24"/>
        </w:rPr>
        <w:t>,</w:t>
      </w:r>
      <w:r w:rsidR="00295893" w:rsidRPr="001F4C4B">
        <w:rPr>
          <w:rFonts w:ascii="Times New Roman" w:eastAsia="Calibri" w:hAnsi="Times New Roman" w:cs="Times New Roman"/>
          <w:b/>
          <w:bCs/>
          <w:sz w:val="24"/>
          <w:szCs w:val="24"/>
        </w:rPr>
        <w:t xml:space="preserve"> </w:t>
      </w:r>
      <w:r w:rsidR="00746A15" w:rsidRPr="001F4C4B">
        <w:rPr>
          <w:rFonts w:ascii="Times New Roman" w:eastAsia="Calibri" w:hAnsi="Times New Roman" w:cs="Times New Roman"/>
          <w:b/>
          <w:bCs/>
          <w:sz w:val="24"/>
          <w:szCs w:val="24"/>
        </w:rPr>
        <w:t>2020 m. ES Tarybos rekomendacij</w:t>
      </w:r>
      <w:r w:rsidR="00295893" w:rsidRPr="001F4C4B">
        <w:rPr>
          <w:rFonts w:ascii="Times New Roman" w:eastAsia="Calibri" w:hAnsi="Times New Roman" w:cs="Times New Roman"/>
          <w:b/>
          <w:bCs/>
          <w:sz w:val="24"/>
          <w:szCs w:val="24"/>
        </w:rPr>
        <w:t>ų</w:t>
      </w:r>
      <w:r w:rsidR="00FD0D8E">
        <w:rPr>
          <w:rFonts w:ascii="Times New Roman" w:eastAsia="Calibri" w:hAnsi="Times New Roman" w:cs="Times New Roman"/>
          <w:b/>
          <w:bCs/>
          <w:sz w:val="24"/>
          <w:szCs w:val="24"/>
        </w:rPr>
        <w:t xml:space="preserve"> bei Europos pavyzdinių iniciatyvų</w:t>
      </w:r>
      <w:r w:rsidR="00295893" w:rsidRPr="001F4C4B">
        <w:rPr>
          <w:rFonts w:ascii="Times New Roman" w:eastAsia="Calibri" w:hAnsi="Times New Roman" w:cs="Times New Roman"/>
          <w:b/>
          <w:bCs/>
          <w:sz w:val="24"/>
          <w:szCs w:val="24"/>
        </w:rPr>
        <w:t xml:space="preserve"> įgyvendinimo</w:t>
      </w:r>
      <w:r w:rsidR="005243DE" w:rsidRPr="001F4C4B">
        <w:rPr>
          <w:rFonts w:ascii="Times New Roman" w:eastAsia="Calibri" w:hAnsi="Times New Roman" w:cs="Times New Roman"/>
          <w:b/>
          <w:bCs/>
          <w:sz w:val="24"/>
          <w:szCs w:val="24"/>
        </w:rPr>
        <w:t>.</w:t>
      </w:r>
    </w:p>
    <w:p w:rsidR="00FD0D8E" w:rsidRPr="001F4C4B" w:rsidRDefault="00FD0D8E" w:rsidP="00FD0D8E">
      <w:pPr>
        <w:autoSpaceDE w:val="0"/>
        <w:autoSpaceDN w:val="0"/>
        <w:adjustRightInd w:val="0"/>
        <w:ind w:firstLine="62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13 teminiam tikslui numatoma </w:t>
      </w:r>
      <w:r w:rsidRPr="00883011">
        <w:rPr>
          <w:rFonts w:ascii="Times New Roman" w:eastAsia="Calibri" w:hAnsi="Times New Roman" w:cs="Times New Roman"/>
          <w:b/>
          <w:bCs/>
          <w:sz w:val="24"/>
          <w:szCs w:val="24"/>
        </w:rPr>
        <w:t xml:space="preserve">apie </w:t>
      </w:r>
      <w:r w:rsidR="00883011" w:rsidRPr="00883011">
        <w:rPr>
          <w:rFonts w:ascii="Times New Roman" w:eastAsia="Calibri" w:hAnsi="Times New Roman" w:cs="Times New Roman"/>
          <w:b/>
          <w:bCs/>
          <w:sz w:val="24"/>
          <w:szCs w:val="24"/>
        </w:rPr>
        <w:t xml:space="preserve">0,7 proc. ES fondų lėšų </w:t>
      </w:r>
      <w:proofErr w:type="gramStart"/>
      <w:r w:rsidR="00883011" w:rsidRPr="00883011">
        <w:rPr>
          <w:rFonts w:ascii="Times New Roman" w:eastAsia="Calibri" w:hAnsi="Times New Roman" w:cs="Times New Roman"/>
          <w:b/>
          <w:bCs/>
          <w:sz w:val="24"/>
          <w:szCs w:val="24"/>
        </w:rPr>
        <w:t>(</w:t>
      </w:r>
      <w:proofErr w:type="gramEnd"/>
      <w:r w:rsidR="00883011" w:rsidRPr="00883011">
        <w:rPr>
          <w:rFonts w:ascii="Times New Roman" w:eastAsia="Calibri" w:hAnsi="Times New Roman" w:cs="Times New Roman"/>
          <w:b/>
          <w:bCs/>
          <w:sz w:val="24"/>
          <w:szCs w:val="24"/>
        </w:rPr>
        <w:t>3,7</w:t>
      </w:r>
      <w:r w:rsidRPr="00883011">
        <w:rPr>
          <w:rFonts w:ascii="Times New Roman" w:eastAsia="Calibri" w:hAnsi="Times New Roman" w:cs="Times New Roman"/>
          <w:b/>
          <w:bCs/>
          <w:sz w:val="24"/>
          <w:szCs w:val="24"/>
        </w:rPr>
        <w:t xml:space="preserve"> proc. ESF), kurios skiriamos žmogiškiesiems ištekliams stiprinti, jų kvalifikacijai kelti, kompetencijoms ugdyti ir</w:t>
      </w:r>
      <w:r w:rsidRPr="005740FF">
        <w:rPr>
          <w:rFonts w:ascii="Times New Roman" w:eastAsia="Calibri" w:hAnsi="Times New Roman" w:cs="Times New Roman"/>
          <w:b/>
          <w:bCs/>
          <w:sz w:val="24"/>
          <w:szCs w:val="24"/>
        </w:rPr>
        <w:t xml:space="preserve"> perkvalifikuoti</w:t>
      </w:r>
      <w:r w:rsidR="00EE6C7D" w:rsidRPr="005740FF">
        <w:rPr>
          <w:rFonts w:ascii="Times New Roman" w:eastAsia="Calibri" w:hAnsi="Times New Roman" w:cs="Times New Roman"/>
          <w:b/>
          <w:bCs/>
          <w:sz w:val="24"/>
          <w:szCs w:val="24"/>
        </w:rPr>
        <w:t xml:space="preserve">, didinant jų įsitraukimą į darbo rinką. </w:t>
      </w:r>
      <w:r w:rsidRPr="005740FF">
        <w:rPr>
          <w:rFonts w:ascii="Times New Roman" w:eastAsia="Calibri" w:hAnsi="Times New Roman" w:cs="Times New Roman"/>
          <w:b/>
          <w:bCs/>
          <w:sz w:val="24"/>
          <w:szCs w:val="24"/>
        </w:rPr>
        <w:t>Šiomis investicijomis bus prisidedama prie 2020 m. ES</w:t>
      </w:r>
      <w:r w:rsidRPr="00FD0D8E">
        <w:rPr>
          <w:rFonts w:ascii="Times New Roman" w:eastAsia="Calibri" w:hAnsi="Times New Roman" w:cs="Times New Roman"/>
          <w:b/>
          <w:bCs/>
          <w:sz w:val="24"/>
          <w:szCs w:val="24"/>
        </w:rPr>
        <w:t xml:space="preserve"> Tarybos rekomendacijų bei Europos pavyzdinių iniciatyvų įgyvendinimo.</w:t>
      </w:r>
    </w:p>
    <w:p w:rsidR="00C32E92" w:rsidRP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 xml:space="preserve">Užtikrinant efektyvią ES fondų investicijų panaudojimo administravimo sistemą, viešinimą ir informavimą bei tinkamus vertinimus techninei paramai numatoma 3,2 proc. ES fondų lėšų </w:t>
      </w:r>
      <w:proofErr w:type="gramStart"/>
      <w:r w:rsidRPr="00C32E92">
        <w:rPr>
          <w:rFonts w:ascii="Times New Roman" w:eastAsia="Calibri" w:hAnsi="Times New Roman" w:cs="Times New Roman"/>
          <w:bCs/>
          <w:sz w:val="24"/>
          <w:szCs w:val="24"/>
        </w:rPr>
        <w:t>(</w:t>
      </w:r>
      <w:proofErr w:type="gramEnd"/>
      <w:r w:rsidRPr="00C32E92">
        <w:rPr>
          <w:rFonts w:ascii="Times New Roman" w:eastAsia="Calibri" w:hAnsi="Times New Roman" w:cs="Times New Roman"/>
          <w:bCs/>
          <w:sz w:val="24"/>
          <w:szCs w:val="24"/>
        </w:rPr>
        <w:t xml:space="preserve">apie 2,3 proc. ESF ir beveik 9,2 proc. </w:t>
      </w:r>
      <w:proofErr w:type="spellStart"/>
      <w:r w:rsidRPr="00C32E92">
        <w:rPr>
          <w:rFonts w:ascii="Times New Roman" w:eastAsia="Calibri" w:hAnsi="Times New Roman" w:cs="Times New Roman"/>
          <w:bCs/>
          <w:sz w:val="24"/>
          <w:szCs w:val="24"/>
        </w:rPr>
        <w:t>SaF</w:t>
      </w:r>
      <w:proofErr w:type="spellEnd"/>
      <w:r w:rsidRPr="00C32E92">
        <w:rPr>
          <w:rFonts w:ascii="Times New Roman" w:eastAsia="Calibri" w:hAnsi="Times New Roman" w:cs="Times New Roman"/>
          <w:bCs/>
          <w:sz w:val="24"/>
          <w:szCs w:val="24"/>
        </w:rPr>
        <w:t>).</w:t>
      </w:r>
    </w:p>
    <w:p w:rsidR="00C32E92" w:rsidRDefault="00C32E92" w:rsidP="00C32E92">
      <w:pPr>
        <w:autoSpaceDE w:val="0"/>
        <w:autoSpaceDN w:val="0"/>
        <w:adjustRightInd w:val="0"/>
        <w:ind w:firstLine="624"/>
        <w:jc w:val="both"/>
        <w:rPr>
          <w:rFonts w:ascii="Times New Roman" w:eastAsia="Calibri" w:hAnsi="Times New Roman" w:cs="Times New Roman"/>
          <w:bCs/>
          <w:sz w:val="24"/>
          <w:szCs w:val="24"/>
        </w:rPr>
      </w:pPr>
      <w:r w:rsidRPr="00C32E92">
        <w:rPr>
          <w:rFonts w:ascii="Times New Roman" w:eastAsia="Calibri" w:hAnsi="Times New Roman" w:cs="Times New Roman"/>
          <w:bCs/>
          <w:sz w:val="24"/>
          <w:szCs w:val="24"/>
        </w:rPr>
        <w:t>Palyginti su 2007–2013 m. finansiniu laikotarpiu, 2014–2020 m. daugiau dėmesio numatoma skirti moksliniams tyrimams ir eksperimentinei plėtrai (MTEP). Išankstinio vertinimo ekspertų atliktomis makroekonominėmis simuliacijomis nustatyta, kad didžiausią poveikį BVP ir kitiems esminiams makroekonominiams kintamiesiems Lietuvos atveju duotų aktyvesnis ES fondų nukreipimas į MTEP sritį lyginant su 2007–2013 m. laikotarpiu. Atsižvelgiant į Lietuvai skirtas 2014 m. ES Tarybos rekomendacijas, daugiau lėšų bus skiriama energijos efektyvumo investicijoms, kuriomis siekiama pagerinti energetinį efektyvumą bei energijos tinklų konkurenciją plėtojant elektros energijos ir dujų tinklų jungtis su ES šalimis. Taip pat 2014–2020 m. finansinių laikotarpiu numatomos didesnės ESF investicijos nei 2007–2013 m., kadangi 2014 m. ES Tarybos rekomendacijose siūloma tikslingiau spręsti didelio žemos kvalifikacijos darbuotojų ir ilgalaikio nedarbo problemas, padidinti švietimo sistemos atitiktį darbo rinkos poreikiams ir skatinti mokytis visą gyvenimą.</w:t>
      </w:r>
    </w:p>
    <w:p w:rsidR="00C32E92" w:rsidRDefault="00C32E92">
      <w:pPr>
        <w:rPr>
          <w:rFonts w:ascii="Times New Roman" w:eastAsia="Calibri" w:hAnsi="Times New Roman" w:cs="Times New Roman"/>
          <w:bCs/>
          <w:color w:val="17365D"/>
          <w:sz w:val="24"/>
          <w:szCs w:val="24"/>
        </w:rPr>
      </w:pPr>
      <w:r>
        <w:rPr>
          <w:rFonts w:ascii="Times New Roman" w:eastAsia="Calibri" w:hAnsi="Times New Roman" w:cs="Times New Roman"/>
          <w:bCs/>
          <w:color w:val="17365D"/>
          <w:sz w:val="24"/>
          <w:szCs w:val="24"/>
        </w:rPr>
        <w:br w:type="page"/>
      </w:r>
    </w:p>
    <w:p w:rsidR="00C32E92" w:rsidRDefault="00C32E92" w:rsidP="00C32E92">
      <w:pPr>
        <w:autoSpaceDE w:val="0"/>
        <w:autoSpaceDN w:val="0"/>
        <w:adjustRightInd w:val="0"/>
        <w:ind w:firstLine="624"/>
        <w:jc w:val="both"/>
        <w:rPr>
          <w:rFonts w:ascii="Times New Roman" w:eastAsia="Calibri" w:hAnsi="Times New Roman" w:cs="Times New Roman"/>
          <w:bCs/>
          <w:color w:val="17365D"/>
          <w:sz w:val="24"/>
          <w:szCs w:val="24"/>
        </w:rPr>
        <w:sectPr w:rsidR="00C32E92" w:rsidSect="00C90FF2">
          <w:pgSz w:w="11907" w:h="16839" w:code="9"/>
          <w:pgMar w:top="1134" w:right="567" w:bottom="1134" w:left="1134" w:header="561" w:footer="686" w:gutter="0"/>
          <w:cols w:space="1296"/>
          <w:formProt w:val="0"/>
          <w:titlePg/>
          <w:docGrid w:linePitch="326"/>
        </w:sectPr>
      </w:pPr>
    </w:p>
    <w:p w:rsidR="00C32E92" w:rsidRPr="00C32E92" w:rsidRDefault="00C32E92" w:rsidP="00C32E92">
      <w:pPr>
        <w:autoSpaceDE w:val="0"/>
        <w:autoSpaceDN w:val="0"/>
        <w:adjustRightInd w:val="0"/>
        <w:ind w:firstLine="624"/>
        <w:jc w:val="both"/>
        <w:rPr>
          <w:rFonts w:ascii="Times New Roman" w:eastAsia="Calibri" w:hAnsi="Times New Roman" w:cs="Times New Roman"/>
          <w:bCs/>
          <w:color w:val="17365D"/>
          <w:sz w:val="24"/>
          <w:szCs w:val="24"/>
        </w:rPr>
      </w:pPr>
    </w:p>
    <w:p w:rsidR="00C32E92" w:rsidRPr="00C32E92" w:rsidRDefault="00522D09" w:rsidP="00C32E92">
      <w:pPr>
        <w:widowControl w:val="0"/>
        <w:shd w:val="clear" w:color="auto" w:fill="FFFFFF"/>
        <w:spacing w:before="240" w:after="240"/>
        <w:jc w:val="both"/>
        <w:textAlignment w:val="baseline"/>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4</w:t>
      </w:r>
      <w:r w:rsidR="00C32E92" w:rsidRPr="00697AD2">
        <w:rPr>
          <w:rFonts w:ascii="Times New Roman" w:hAnsi="Times New Roman" w:cs="Times New Roman"/>
          <w:i/>
          <w:color w:val="000000"/>
          <w:sz w:val="24"/>
          <w:szCs w:val="24"/>
          <w:u w:val="single"/>
        </w:rPr>
        <w:t xml:space="preserve">. </w:t>
      </w:r>
      <w:r w:rsidR="00C32E92">
        <w:rPr>
          <w:rFonts w:ascii="Times New Roman" w:hAnsi="Times New Roman" w:cs="Times New Roman"/>
          <w:i/>
          <w:color w:val="000000"/>
          <w:sz w:val="24"/>
          <w:szCs w:val="24"/>
          <w:u w:val="single"/>
        </w:rPr>
        <w:t xml:space="preserve">Papildyti Veiksmų programos 1 skirsnio „Veiksmų programos indėlis į strategiją „Europa 2020“ 1.2 dalies </w:t>
      </w:r>
      <w:r w:rsidR="00C32E92" w:rsidRPr="00C32E92">
        <w:rPr>
          <w:rFonts w:ascii="Times New Roman" w:hAnsi="Times New Roman" w:cs="Times New Roman"/>
          <w:i/>
          <w:color w:val="000000"/>
          <w:sz w:val="24"/>
          <w:szCs w:val="24"/>
          <w:u w:val="single"/>
        </w:rPr>
        <w:t>„</w:t>
      </w:r>
      <w:r w:rsidR="00C32E92" w:rsidRPr="00C32E92">
        <w:rPr>
          <w:rFonts w:ascii="Times New Roman" w:hAnsi="Times New Roman" w:cs="Times New Roman"/>
          <w:bCs/>
          <w:i/>
          <w:iCs/>
          <w:color w:val="000000"/>
          <w:sz w:val="24"/>
          <w:szCs w:val="24"/>
          <w:u w:val="single"/>
        </w:rPr>
        <w:t>Finansinių asignavimų pagrindimas</w:t>
      </w:r>
      <w:r w:rsidR="00C32E92" w:rsidRPr="00C32E92">
        <w:rPr>
          <w:rFonts w:ascii="Times New Roman" w:hAnsi="Times New Roman" w:cs="Times New Roman"/>
          <w:i/>
          <w:color w:val="000000"/>
          <w:sz w:val="24"/>
          <w:szCs w:val="24"/>
          <w:u w:val="single"/>
        </w:rPr>
        <w:t xml:space="preserve">“ </w:t>
      </w:r>
      <w:r w:rsidR="00C32E92">
        <w:rPr>
          <w:rFonts w:ascii="Times New Roman" w:hAnsi="Times New Roman" w:cs="Times New Roman"/>
          <w:i/>
          <w:color w:val="000000"/>
          <w:sz w:val="24"/>
          <w:szCs w:val="24"/>
          <w:u w:val="single"/>
        </w:rPr>
        <w:t>2 lentelę „</w:t>
      </w:r>
      <w:r w:rsidR="00C32E92" w:rsidRPr="00C32E92">
        <w:rPr>
          <w:rFonts w:ascii="Times New Roman" w:hAnsi="Times New Roman" w:cs="Times New Roman"/>
          <w:i/>
          <w:color w:val="000000"/>
          <w:sz w:val="24"/>
          <w:szCs w:val="24"/>
          <w:u w:val="single"/>
        </w:rPr>
        <w:t>Veiksmų programos investavimo strategijos apžvalga</w:t>
      </w:r>
      <w:r w:rsidR="00C32E92">
        <w:rPr>
          <w:rFonts w:ascii="Times New Roman" w:hAnsi="Times New Roman" w:cs="Times New Roman"/>
          <w:i/>
          <w:color w:val="000000"/>
          <w:sz w:val="24"/>
          <w:szCs w:val="24"/>
          <w:u w:val="single"/>
        </w:rPr>
        <w:t xml:space="preserve">“ </w:t>
      </w:r>
      <w:r w:rsidR="00C32E92" w:rsidRPr="00C32E92">
        <w:rPr>
          <w:rFonts w:ascii="Times New Roman" w:hAnsi="Times New Roman" w:cs="Times New Roman"/>
          <w:i/>
          <w:color w:val="000000"/>
          <w:sz w:val="24"/>
          <w:szCs w:val="24"/>
          <w:u w:val="single"/>
        </w:rPr>
        <w:t>ir išdėstyti ją taip:</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2835"/>
        <w:gridCol w:w="2693"/>
        <w:gridCol w:w="3119"/>
        <w:gridCol w:w="850"/>
        <w:gridCol w:w="1276"/>
        <w:gridCol w:w="1134"/>
      </w:tblGrid>
      <w:tr w:rsidR="00C32E92" w:rsidRPr="00C32E92" w:rsidTr="00C32E92">
        <w:trPr>
          <w:tblHeader/>
        </w:trPr>
        <w:tc>
          <w:tcPr>
            <w:tcW w:w="1668" w:type="dxa"/>
            <w:shd w:val="clear" w:color="auto" w:fill="EEECE1" w:themeFill="background2"/>
            <w:vAlign w:val="center"/>
          </w:tcPr>
          <w:p w:rsidR="00C32E92" w:rsidRPr="00C32E92" w:rsidRDefault="00C32E92" w:rsidP="00C32E92">
            <w:pPr>
              <w:widowControl w:val="0"/>
              <w:tabs>
                <w:tab w:val="left" w:pos="622"/>
              </w:tabs>
              <w:jc w:val="center"/>
              <w:rPr>
                <w:rFonts w:ascii="Times New Roman" w:eastAsia="AngsanaUPC" w:hAnsi="Times New Roman" w:cs="Times New Roman"/>
                <w:b/>
                <w:bCs/>
                <w:lang w:eastAsia="lt-LT"/>
              </w:rPr>
            </w:pPr>
            <w:r w:rsidRPr="00C32E92">
              <w:rPr>
                <w:rFonts w:ascii="Times New Roman" w:eastAsia="AngsanaUPC" w:hAnsi="Times New Roman" w:cs="Times New Roman"/>
                <w:b/>
                <w:bCs/>
                <w:lang w:eastAsia="lt-LT"/>
              </w:rPr>
              <w:t>Prioritetas</w:t>
            </w:r>
          </w:p>
        </w:tc>
        <w:tc>
          <w:tcPr>
            <w:tcW w:w="1559" w:type="dxa"/>
            <w:shd w:val="clear" w:color="auto" w:fill="EEECE1" w:themeFill="background2"/>
            <w:vAlign w:val="center"/>
          </w:tcPr>
          <w:p w:rsidR="00C32E92" w:rsidRPr="00C32E92" w:rsidRDefault="00C32E92" w:rsidP="00C32E92">
            <w:pPr>
              <w:widowControl w:val="0"/>
              <w:tabs>
                <w:tab w:val="left" w:pos="622"/>
              </w:tabs>
              <w:jc w:val="center"/>
              <w:rPr>
                <w:rFonts w:ascii="Times New Roman" w:eastAsia="AngsanaUPC" w:hAnsi="Times New Roman" w:cs="Times New Roman"/>
                <w:b/>
                <w:bCs/>
                <w:lang w:eastAsia="lt-LT"/>
              </w:rPr>
            </w:pPr>
            <w:r w:rsidRPr="00C32E92">
              <w:rPr>
                <w:rFonts w:ascii="Times New Roman" w:eastAsia="AngsanaUPC" w:hAnsi="Times New Roman" w:cs="Times New Roman"/>
                <w:b/>
                <w:bCs/>
                <w:lang w:eastAsia="lt-LT"/>
              </w:rPr>
              <w:t>Teminis tikslas</w:t>
            </w:r>
          </w:p>
        </w:tc>
        <w:tc>
          <w:tcPr>
            <w:tcW w:w="2835" w:type="dxa"/>
            <w:shd w:val="clear" w:color="auto" w:fill="EEECE1" w:themeFill="background2"/>
            <w:vAlign w:val="center"/>
          </w:tcPr>
          <w:p w:rsidR="00C32E92" w:rsidRPr="00C32E92" w:rsidRDefault="00C32E92" w:rsidP="00C32E92">
            <w:pPr>
              <w:widowControl w:val="0"/>
              <w:tabs>
                <w:tab w:val="left" w:pos="622"/>
              </w:tabs>
              <w:jc w:val="center"/>
              <w:rPr>
                <w:rFonts w:ascii="Times New Roman" w:eastAsia="AngsanaUPC" w:hAnsi="Times New Roman" w:cs="Times New Roman"/>
                <w:b/>
                <w:bCs/>
                <w:lang w:eastAsia="lt-LT"/>
              </w:rPr>
            </w:pPr>
            <w:r w:rsidRPr="00C32E92">
              <w:rPr>
                <w:rFonts w:ascii="Times New Roman" w:eastAsia="AngsanaUPC" w:hAnsi="Times New Roman" w:cs="Times New Roman"/>
                <w:b/>
                <w:bCs/>
                <w:lang w:eastAsia="lt-LT"/>
              </w:rPr>
              <w:t>Investicinis prioritetas</w:t>
            </w:r>
          </w:p>
        </w:tc>
        <w:tc>
          <w:tcPr>
            <w:tcW w:w="2693" w:type="dxa"/>
            <w:shd w:val="clear" w:color="auto" w:fill="EEECE1" w:themeFill="background2"/>
            <w:vAlign w:val="center"/>
          </w:tcPr>
          <w:p w:rsidR="00C32E92" w:rsidRPr="00C32E92" w:rsidRDefault="00C32E92" w:rsidP="00C32E92">
            <w:pPr>
              <w:widowControl w:val="0"/>
              <w:tabs>
                <w:tab w:val="left" w:pos="622"/>
              </w:tabs>
              <w:jc w:val="center"/>
              <w:rPr>
                <w:rFonts w:ascii="Times New Roman" w:eastAsia="AngsanaUPC" w:hAnsi="Times New Roman" w:cs="Times New Roman"/>
                <w:b/>
                <w:bCs/>
                <w:lang w:eastAsia="lt-LT"/>
              </w:rPr>
            </w:pPr>
            <w:r w:rsidRPr="00C32E92">
              <w:rPr>
                <w:rFonts w:ascii="Times New Roman" w:eastAsia="AngsanaUPC" w:hAnsi="Times New Roman" w:cs="Times New Roman"/>
                <w:b/>
                <w:bCs/>
                <w:lang w:eastAsia="lt-LT"/>
              </w:rPr>
              <w:t>Konkretūs uždaviniai</w:t>
            </w:r>
          </w:p>
        </w:tc>
        <w:tc>
          <w:tcPr>
            <w:tcW w:w="3119" w:type="dxa"/>
            <w:shd w:val="clear" w:color="auto" w:fill="EEECE1" w:themeFill="background2"/>
            <w:vAlign w:val="center"/>
          </w:tcPr>
          <w:p w:rsidR="00C32E92" w:rsidRPr="00C32E92" w:rsidRDefault="00C32E92" w:rsidP="00C32E92">
            <w:pPr>
              <w:widowControl w:val="0"/>
              <w:tabs>
                <w:tab w:val="left" w:pos="622"/>
              </w:tabs>
              <w:jc w:val="center"/>
              <w:rPr>
                <w:rFonts w:ascii="Times New Roman" w:eastAsia="AngsanaUPC" w:hAnsi="Times New Roman" w:cs="Times New Roman"/>
                <w:b/>
                <w:bCs/>
                <w:lang w:eastAsia="lt-LT"/>
              </w:rPr>
            </w:pPr>
            <w:r w:rsidRPr="00C32E92">
              <w:rPr>
                <w:rFonts w:ascii="Times New Roman" w:eastAsia="AngsanaUPC" w:hAnsi="Times New Roman" w:cs="Times New Roman"/>
                <w:b/>
                <w:bCs/>
                <w:lang w:eastAsia="lt-LT"/>
              </w:rPr>
              <w:t>Rezultato rodikliai</w:t>
            </w:r>
          </w:p>
        </w:tc>
        <w:tc>
          <w:tcPr>
            <w:tcW w:w="850" w:type="dxa"/>
            <w:shd w:val="clear" w:color="auto" w:fill="EEECE1" w:themeFill="background2"/>
            <w:vAlign w:val="center"/>
          </w:tcPr>
          <w:p w:rsidR="00C32E92" w:rsidRPr="00C32E92" w:rsidRDefault="00C32E92" w:rsidP="00C32E92">
            <w:pPr>
              <w:widowControl w:val="0"/>
              <w:tabs>
                <w:tab w:val="left" w:pos="622"/>
              </w:tabs>
              <w:jc w:val="center"/>
              <w:rPr>
                <w:rFonts w:ascii="Times New Roman" w:eastAsia="AngsanaUPC" w:hAnsi="Times New Roman" w:cs="Times New Roman"/>
                <w:b/>
                <w:bCs/>
                <w:lang w:eastAsia="lt-LT"/>
              </w:rPr>
            </w:pPr>
            <w:r w:rsidRPr="00C32E92">
              <w:rPr>
                <w:rFonts w:ascii="Times New Roman" w:eastAsia="AngsanaUPC" w:hAnsi="Times New Roman" w:cs="Times New Roman"/>
                <w:b/>
                <w:bCs/>
                <w:lang w:eastAsia="lt-LT"/>
              </w:rPr>
              <w:t>Fondas</w:t>
            </w:r>
          </w:p>
        </w:tc>
        <w:tc>
          <w:tcPr>
            <w:tcW w:w="1276" w:type="dxa"/>
            <w:shd w:val="clear" w:color="auto" w:fill="EEECE1" w:themeFill="background2"/>
            <w:vAlign w:val="center"/>
          </w:tcPr>
          <w:p w:rsidR="00C32E92" w:rsidRPr="00C32E92" w:rsidRDefault="00C32E92" w:rsidP="00C32E92">
            <w:pPr>
              <w:widowControl w:val="0"/>
              <w:tabs>
                <w:tab w:val="left" w:pos="622"/>
              </w:tabs>
              <w:jc w:val="center"/>
              <w:rPr>
                <w:rFonts w:ascii="Times New Roman" w:eastAsia="AngsanaUPC" w:hAnsi="Times New Roman" w:cs="Times New Roman"/>
                <w:b/>
                <w:bCs/>
                <w:lang w:eastAsia="lt-LT"/>
              </w:rPr>
            </w:pPr>
            <w:r w:rsidRPr="00C32E92">
              <w:rPr>
                <w:rFonts w:ascii="Times New Roman" w:eastAsia="AngsanaUPC" w:hAnsi="Times New Roman" w:cs="Times New Roman"/>
                <w:b/>
                <w:bCs/>
                <w:lang w:eastAsia="lt-LT"/>
              </w:rPr>
              <w:t>Skiriama parama (eurais)</w:t>
            </w:r>
          </w:p>
        </w:tc>
        <w:tc>
          <w:tcPr>
            <w:tcW w:w="1134" w:type="dxa"/>
            <w:shd w:val="clear" w:color="auto" w:fill="EEECE1" w:themeFill="background2"/>
            <w:vAlign w:val="center"/>
          </w:tcPr>
          <w:p w:rsidR="00C32E92" w:rsidRPr="00C32E92" w:rsidRDefault="00C32E92" w:rsidP="00C32E92">
            <w:pPr>
              <w:widowControl w:val="0"/>
              <w:tabs>
                <w:tab w:val="left" w:pos="622"/>
              </w:tabs>
              <w:jc w:val="center"/>
              <w:rPr>
                <w:rFonts w:ascii="Times New Roman" w:eastAsia="AngsanaUPC" w:hAnsi="Times New Roman" w:cs="Times New Roman"/>
                <w:b/>
                <w:bCs/>
                <w:lang w:eastAsia="lt-LT"/>
              </w:rPr>
            </w:pPr>
            <w:r w:rsidRPr="00C32E92">
              <w:rPr>
                <w:rFonts w:ascii="Times New Roman" w:eastAsia="AngsanaUPC" w:hAnsi="Times New Roman" w:cs="Times New Roman"/>
                <w:b/>
                <w:bCs/>
                <w:lang w:eastAsia="lt-LT"/>
              </w:rPr>
              <w:t>Visos skiriamos paramos dalis veiksmų programai</w:t>
            </w:r>
          </w:p>
        </w:tc>
      </w:tr>
      <w:tr w:rsidR="00C32E92" w:rsidRPr="00C32E92" w:rsidTr="00C32E92">
        <w:trPr>
          <w:trHeight w:val="1355"/>
        </w:trPr>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Mokslinių tyrimų, eksperimentinės plėtros ir inovacijų skatinimas</w:t>
            </w: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Mokslinių tyrimų, technologinės plėtros ir inovacijų skatinimas</w:t>
            </w:r>
          </w:p>
        </w:tc>
        <w:tc>
          <w:tcPr>
            <w:tcW w:w="2835"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MTI infrastruktūros tobulinimas, gebėjimų plėtoti MTI stiprinimas ir kompetencijos centrų, ypač europinės svarbos, veiklos skatinimas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Siekti aktyvesnio turimos ir naujai kuriamos mokslinių tyrimų, eksperimentinės plėtros ir inovacijų infrastruktūros panaudojimo</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Calibri" w:hAnsi="Times New Roman" w:cs="Times New Roman"/>
              </w:rPr>
              <w:t>Išorės vartotojai iš ūkio subjektų, pasinaudoję atnaujinta atviros prieigos MTEPI infrastruktūra</w:t>
            </w:r>
          </w:p>
        </w:tc>
        <w:tc>
          <w:tcPr>
            <w:tcW w:w="850"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w:t>
            </w:r>
          </w:p>
        </w:tc>
        <w:tc>
          <w:tcPr>
            <w:tcW w:w="1276"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678.878.835</w:t>
            </w:r>
          </w:p>
        </w:tc>
        <w:tc>
          <w:tcPr>
            <w:tcW w:w="1134"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10,1 </w:t>
            </w:r>
            <w:r w:rsidRPr="00C32E92">
              <w:rPr>
                <w:rFonts w:ascii="Times New Roman" w:eastAsia="AngsanaUPC" w:hAnsi="Times New Roman" w:cs="Times New Roman"/>
                <w:bCs/>
                <w:lang w:val="en-US" w:eastAsia="lt-LT"/>
              </w:rPr>
              <w:t>%</w:t>
            </w:r>
          </w:p>
        </w:tc>
      </w:tr>
      <w:tr w:rsidR="00C32E92" w:rsidRPr="00C32E92" w:rsidTr="00C32E92">
        <w:trPr>
          <w:trHeight w:val="46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Verslo investicijų į MTI skatinimas, įmonių, MTI centrų ir aukštojo mokslo sektoriaus ryšių bei sąveikos plėtojimas, visų pirma,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DPT pažangiosios gamybos pajėgumus, pirminės gamybos bei bendrosios paskirties technologijų sklaidą</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Padidinti mokslinių tyrimų, eksperimentinės plėtros ir inovacijų veiklų aktyvumą privačiame sektoriuje</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iCs/>
                <w:lang w:eastAsia="lt-LT"/>
              </w:rPr>
              <w:t>Verslo sektoriaus išlaidos MTEP, tenkančios vienam gyventojui</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85"/>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Inovatyvių įmonių, bendradarbiaujančių su partneriais, dalis nuo visų su inovacijomis susijusių įmonių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898"/>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Padidinti žinių komercinimo ir technologijų perdavimo mastą</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Ūkio subjektų finansuota mokslo ir studijų institucijų MTEP išlaidų dalis nuo visų išlaidų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783"/>
        </w:trPr>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Calibri" w:hAnsi="Times New Roman" w:cs="Times New Roman"/>
              </w:rPr>
              <w:lastRenderedPageBreak/>
              <w:t>Informacinės visuomenės skatinimas</w:t>
            </w: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IRT prieinamumo, naudojimo didinimas ir kokybės gerinimas</w:t>
            </w:r>
          </w:p>
        </w:tc>
        <w:tc>
          <w:tcPr>
            <w:tcW w:w="2835"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Plačiajuosčio ryšio diegimas ir didelės spartos tinklų plėtra, naujų skaitmeninei ekonomikai skirtų technologijų ir tinklų rėmimas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Padidinti plačiajuosčių elektroninių ryšių tinklų infrastruktūros prieinamumą ir naudojimą vietovėse, kuriose naujos kartos prieigos infrastruktūros plėtros ir paslaugų teikimo negali užtikrinti rinka</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Namų ūkių, esančių 30 </w:t>
            </w:r>
            <w:proofErr w:type="spellStart"/>
            <w:r w:rsidRPr="00C32E92">
              <w:rPr>
                <w:rFonts w:ascii="Times New Roman" w:eastAsia="AngsanaUPC" w:hAnsi="Times New Roman" w:cs="Times New Roman"/>
                <w:bCs/>
                <w:lang w:eastAsia="lt-LT"/>
              </w:rPr>
              <w:t>Mbps</w:t>
            </w:r>
            <w:proofErr w:type="spellEnd"/>
            <w:r w:rsidRPr="00C32E92">
              <w:rPr>
                <w:rFonts w:ascii="Times New Roman" w:eastAsia="AngsanaUPC" w:hAnsi="Times New Roman" w:cs="Times New Roman"/>
                <w:bCs/>
                <w:lang w:eastAsia="lt-LT"/>
              </w:rPr>
              <w:t xml:space="preserve"> ir spartesniu plačiajuosčio interneto ryšiu padengtoje šalies teritorijoje, dalis</w:t>
            </w:r>
          </w:p>
        </w:tc>
        <w:tc>
          <w:tcPr>
            <w:tcW w:w="850"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w:t>
            </w:r>
          </w:p>
        </w:tc>
        <w:tc>
          <w:tcPr>
            <w:tcW w:w="1276"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189.037.284</w:t>
            </w:r>
          </w:p>
        </w:tc>
        <w:tc>
          <w:tcPr>
            <w:tcW w:w="1134"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2,8 </w:t>
            </w:r>
            <w:r w:rsidRPr="00C32E92">
              <w:rPr>
                <w:rFonts w:ascii="Times New Roman" w:eastAsia="AngsanaUPC" w:hAnsi="Times New Roman" w:cs="Times New Roman"/>
                <w:bCs/>
                <w:lang w:val="en-US" w:eastAsia="lt-LT"/>
              </w:rPr>
              <w:t>%</w:t>
            </w:r>
          </w:p>
        </w:tc>
      </w:tr>
      <w:tr w:rsidR="00C32E92" w:rsidRPr="00C32E92" w:rsidTr="00C32E92">
        <w:trPr>
          <w:trHeight w:val="196"/>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Padidinti valstybės informacinės infrastruktūros ir išteklių apsaugos efektyvumą</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Saugos reikalavimus atitinkančių valstybės informacinių išteklių ir kritinės informacinės infrastruktūros objektų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944"/>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IRT produktų ir paslaugų, elektroninės prekybos tobulinimas ir IRT paklausos didinimas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Padidinti viešojo sektoriaus informacijos pakartotinį panaudojimą verslo ir visuomenės poreikiams</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Įmonių, kurios panaudoja viešojo sektoriaus informaciją savo komercinei veiklai,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94"/>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Padidinti IRT paklausą ir naudojimą </w:t>
            </w:r>
            <w:proofErr w:type="gramStart"/>
            <w:r w:rsidRPr="00C32E92">
              <w:rPr>
                <w:rFonts w:ascii="Times New Roman" w:eastAsia="AngsanaUPC" w:hAnsi="Times New Roman" w:cs="Times New Roman"/>
                <w:bCs/>
                <w:lang w:eastAsia="lt-LT"/>
              </w:rPr>
              <w:t>gyventojų tarpe</w:t>
            </w:r>
            <w:proofErr w:type="gramEnd"/>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Gyventojų, kurie nuolat naudojasi internetu,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01"/>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Taikomųjų IRT e. valdžios, e. mokymosi, e. įtraukties, e. kultūros ir e. sveikatos programų tobulinimas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Padidinti elektroninių viešųjų </w:t>
            </w:r>
            <w:proofErr w:type="gramStart"/>
            <w:r w:rsidRPr="00C32E92">
              <w:rPr>
                <w:rFonts w:ascii="Times New Roman" w:eastAsia="AngsanaUPC" w:hAnsi="Times New Roman" w:cs="Times New Roman"/>
                <w:bCs/>
                <w:lang w:eastAsia="lt-LT"/>
              </w:rPr>
              <w:t>ir administracinių paslaugų prieinamumą ir kokybę</w:t>
            </w:r>
            <w:proofErr w:type="gramEnd"/>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Gyventojų, kurie naudojasi elektroniniu būdu teikiamomis viešosiomis ir administracinėmis paslaugomis,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51"/>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Valstybės ir savivaldybių institucijų ir įstaigų, kurios naudojasi Valstybės informacinių išteklių </w:t>
            </w:r>
            <w:proofErr w:type="spellStart"/>
            <w:r w:rsidRPr="00C32E92">
              <w:rPr>
                <w:rFonts w:ascii="Times New Roman" w:eastAsia="AngsanaUPC" w:hAnsi="Times New Roman" w:cs="Times New Roman"/>
                <w:bCs/>
                <w:lang w:eastAsia="lt-LT"/>
              </w:rPr>
              <w:t>sąveikumo</w:t>
            </w:r>
            <w:proofErr w:type="spellEnd"/>
            <w:r w:rsidRPr="00C32E92">
              <w:rPr>
                <w:rFonts w:ascii="Times New Roman" w:eastAsia="AngsanaUPC" w:hAnsi="Times New Roman" w:cs="Times New Roman"/>
                <w:bCs/>
                <w:lang w:eastAsia="lt-LT"/>
              </w:rPr>
              <w:t xml:space="preserve"> platformos paslaugomis,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Smulkiojo ir vidutinio verslo konkuren-cingumo skatinimas</w:t>
            </w: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Smulkių ir vidutinių įmonių, žemės ūkio sektoriaus (EŽŪFKP) bei žuvininkystės ir akvakultūros sektoriaus </w:t>
            </w:r>
            <w:proofErr w:type="gramStart"/>
            <w:r w:rsidRPr="00C32E92">
              <w:rPr>
                <w:rFonts w:ascii="Times New Roman" w:eastAsia="AngsanaUPC" w:hAnsi="Times New Roman" w:cs="Times New Roman"/>
                <w:bCs/>
                <w:lang w:eastAsia="lt-LT"/>
              </w:rPr>
              <w:t>(</w:t>
            </w:r>
            <w:proofErr w:type="gramEnd"/>
          </w:p>
        </w:tc>
        <w:tc>
          <w:tcPr>
            <w:tcW w:w="2835"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Verslumo, ypač sudarant palankesnes sąlygas pritaikyti naujas idėjas ekonominei veiklai, ir naujų įmonių, įskaitant verslo inkubatorius, steigimo skatinimas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Padidinti verslumo lygį</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AngsanaUPC" w:hAnsi="Times New Roman" w:cs="Times New Roman"/>
                <w:bCs/>
                <w:lang w:eastAsia="lt-LT"/>
              </w:rPr>
              <w:t>Verslumo lygis: įmonių ir fizinių asmenų, tenkančių 1000 gyventojų, skaičius</w:t>
            </w:r>
          </w:p>
        </w:tc>
        <w:tc>
          <w:tcPr>
            <w:tcW w:w="850"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w:t>
            </w:r>
          </w:p>
        </w:tc>
        <w:tc>
          <w:tcPr>
            <w:tcW w:w="1276"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540.603.253</w:t>
            </w:r>
          </w:p>
        </w:tc>
        <w:tc>
          <w:tcPr>
            <w:tcW w:w="1134"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8,1 </w:t>
            </w:r>
            <w:r w:rsidRPr="00C32E92">
              <w:rPr>
                <w:rFonts w:ascii="Times New Roman" w:eastAsia="AngsanaUPC" w:hAnsi="Times New Roman" w:cs="Times New Roman"/>
                <w:bCs/>
                <w:lang w:val="en-US" w:eastAsia="lt-LT"/>
              </w:rPr>
              <w:t>%</w:t>
            </w:r>
          </w:p>
        </w:tc>
      </w:tr>
      <w:tr w:rsidR="00C32E92" w:rsidRPr="00C32E92" w:rsidTr="00C32E92">
        <w:trPr>
          <w:trHeight w:val="920"/>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Naujų MVĮ verslo modelių, ypač internacionalizavimo, kūrimas ir įgyvendinimas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Padidinti MVĮ </w:t>
            </w:r>
            <w:proofErr w:type="spellStart"/>
            <w:r w:rsidRPr="00C32E92">
              <w:rPr>
                <w:rFonts w:ascii="Times New Roman" w:eastAsia="AngsanaUPC" w:hAnsi="Times New Roman" w:cs="Times New Roman"/>
                <w:bCs/>
                <w:lang w:eastAsia="lt-LT"/>
              </w:rPr>
              <w:t>tarptautiškumą</w:t>
            </w:r>
            <w:proofErr w:type="spellEnd"/>
          </w:p>
        </w:tc>
        <w:tc>
          <w:tcPr>
            <w:tcW w:w="3119" w:type="dxa"/>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AngsanaUPC" w:hAnsi="Times New Roman" w:cs="Times New Roman"/>
                <w:bCs/>
                <w:lang w:eastAsia="lt-LT"/>
              </w:rPr>
              <w:t>MVĮ lietuviškos kilmės prekių eksporto dalis nuo BVP</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7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AngsanaUPC" w:hAnsi="Times New Roman" w:cs="Times New Roman"/>
                <w:bCs/>
                <w:lang w:eastAsia="lt-LT"/>
              </w:rPr>
              <w:t>EJRŽF) konkurencingumo didinimas</w:t>
            </w:r>
            <w:r w:rsidRPr="00C32E92">
              <w:rPr>
                <w:rFonts w:ascii="Times New Roman" w:eastAsia="Calibri" w:hAnsi="Times New Roman" w:cs="Times New Roman"/>
              </w:rPr>
              <w:t xml:space="preserve"> MVĮ gebėjimų dalyvauti ekonomikos augimo ir inovacijų </w:t>
            </w:r>
            <w:r w:rsidRPr="00C32E92">
              <w:rPr>
                <w:rFonts w:ascii="Times New Roman" w:hAnsi="Times New Roman" w:cs="Times New Roman"/>
                <w:lang w:eastAsia="lt-LT"/>
              </w:rPr>
              <w:t xml:space="preserve">diegimo </w:t>
            </w:r>
            <w:r w:rsidRPr="00C32E92">
              <w:rPr>
                <w:rFonts w:ascii="Times New Roman" w:eastAsia="Calibri" w:hAnsi="Times New Roman" w:cs="Times New Roman"/>
              </w:rPr>
              <w:t>procesuose rėmimas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Padidinti MVĮ produktyvumą</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Pridėtinė vertė gamybos sąnaudomis, sukurta MVĮ, tenkanti vienam darbuotojui</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18"/>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Padidinti MVĮ investicijas į </w:t>
            </w:r>
            <w:proofErr w:type="spellStart"/>
            <w:r w:rsidRPr="00C32E92">
              <w:rPr>
                <w:rFonts w:ascii="Times New Roman" w:eastAsia="AngsanaUPC" w:hAnsi="Times New Roman" w:cs="Times New Roman"/>
                <w:bCs/>
                <w:lang w:eastAsia="lt-LT"/>
              </w:rPr>
              <w:t>ekoinovacijas</w:t>
            </w:r>
            <w:proofErr w:type="spellEnd"/>
            <w:r w:rsidRPr="00C32E92">
              <w:rPr>
                <w:rFonts w:ascii="Times New Roman" w:eastAsia="AngsanaUPC" w:hAnsi="Times New Roman" w:cs="Times New Roman"/>
                <w:bCs/>
                <w:lang w:eastAsia="lt-LT"/>
              </w:rPr>
              <w:t xml:space="preserve"> ir kitas efektyviai išteklius naudojančias technologijas</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Investicijų, kurių daugiau kaip </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50 proc. sumos investuojama į </w:t>
            </w:r>
            <w:proofErr w:type="spellStart"/>
            <w:r w:rsidRPr="00C32E92">
              <w:rPr>
                <w:rFonts w:ascii="Times New Roman" w:eastAsia="AngsanaUPC" w:hAnsi="Times New Roman" w:cs="Times New Roman"/>
                <w:bCs/>
                <w:lang w:eastAsia="lt-LT"/>
              </w:rPr>
              <w:t>ekoinovacijas</w:t>
            </w:r>
            <w:proofErr w:type="spellEnd"/>
            <w:r w:rsidRPr="00C32E92">
              <w:rPr>
                <w:rFonts w:ascii="Times New Roman" w:eastAsia="AngsanaUPC" w:hAnsi="Times New Roman" w:cs="Times New Roman"/>
                <w:bCs/>
                <w:lang w:eastAsia="lt-LT"/>
              </w:rPr>
              <w:t>, dalis nuo visų investicijų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738"/>
        </w:trPr>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Energijos efektyvumo ir AIE gamybos ir naudojimo skatinimas</w:t>
            </w: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Perėjimo prie mažai anglies dioksido į aplinką išskiriančių technologijų ekonomikos visuose sektoriuose rėmimas</w:t>
            </w:r>
          </w:p>
        </w:tc>
        <w:tc>
          <w:tcPr>
            <w:tcW w:w="2835"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AIE gamybos ir skirstymo skatinimas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Padidinti atsinaujinančių išteklių energijos naudojimą</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Atsinaujinančių išteklių energijos dalis galutiniame energijos balanse</w:t>
            </w:r>
          </w:p>
        </w:tc>
        <w:tc>
          <w:tcPr>
            <w:tcW w:w="850"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Calibri" w:hAnsi="Times New Roman" w:cs="Times New Roman"/>
              </w:rPr>
              <w:t xml:space="preserve">ERPF, </w:t>
            </w:r>
            <w:proofErr w:type="spellStart"/>
            <w:r w:rsidRPr="00C32E92">
              <w:rPr>
                <w:rFonts w:ascii="Times New Roman" w:eastAsia="Calibri" w:hAnsi="Times New Roman" w:cs="Times New Roman"/>
              </w:rPr>
              <w:t>SaF</w:t>
            </w:r>
            <w:proofErr w:type="spellEnd"/>
          </w:p>
        </w:tc>
        <w:tc>
          <w:tcPr>
            <w:tcW w:w="1276"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ERPF: </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565.201.697</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proofErr w:type="spellStart"/>
            <w:r w:rsidRPr="00C32E92">
              <w:rPr>
                <w:rFonts w:ascii="Times New Roman" w:eastAsia="AngsanaUPC" w:hAnsi="Times New Roman" w:cs="Times New Roman"/>
                <w:bCs/>
                <w:lang w:eastAsia="lt-LT"/>
              </w:rPr>
              <w:t>SaF</w:t>
            </w:r>
            <w:proofErr w:type="spellEnd"/>
            <w:r w:rsidRPr="00C32E92">
              <w:rPr>
                <w:rFonts w:ascii="Times New Roman" w:eastAsia="AngsanaUPC" w:hAnsi="Times New Roman" w:cs="Times New Roman"/>
                <w:bCs/>
                <w:lang w:eastAsia="lt-LT"/>
              </w:rPr>
              <w:t xml:space="preserve">: </w:t>
            </w:r>
          </w:p>
          <w:p w:rsidR="00C32E92" w:rsidRPr="00C32E92" w:rsidRDefault="00C32E92" w:rsidP="00C32E92">
            <w:pPr>
              <w:shd w:val="clear" w:color="auto" w:fill="FFFFFF"/>
              <w:autoSpaceDE w:val="0"/>
              <w:autoSpaceDN w:val="0"/>
              <w:adjustRightInd w:val="0"/>
              <w:rPr>
                <w:rFonts w:ascii="Times New Roman" w:hAnsi="Times New Roman" w:cs="Times New Roman"/>
                <w:bCs/>
                <w:color w:val="000000"/>
              </w:rPr>
            </w:pPr>
            <w:r w:rsidRPr="00C32E92">
              <w:rPr>
                <w:rFonts w:ascii="Times New Roman" w:hAnsi="Times New Roman" w:cs="Times New Roman"/>
                <w:bCs/>
                <w:color w:val="000000"/>
              </w:rPr>
              <w:t>360.018.432</w:t>
            </w:r>
          </w:p>
        </w:tc>
        <w:tc>
          <w:tcPr>
            <w:tcW w:w="1134" w:type="dxa"/>
            <w:vMerge w:val="restart"/>
            <w:shd w:val="clear" w:color="auto" w:fill="auto"/>
          </w:tcPr>
          <w:p w:rsidR="00C32E92" w:rsidRPr="00C32E92" w:rsidRDefault="00C32E92" w:rsidP="00C32E92">
            <w:pPr>
              <w:shd w:val="clear" w:color="auto" w:fill="FFFFFF"/>
              <w:spacing w:after="120"/>
              <w:rPr>
                <w:rFonts w:ascii="Times New Roman" w:hAnsi="Times New Roman" w:cs="Times New Roman"/>
                <w:color w:val="000000"/>
                <w:highlight w:val="yellow"/>
              </w:rPr>
            </w:pPr>
            <w:r w:rsidRPr="00C32E92">
              <w:rPr>
                <w:rFonts w:ascii="Times New Roman" w:hAnsi="Times New Roman" w:cs="Times New Roman"/>
              </w:rPr>
              <w:t>1</w:t>
            </w:r>
            <w:r w:rsidRPr="00C32E92">
              <w:rPr>
                <w:rFonts w:ascii="Times New Roman" w:hAnsi="Times New Roman" w:cs="Times New Roman"/>
                <w:color w:val="000000"/>
              </w:rPr>
              <w:t>3,9 %</w:t>
            </w:r>
          </w:p>
        </w:tc>
      </w:tr>
      <w:tr w:rsidR="00C32E92" w:rsidRPr="00C32E92" w:rsidTr="00C32E92">
        <w:trPr>
          <w:trHeight w:val="685"/>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 xml:space="preserve">Energijos vartojimo efektyvumo ir </w:t>
            </w:r>
            <w:r w:rsidRPr="00C32E92">
              <w:rPr>
                <w:rFonts w:ascii="Times New Roman" w:hAnsi="Times New Roman" w:cs="Times New Roman"/>
                <w:lang w:eastAsia="lt-LT"/>
              </w:rPr>
              <w:t>AIE</w:t>
            </w:r>
            <w:r w:rsidRPr="00C32E92">
              <w:rPr>
                <w:rFonts w:ascii="Times New Roman" w:eastAsia="Calibri" w:hAnsi="Times New Roman" w:cs="Times New Roman"/>
              </w:rPr>
              <w:t xml:space="preserve"> vartojimo įmonėse skatinimas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Sumažinti energijos vartojimo intensyvumą pramonės įmonėse</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Energijos suvartojimo intensyvumas pramonės įmonėse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118"/>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Energijos vartojimo efektyvumo, pažangaus energijos valdymo ir AIE vartojimo viešosiose infrastruktūrose, įskaitant viešuosius pastatus ir gyvenamųjų namų sektorių, rėmimas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Sumažinti energijos suvartojimą viešojoje infrastruktūroje ir daugiabučiuose namuose</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AngsanaUPC" w:hAnsi="Times New Roman" w:cs="Times New Roman"/>
                <w:bCs/>
                <w:lang w:eastAsia="lt-LT"/>
              </w:rPr>
              <w:t>Sunaudotas galutinės energijos kiekis paslaugų ir namų ūkių sektoriuose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3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Padidinti energijos vartojimo efektyvumą šilumos tiekimo srityje ir namų ūkiuose</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Transportavimo bei paskirstymo nuostoliai šilumos tinkluose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0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Energijos suvartojimas namų ūkiuose (neprijungtuose prie centralizuotų šilumos tinklų)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781"/>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Pažangiųjų žemos ir vidutinės įtampos paskirstymo sistemų diegimas ir plėtojimas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Išbandyti pažangiojo tinklo technologijų diegimo perspektyvas</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Elektros energijos tiekimo kokybės pagerėjimas (SAIDI)</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12"/>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bCs/>
                <w:iCs/>
              </w:rPr>
              <w:t>Anglies dioksido kiekio mažinimo strategijų įgyvendinimo visų rūšių, ypač miesto, teritorijose skatinimas, darnaus ir įvairių rūšių judumo miestuose skatinimas ir priemonių, skirtų poveikiui aplinkai sušvelninti, diegimas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Calibri" w:hAnsi="Times New Roman" w:cs="Times New Roman"/>
                <w:bCs/>
                <w:iCs/>
              </w:rPr>
              <w:t>Skatinti darnų judumą ir plėtoti aplinkai draugišką transportą, siekiant sumažinti anglies dioksido išmetimus</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Anglies dioksido (išskyrus išsiskiriantį iš biomasės) kiekis, namų ūkių išmestas į atmosferą iš transporto veiklos</w:t>
            </w:r>
          </w:p>
        </w:tc>
        <w:tc>
          <w:tcPr>
            <w:tcW w:w="850"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82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bCs/>
                <w:iCs/>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bCs/>
                <w:iCs/>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Viešuoju miesto transportu vežamų keleivių skaičius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384"/>
        </w:trPr>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lastRenderedPageBreak/>
              <w:t>Aplinkosauga, gamtos išteklių darnus naudojimas ir prisitaikymas prie klimato kaitos</w:t>
            </w:r>
          </w:p>
        </w:tc>
        <w:tc>
          <w:tcPr>
            <w:tcW w:w="155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Prisitaikymo prie klimato kaitos, rizikos prevencijos ir valdymo skatinimas</w:t>
            </w:r>
          </w:p>
        </w:tc>
        <w:tc>
          <w:tcPr>
            <w:tcW w:w="2835"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 xml:space="preserve">Investicijų, susijusių su prisitaikymu prie klimato kaitos, įskaitant pagrįstas </w:t>
            </w:r>
            <w:proofErr w:type="spellStart"/>
            <w:r w:rsidRPr="00C32E92">
              <w:rPr>
                <w:rFonts w:ascii="Times New Roman" w:eastAsia="Calibri" w:hAnsi="Times New Roman" w:cs="Times New Roman"/>
              </w:rPr>
              <w:t>ekosisteminiu</w:t>
            </w:r>
            <w:proofErr w:type="spellEnd"/>
            <w:r w:rsidRPr="00C32E92">
              <w:rPr>
                <w:rFonts w:ascii="Times New Roman" w:eastAsia="Calibri" w:hAnsi="Times New Roman" w:cs="Times New Roman"/>
              </w:rPr>
              <w:t xml:space="preserve"> požiūriu, skatinimas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Sumažinti dėl klimato kaitos atsirandančius nuostolius</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iCs/>
                <w:lang w:eastAsia="lt-LT"/>
              </w:rPr>
              <w:t>Neigiamų potvynių padarinių potenciali žala ekonominei veiklai</w:t>
            </w:r>
          </w:p>
        </w:tc>
        <w:tc>
          <w:tcPr>
            <w:tcW w:w="850"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Calibri" w:hAnsi="Times New Roman" w:cs="Times New Roman"/>
              </w:rPr>
              <w:t xml:space="preserve">ERPF, </w:t>
            </w:r>
            <w:proofErr w:type="spellStart"/>
            <w:r w:rsidRPr="00C32E92">
              <w:rPr>
                <w:rFonts w:ascii="Times New Roman" w:eastAsia="Calibri" w:hAnsi="Times New Roman" w:cs="Times New Roman"/>
              </w:rPr>
              <w:t>SaF</w:t>
            </w:r>
            <w:proofErr w:type="spellEnd"/>
          </w:p>
        </w:tc>
        <w:tc>
          <w:tcPr>
            <w:tcW w:w="1276"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 191.677.709</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p w:rsidR="00C32E92" w:rsidRPr="00C32E92" w:rsidRDefault="00C32E92" w:rsidP="00C32E92">
            <w:pPr>
              <w:shd w:val="clear" w:color="auto" w:fill="FFFFFF"/>
              <w:autoSpaceDE w:val="0"/>
              <w:autoSpaceDN w:val="0"/>
              <w:adjustRightInd w:val="0"/>
              <w:rPr>
                <w:rFonts w:ascii="Times New Roman" w:hAnsi="Times New Roman" w:cs="Times New Roman"/>
                <w:strike/>
                <w:highlight w:val="yellow"/>
              </w:rPr>
            </w:pPr>
            <w:proofErr w:type="spellStart"/>
            <w:r w:rsidRPr="00C32E92">
              <w:rPr>
                <w:rFonts w:ascii="Times New Roman" w:eastAsia="AngsanaUPC" w:hAnsi="Times New Roman" w:cs="Times New Roman"/>
                <w:bCs/>
                <w:lang w:eastAsia="lt-LT"/>
              </w:rPr>
              <w:t>SaF</w:t>
            </w:r>
            <w:proofErr w:type="spellEnd"/>
            <w:r w:rsidRPr="00C32E92">
              <w:rPr>
                <w:rFonts w:ascii="Times New Roman" w:eastAsia="AngsanaUPC" w:hAnsi="Times New Roman" w:cs="Times New Roman"/>
                <w:bCs/>
                <w:lang w:eastAsia="lt-LT"/>
              </w:rPr>
              <w:t xml:space="preserve">: </w:t>
            </w:r>
            <w:r w:rsidRPr="00C32E92">
              <w:rPr>
                <w:rFonts w:ascii="Times New Roman" w:hAnsi="Times New Roman" w:cs="Times New Roman"/>
              </w:rPr>
              <w:t>711.499.887</w:t>
            </w:r>
            <w:r w:rsidRPr="00C32E92">
              <w:rPr>
                <w:rFonts w:ascii="Times New Roman" w:hAnsi="Times New Roman" w:cs="Times New Roman"/>
                <w:strike/>
              </w:rPr>
              <w:t xml:space="preserve"> </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p w:rsidR="00C32E92" w:rsidRPr="00C32E92" w:rsidRDefault="00C32E92" w:rsidP="00C32E92">
            <w:pPr>
              <w:widowControl w:val="0"/>
              <w:tabs>
                <w:tab w:val="left" w:pos="622"/>
              </w:tabs>
              <w:jc w:val="both"/>
              <w:rPr>
                <w:rFonts w:ascii="Times New Roman" w:eastAsia="AngsanaUPC" w:hAnsi="Times New Roman" w:cs="Times New Roman"/>
                <w:bCs/>
                <w:sz w:val="18"/>
                <w:szCs w:val="18"/>
                <w:lang w:eastAsia="lt-LT"/>
              </w:rPr>
            </w:pPr>
            <w:r w:rsidRPr="00C32E92">
              <w:rPr>
                <w:rFonts w:ascii="Times New Roman" w:eastAsia="AngsanaUPC" w:hAnsi="Times New Roman" w:cs="Times New Roman"/>
                <w:bCs/>
                <w:lang w:eastAsia="lt-LT"/>
              </w:rPr>
              <w:t>(</w:t>
            </w:r>
            <w:r w:rsidRPr="00C32E92">
              <w:rPr>
                <w:rFonts w:ascii="Times New Roman" w:eastAsia="AngsanaUPC" w:hAnsi="Times New Roman" w:cs="Times New Roman"/>
                <w:bCs/>
                <w:sz w:val="18"/>
                <w:szCs w:val="18"/>
                <w:lang w:eastAsia="lt-LT"/>
              </w:rPr>
              <w:t xml:space="preserve">iš jų pagal 5 teminį tikslą </w:t>
            </w:r>
          </w:p>
          <w:p w:rsidR="00C32E92" w:rsidRPr="00C32E92" w:rsidRDefault="00C32E92" w:rsidP="00C32E92">
            <w:pPr>
              <w:widowControl w:val="0"/>
              <w:tabs>
                <w:tab w:val="left" w:pos="622"/>
              </w:tabs>
              <w:jc w:val="both"/>
              <w:rPr>
                <w:rFonts w:ascii="Times New Roman" w:eastAsia="AngsanaUPC" w:hAnsi="Times New Roman" w:cs="Times New Roman"/>
                <w:bCs/>
                <w:sz w:val="18"/>
                <w:szCs w:val="18"/>
                <w:lang w:eastAsia="lt-LT"/>
              </w:rPr>
            </w:pPr>
            <w:r w:rsidRPr="00C32E92">
              <w:rPr>
                <w:rFonts w:ascii="Times New Roman" w:eastAsia="AngsanaUPC" w:hAnsi="Times New Roman" w:cs="Times New Roman"/>
                <w:bCs/>
                <w:sz w:val="18"/>
                <w:szCs w:val="18"/>
                <w:lang w:eastAsia="lt-LT"/>
              </w:rPr>
              <w:t>ERPF: 4.064.010</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proofErr w:type="spellStart"/>
            <w:r w:rsidRPr="00C32E92">
              <w:rPr>
                <w:rFonts w:ascii="Times New Roman" w:eastAsia="AngsanaUPC" w:hAnsi="Times New Roman" w:cs="Times New Roman"/>
                <w:bCs/>
                <w:sz w:val="18"/>
                <w:szCs w:val="18"/>
                <w:lang w:eastAsia="lt-LT"/>
              </w:rPr>
              <w:t>SaF</w:t>
            </w:r>
            <w:proofErr w:type="spellEnd"/>
            <w:r w:rsidRPr="00C32E92">
              <w:rPr>
                <w:rFonts w:ascii="Times New Roman" w:eastAsia="AngsanaUPC" w:hAnsi="Times New Roman" w:cs="Times New Roman"/>
                <w:bCs/>
                <w:sz w:val="18"/>
                <w:szCs w:val="18"/>
                <w:lang w:eastAsia="lt-LT"/>
              </w:rPr>
              <w:t>: 104.842.447</w:t>
            </w:r>
            <w:r w:rsidRPr="00C32E92">
              <w:rPr>
                <w:rFonts w:ascii="Times New Roman" w:eastAsia="AngsanaUPC" w:hAnsi="Times New Roman" w:cs="Times New Roman"/>
                <w:bCs/>
                <w:lang w:eastAsia="lt-LT"/>
              </w:rPr>
              <w:t>)</w:t>
            </w:r>
          </w:p>
        </w:tc>
        <w:tc>
          <w:tcPr>
            <w:tcW w:w="1134" w:type="dxa"/>
            <w:vMerge w:val="restart"/>
            <w:shd w:val="clear" w:color="auto" w:fill="auto"/>
          </w:tcPr>
          <w:p w:rsidR="00C32E92" w:rsidRPr="00C32E92" w:rsidRDefault="00C32E92" w:rsidP="00C32E92">
            <w:pPr>
              <w:shd w:val="clear" w:color="auto" w:fill="FFFFFF"/>
              <w:autoSpaceDE w:val="0"/>
              <w:autoSpaceDN w:val="0"/>
              <w:adjustRightInd w:val="0"/>
              <w:spacing w:after="120"/>
              <w:rPr>
                <w:rFonts w:ascii="Times New Roman" w:hAnsi="Times New Roman" w:cs="Times New Roman"/>
                <w:highlight w:val="yellow"/>
              </w:rPr>
            </w:pPr>
            <w:r w:rsidRPr="00C32E92">
              <w:rPr>
                <w:rFonts w:ascii="Times New Roman" w:hAnsi="Times New Roman" w:cs="Times New Roman"/>
              </w:rPr>
              <w:t>13,5 %</w:t>
            </w:r>
          </w:p>
        </w:tc>
      </w:tr>
      <w:tr w:rsidR="00C32E92" w:rsidRPr="00C32E92" w:rsidTr="00C32E92">
        <w:trPr>
          <w:trHeight w:val="440"/>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Aplinkosauga ir išteklių naudojimo veiksmingumo skatinimas</w:t>
            </w:r>
          </w:p>
        </w:tc>
        <w:tc>
          <w:tcPr>
            <w:tcW w:w="2835" w:type="dxa"/>
            <w:vMerge w:val="restart"/>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 xml:space="preserve">Investicijos į atliekų sektorių, siekiant įvykdyti ES aplinkos </w:t>
            </w:r>
            <w:proofErr w:type="spellStart"/>
            <w:r w:rsidRPr="00C32E92">
              <w:rPr>
                <w:rFonts w:ascii="Times New Roman" w:eastAsia="Calibri" w:hAnsi="Times New Roman" w:cs="Times New Roman"/>
                <w:i/>
              </w:rPr>
              <w:t>acquis</w:t>
            </w:r>
            <w:proofErr w:type="spellEnd"/>
            <w:r w:rsidRPr="00C32E92">
              <w:rPr>
                <w:rFonts w:ascii="Times New Roman" w:eastAsia="Calibri" w:hAnsi="Times New Roman" w:cs="Times New Roman"/>
              </w:rPr>
              <w:t xml:space="preserve"> reikalavimus ir patenkinti valstybių narių nustatytus poreikius, viršijančius tuos reikalavimus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Sumažinti sąvartynuose šalinamų komunalinių atliekų kiekį ir užtikrinti tinkamą radioaktyvių atliekų saugojimą</w:t>
            </w: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Calibri" w:hAnsi="Times New Roman" w:cs="Times New Roman"/>
              </w:rPr>
              <w:t>Sąvartynuose šalinamų komunalinių atliekų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38"/>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Calibri" w:hAnsi="Times New Roman" w:cs="Times New Roman"/>
              </w:rPr>
              <w:t>Komunalinių atliekų sraute esančių popieriaus, plastiko, metalo, stiklo atliekų dalis, paruošta pakartotinai naudoti ar perdirbti</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0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 xml:space="preserve">Investicijos į vandens sektorių, siekiant įvykdyti ES aplinkos </w:t>
            </w:r>
            <w:proofErr w:type="spellStart"/>
            <w:r w:rsidRPr="00C32E92">
              <w:rPr>
                <w:rFonts w:ascii="Times New Roman" w:eastAsia="Calibri" w:hAnsi="Times New Roman" w:cs="Times New Roman"/>
                <w:i/>
              </w:rPr>
              <w:t>acquis</w:t>
            </w:r>
            <w:proofErr w:type="spellEnd"/>
            <w:r w:rsidRPr="00C32E92">
              <w:rPr>
                <w:rFonts w:ascii="Times New Roman" w:eastAsia="Calibri" w:hAnsi="Times New Roman" w:cs="Times New Roman"/>
              </w:rPr>
              <w:t xml:space="preserve"> reikalavimus ir patenkinti valstybių narių nustatytus poreikius, viršijančius tuos reikalavimus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Pagerinti Baltijos jūros ir kitų paviršinių vandens telkinių būklę</w:t>
            </w: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Vidutinė bendro azoto koncentracija Lietuvos Baltijos jūros teritoriniuose vandenyse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46"/>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Geros būklės paviršinių vandens telkinių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3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Padidinti vandens tiekimo ir nuotekų tvarkymo paslaugų prieinamumą ir sistemos efektyvumą</w:t>
            </w: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Vandens tiekimo paslaugų prieinamumas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88"/>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Nuotekų tvarkymo paslaugų prieinamumas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29"/>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bCs/>
                <w:iCs/>
              </w:rPr>
              <w:t>Kultūros ir gamtos paveldo apsauga, propagavimas ir vystymas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Padidinti kultūros ir gamtos paveldo aktualumą, lankomumą ir žinomumą, visuomenės informuotumą apie juos supančią aplinką</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AngsanaUPC" w:hAnsi="Times New Roman" w:cs="Times New Roman"/>
                <w:bCs/>
                <w:iCs/>
                <w:lang w:eastAsia="lt-LT"/>
              </w:rPr>
              <w:t>Gerai informuotų apie aplinkos išteklius šalies gyventojų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56"/>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Lietuvos gyventojų, bent kartą per pastaruosius 12 mėn. apsilankiusių kultūros paveldo objekte,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5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Turistų (užsienio ir vietos) kelionių skaičius prioritetiniuose turizmo plėtros regionuose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382"/>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bCs/>
                <w:iCs/>
              </w:rPr>
              <w:t xml:space="preserve">Biologinės įvairovės, dirvožemio apsauga ir atkūrimas, ekosistemų paslaugų, įskaitant </w:t>
            </w:r>
            <w:proofErr w:type="spellStart"/>
            <w:r w:rsidRPr="00C32E92">
              <w:rPr>
                <w:rFonts w:ascii="Times New Roman" w:eastAsia="Calibri" w:hAnsi="Times New Roman" w:cs="Times New Roman"/>
                <w:bCs/>
                <w:i/>
                <w:iCs/>
              </w:rPr>
              <w:t>Natura</w:t>
            </w:r>
            <w:proofErr w:type="spellEnd"/>
            <w:r w:rsidRPr="00C32E92">
              <w:rPr>
                <w:rFonts w:ascii="Times New Roman" w:eastAsia="Calibri" w:hAnsi="Times New Roman" w:cs="Times New Roman"/>
                <w:bCs/>
                <w:i/>
                <w:iCs/>
              </w:rPr>
              <w:t xml:space="preserve"> 2000</w:t>
            </w:r>
            <w:r w:rsidRPr="00C32E92">
              <w:rPr>
                <w:rFonts w:ascii="Times New Roman" w:eastAsia="Calibri" w:hAnsi="Times New Roman" w:cs="Times New Roman"/>
                <w:bCs/>
                <w:iCs/>
              </w:rPr>
              <w:t>, ir žaliosios infrastruktūros skatinimas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Pagerinti vietinės augalijos ir gyvūnijos rūšių, buveinių ir kraštovaizdžio arealų būklę</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Lietuvoje aptinkamų Europos Bendrijos svarbos buveinių tipų, kurių palanki apsaugos būklė,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956"/>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jc w:val="both"/>
              <w:rPr>
                <w:rFonts w:ascii="Times New Roman" w:eastAsia="Calibri" w:hAnsi="Times New Roman" w:cs="Times New Roman"/>
                <w:bCs/>
                <w:iCs/>
              </w:rPr>
            </w:pPr>
            <w:r w:rsidRPr="00C32E92">
              <w:rPr>
                <w:rFonts w:ascii="Times New Roman" w:hAnsi="Times New Roman" w:cs="Times New Roman"/>
                <w:lang w:eastAsia="lt-LT"/>
              </w:rPr>
              <w:t>Miestų aplinkos gerinimo, miestų atkūrimo, apleistų pramoninių teritorijų (įskaitant pertvarkomas teritorijas) išvalymo ir atkūrimo, oro taršos bei triukšmo mažinimo priemonių skatinimas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Sumažinti miestuose kietųjų dalelių ore ir cheminių medžiagų grunte pavojaus sveikatai ir aplinkai taršos lygį</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Dienų, kai buvo viršyta kietųjų dalelių (KD</w:t>
            </w:r>
            <w:r w:rsidRPr="00C32E92">
              <w:rPr>
                <w:rFonts w:ascii="Times New Roman" w:eastAsia="AngsanaUPC" w:hAnsi="Times New Roman" w:cs="Times New Roman"/>
                <w:bCs/>
                <w:iCs/>
                <w:vertAlign w:val="subscript"/>
                <w:lang w:eastAsia="lt-LT"/>
              </w:rPr>
              <w:t>10</w:t>
            </w:r>
            <w:r w:rsidRPr="00C32E92">
              <w:rPr>
                <w:rFonts w:ascii="Times New Roman" w:eastAsia="AngsanaUPC" w:hAnsi="Times New Roman" w:cs="Times New Roman"/>
                <w:bCs/>
                <w:iCs/>
                <w:lang w:eastAsia="lt-LT"/>
              </w:rPr>
              <w:t xml:space="preserve">) koncentracijos paros ribinė vertė, skaičius </w:t>
            </w:r>
          </w:p>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5 didžiuosiuose miestuose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42"/>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hAnsi="Times New Roman" w:cs="Times New Roman"/>
                <w:lang w:eastAsia="lt-LT"/>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Ypatingai didelio pavojaus potencialūs taršos židiniai</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01"/>
        </w:trPr>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Darnaus transporto ir pagrindinių tinklų infrastruktūros plėtra</w:t>
            </w: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Tvaraus transporto skatinimas ir kliūčių pagrindinėse tinklo infrastruktūros dalyse šalinimas</w:t>
            </w: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rPr>
              <w:t xml:space="preserve">Bendros Europos daugiarūšio transporto erdvės kūrimo rėmimas, investuojant į </w:t>
            </w:r>
            <w:proofErr w:type="spellStart"/>
            <w:r w:rsidRPr="00C32E92">
              <w:rPr>
                <w:rFonts w:ascii="Times New Roman" w:eastAsia="Calibri" w:hAnsi="Times New Roman" w:cs="Times New Roman"/>
              </w:rPr>
              <w:t>transeuropinį</w:t>
            </w:r>
            <w:proofErr w:type="spellEnd"/>
            <w:r w:rsidRPr="00C32E92">
              <w:rPr>
                <w:rFonts w:ascii="Times New Roman" w:eastAsia="Calibri" w:hAnsi="Times New Roman" w:cs="Times New Roman"/>
              </w:rPr>
              <w:t xml:space="preserve"> transporto tinklą</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bookmarkStart w:id="1" w:name="_Hlk378840157"/>
            <w:r w:rsidRPr="00C32E92">
              <w:rPr>
                <w:rFonts w:ascii="Times New Roman" w:eastAsia="AngsanaUPC" w:hAnsi="Times New Roman" w:cs="Times New Roman"/>
                <w:bCs/>
                <w:lang w:eastAsia="lt-LT"/>
              </w:rPr>
              <w:t xml:space="preserve">Padidinti šalies daugiarūšės susisiekimo sistemos ir </w:t>
            </w:r>
            <w:proofErr w:type="spellStart"/>
            <w:r w:rsidRPr="00C32E92">
              <w:rPr>
                <w:rFonts w:ascii="Times New Roman" w:eastAsia="AngsanaUPC" w:hAnsi="Times New Roman" w:cs="Times New Roman"/>
                <w:bCs/>
                <w:lang w:eastAsia="lt-LT"/>
              </w:rPr>
              <w:t>transeuropinių</w:t>
            </w:r>
            <w:proofErr w:type="spellEnd"/>
            <w:r w:rsidRPr="00C32E92">
              <w:rPr>
                <w:rFonts w:ascii="Times New Roman" w:eastAsia="AngsanaUPC" w:hAnsi="Times New Roman" w:cs="Times New Roman"/>
                <w:bCs/>
                <w:lang w:eastAsia="lt-LT"/>
              </w:rPr>
              <w:t xml:space="preserve"> transporto tinklų sąveiką</w:t>
            </w:r>
            <w:bookmarkEnd w:id="1"/>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Vežta intermodalinių transporto vienetų</w:t>
            </w:r>
          </w:p>
        </w:tc>
        <w:tc>
          <w:tcPr>
            <w:tcW w:w="850"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w:t>
            </w:r>
          </w:p>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roofErr w:type="spellStart"/>
            <w:r w:rsidRPr="00C32E92">
              <w:rPr>
                <w:rFonts w:ascii="Times New Roman" w:eastAsia="AngsanaUPC" w:hAnsi="Times New Roman" w:cs="Times New Roman"/>
                <w:bCs/>
                <w:lang w:eastAsia="lt-LT"/>
              </w:rPr>
              <w:t>SaF</w:t>
            </w:r>
            <w:proofErr w:type="spellEnd"/>
          </w:p>
        </w:tc>
        <w:tc>
          <w:tcPr>
            <w:tcW w:w="1276"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 390.625.213</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proofErr w:type="spellStart"/>
            <w:r w:rsidRPr="00C32E92">
              <w:rPr>
                <w:rFonts w:ascii="Times New Roman" w:eastAsia="AngsanaUPC" w:hAnsi="Times New Roman" w:cs="Times New Roman"/>
                <w:bCs/>
                <w:lang w:eastAsia="lt-LT"/>
              </w:rPr>
              <w:t>SaF</w:t>
            </w:r>
            <w:proofErr w:type="spellEnd"/>
            <w:r w:rsidRPr="00C32E92">
              <w:rPr>
                <w:rFonts w:ascii="Times New Roman" w:eastAsia="AngsanaUPC" w:hAnsi="Times New Roman" w:cs="Times New Roman"/>
                <w:bCs/>
                <w:lang w:eastAsia="lt-LT"/>
              </w:rPr>
              <w:t>: 789.856.109</w:t>
            </w:r>
          </w:p>
        </w:tc>
        <w:tc>
          <w:tcPr>
            <w:tcW w:w="1134"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17,3 </w:t>
            </w:r>
            <w:r w:rsidRPr="00C32E92">
              <w:rPr>
                <w:rFonts w:ascii="Times New Roman" w:eastAsia="AngsanaUPC" w:hAnsi="Times New Roman" w:cs="Times New Roman"/>
                <w:bCs/>
                <w:lang w:val="en-US" w:eastAsia="lt-LT"/>
              </w:rPr>
              <w:t>%</w:t>
            </w:r>
          </w:p>
        </w:tc>
      </w:tr>
      <w:tr w:rsidR="00C32E92" w:rsidRPr="00C32E92" w:rsidTr="00C32E92">
        <w:trPr>
          <w:trHeight w:val="944"/>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hAnsi="Times New Roman" w:cs="Times New Roman"/>
                <w:bCs/>
                <w:iCs/>
                <w:color w:val="000000"/>
                <w:lang w:eastAsia="lt-LT"/>
              </w:rPr>
              <w:t>Vidutinis keleivinio traukinio greitis rekonstruotuose ir atnaujintuose TEN</w:t>
            </w:r>
            <w:proofErr w:type="gramStart"/>
            <w:r w:rsidRPr="00C32E92">
              <w:rPr>
                <w:rFonts w:ascii="Times New Roman" w:hAnsi="Times New Roman" w:cs="Times New Roman"/>
                <w:bCs/>
                <w:iCs/>
                <w:color w:val="000000"/>
                <w:lang w:eastAsia="lt-LT"/>
              </w:rPr>
              <w:t>-</w:t>
            </w:r>
            <w:proofErr w:type="gramEnd"/>
            <w:r w:rsidRPr="00C32E92">
              <w:rPr>
                <w:rFonts w:ascii="Times New Roman" w:hAnsi="Times New Roman" w:cs="Times New Roman"/>
                <w:bCs/>
                <w:iCs/>
                <w:color w:val="000000"/>
                <w:lang w:eastAsia="lt-LT"/>
              </w:rPr>
              <w:t>T tinklo geležinkelių ruožuose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72"/>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tcPr>
          <w:p w:rsidR="00C32E92" w:rsidRPr="00C32E92" w:rsidRDefault="00C32E92" w:rsidP="00C32E92">
            <w:pPr>
              <w:widowControl w:val="0"/>
              <w:tabs>
                <w:tab w:val="left" w:pos="622"/>
              </w:tabs>
              <w:jc w:val="both"/>
              <w:rPr>
                <w:rFonts w:ascii="Times New Roman" w:hAnsi="Times New Roman" w:cs="Times New Roman"/>
                <w:bCs/>
                <w:iCs/>
                <w:color w:val="000000"/>
                <w:lang w:eastAsia="lt-LT"/>
              </w:rPr>
            </w:pPr>
            <w:r w:rsidRPr="00C32E92">
              <w:rPr>
                <w:rFonts w:ascii="Times New Roman" w:hAnsi="Times New Roman" w:cs="Times New Roman"/>
                <w:bCs/>
                <w:iCs/>
                <w:color w:val="000000"/>
                <w:lang w:eastAsia="lt-LT"/>
              </w:rPr>
              <w:t>Žuvusiųjų TEN</w:t>
            </w:r>
            <w:proofErr w:type="gramStart"/>
            <w:r w:rsidRPr="00C32E92">
              <w:rPr>
                <w:rFonts w:ascii="Times New Roman" w:hAnsi="Times New Roman" w:cs="Times New Roman"/>
                <w:bCs/>
                <w:iCs/>
                <w:color w:val="000000"/>
                <w:lang w:eastAsia="lt-LT"/>
              </w:rPr>
              <w:t>-</w:t>
            </w:r>
            <w:proofErr w:type="gramEnd"/>
            <w:r w:rsidRPr="00C32E92">
              <w:rPr>
                <w:rFonts w:ascii="Times New Roman" w:hAnsi="Times New Roman" w:cs="Times New Roman"/>
                <w:bCs/>
                <w:iCs/>
                <w:color w:val="000000"/>
                <w:lang w:eastAsia="lt-LT"/>
              </w:rPr>
              <w:t>T tinklo keliuose skaičius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19"/>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tcPr>
          <w:p w:rsidR="00C32E92" w:rsidRPr="00C32E92" w:rsidRDefault="00C32E92" w:rsidP="00C32E92">
            <w:pPr>
              <w:widowControl w:val="0"/>
              <w:tabs>
                <w:tab w:val="left" w:pos="622"/>
              </w:tabs>
              <w:jc w:val="both"/>
              <w:rPr>
                <w:rFonts w:ascii="Times New Roman" w:hAnsi="Times New Roman" w:cs="Times New Roman"/>
                <w:bCs/>
                <w:iCs/>
                <w:color w:val="000000"/>
                <w:lang w:eastAsia="lt-LT"/>
              </w:rPr>
            </w:pPr>
            <w:r w:rsidRPr="00C32E92">
              <w:rPr>
                <w:rFonts w:ascii="Times New Roman" w:hAnsi="Times New Roman" w:cs="Times New Roman"/>
                <w:bCs/>
                <w:iCs/>
                <w:color w:val="000000"/>
                <w:lang w:eastAsia="lt-LT"/>
              </w:rPr>
              <w:t xml:space="preserve">Vidutinė </w:t>
            </w:r>
            <w:r w:rsidRPr="00C32E92">
              <w:rPr>
                <w:rFonts w:ascii="Times New Roman" w:hAnsi="Times New Roman" w:cs="Times New Roman"/>
                <w:bCs/>
                <w:iCs/>
                <w:color w:val="000000"/>
                <w:lang w:val="en-US" w:eastAsia="lt-LT"/>
              </w:rPr>
              <w:t xml:space="preserve">1 </w:t>
            </w:r>
            <w:r w:rsidRPr="00C32E92">
              <w:rPr>
                <w:rFonts w:ascii="Times New Roman" w:hAnsi="Times New Roman" w:cs="Times New Roman"/>
                <w:bCs/>
                <w:iCs/>
                <w:color w:val="000000"/>
                <w:lang w:eastAsia="lt-LT"/>
              </w:rPr>
              <w:t>orlaivio manevravimo trukmė</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96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rPr>
              <w:t>Regionų judumo didinimas, prie TEN</w:t>
            </w:r>
            <w:proofErr w:type="gramStart"/>
            <w:r w:rsidRPr="00C32E92">
              <w:rPr>
                <w:rFonts w:ascii="Times New Roman" w:eastAsia="Calibri" w:hAnsi="Times New Roman" w:cs="Times New Roman"/>
              </w:rPr>
              <w:t>-</w:t>
            </w:r>
            <w:proofErr w:type="gramEnd"/>
            <w:r w:rsidRPr="00C32E92">
              <w:rPr>
                <w:rFonts w:ascii="Times New Roman" w:eastAsia="Calibri" w:hAnsi="Times New Roman" w:cs="Times New Roman"/>
              </w:rPr>
              <w:t>T infrastruktūros prijungiant antrinius ir tretinius transporto mazgus, įskaitant daugiarūšio transporto mazgus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Padidinti regionų judumą, plėtojant regionų jungtis su pagrindiniu šalies transporto tinklu ir diegiant eismo saugos priemones</w:t>
            </w: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Vidutinis keleivinio traukinio greitis </w:t>
            </w:r>
            <w:r w:rsidRPr="00C32E92">
              <w:rPr>
                <w:rFonts w:ascii="Times New Roman" w:hAnsi="Times New Roman" w:cs="Times New Roman"/>
                <w:bCs/>
                <w:iCs/>
                <w:color w:val="000000"/>
                <w:lang w:eastAsia="lt-LT"/>
              </w:rPr>
              <w:t xml:space="preserve">rekonstruotuose ir </w:t>
            </w:r>
            <w:r w:rsidRPr="00C32E92">
              <w:rPr>
                <w:rFonts w:ascii="Times New Roman" w:eastAsia="AngsanaUPC" w:hAnsi="Times New Roman" w:cs="Times New Roman"/>
                <w:bCs/>
                <w:lang w:eastAsia="lt-LT"/>
              </w:rPr>
              <w:t>atnaujintuose ne TEN</w:t>
            </w:r>
            <w:proofErr w:type="gramStart"/>
            <w:r w:rsidRPr="00C32E92">
              <w:rPr>
                <w:rFonts w:ascii="Times New Roman" w:eastAsia="AngsanaUPC" w:hAnsi="Times New Roman" w:cs="Times New Roman"/>
                <w:bCs/>
                <w:lang w:eastAsia="lt-LT"/>
              </w:rPr>
              <w:t>-</w:t>
            </w:r>
            <w:proofErr w:type="gramEnd"/>
            <w:r w:rsidRPr="00C32E92">
              <w:rPr>
                <w:rFonts w:ascii="Times New Roman" w:eastAsia="AngsanaUPC" w:hAnsi="Times New Roman" w:cs="Times New Roman"/>
                <w:bCs/>
                <w:lang w:eastAsia="lt-LT"/>
              </w:rPr>
              <w:t>T tinklo geležinkelių ruožuose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72"/>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bCs/>
              </w:rPr>
            </w:pP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Žuvusiųjų ne TEN</w:t>
            </w:r>
            <w:proofErr w:type="gramStart"/>
            <w:r w:rsidRPr="00C32E92">
              <w:rPr>
                <w:rFonts w:ascii="Times New Roman" w:eastAsia="AngsanaUPC" w:hAnsi="Times New Roman" w:cs="Times New Roman"/>
                <w:bCs/>
                <w:lang w:eastAsia="lt-LT"/>
              </w:rPr>
              <w:t>-</w:t>
            </w:r>
            <w:proofErr w:type="gramEnd"/>
            <w:r w:rsidRPr="00C32E92">
              <w:rPr>
                <w:rFonts w:ascii="Times New Roman" w:eastAsia="AngsanaUPC" w:hAnsi="Times New Roman" w:cs="Times New Roman"/>
                <w:bCs/>
                <w:lang w:eastAsia="lt-LT"/>
              </w:rPr>
              <w:t>T tinklo keliuose skaičius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702"/>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bCs/>
              </w:rPr>
            </w:pP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Sugaištas kelionės automobilių keliais (išskyrus TEN</w:t>
            </w:r>
            <w:proofErr w:type="gramStart"/>
            <w:r w:rsidRPr="00C32E92">
              <w:rPr>
                <w:rFonts w:ascii="Times New Roman" w:eastAsia="AngsanaUPC" w:hAnsi="Times New Roman" w:cs="Times New Roman"/>
                <w:bCs/>
                <w:lang w:eastAsia="lt-LT"/>
              </w:rPr>
              <w:t>-</w:t>
            </w:r>
            <w:proofErr w:type="gramEnd"/>
            <w:r w:rsidRPr="00C32E92">
              <w:rPr>
                <w:rFonts w:ascii="Times New Roman" w:eastAsia="AngsanaUPC" w:hAnsi="Times New Roman" w:cs="Times New Roman"/>
                <w:bCs/>
                <w:lang w:eastAsia="lt-LT"/>
              </w:rPr>
              <w:t>T kelius) laikas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0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bCs/>
              </w:rPr>
            </w:pP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Vidaus vandenų transportu vežtų krovinių kiekis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9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bCs/>
              </w:rPr>
              <w:t>Energijos vartojimo efektyvumo ir tiekimo patikimumo, plėtojant pažangiąsias energijos paskirstymo, saugojimo ir perdavimo sistemas, gerinimas ir paskirstytos AIE gamybos diegimas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Sustiprinti integraciją į Europos Sąjungos vidaus energijos rinką</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roofErr w:type="spellStart"/>
            <w:r w:rsidRPr="00C32E92">
              <w:rPr>
                <w:rFonts w:ascii="Times New Roman" w:eastAsia="AngsanaUPC" w:hAnsi="Times New Roman" w:cs="Times New Roman"/>
                <w:bCs/>
                <w:lang w:eastAsia="lt-LT"/>
              </w:rPr>
              <w:t>Herfindahl</w:t>
            </w:r>
            <w:proofErr w:type="gramStart"/>
            <w:r w:rsidRPr="00C32E92">
              <w:rPr>
                <w:rFonts w:ascii="Times New Roman" w:eastAsia="AngsanaUPC" w:hAnsi="Times New Roman" w:cs="Times New Roman"/>
                <w:bCs/>
                <w:lang w:eastAsia="lt-LT"/>
              </w:rPr>
              <w:t>-</w:t>
            </w:r>
            <w:proofErr w:type="gramEnd"/>
            <w:r w:rsidRPr="00C32E92">
              <w:rPr>
                <w:rFonts w:ascii="Times New Roman" w:eastAsia="AngsanaUPC" w:hAnsi="Times New Roman" w:cs="Times New Roman"/>
                <w:bCs/>
                <w:lang w:eastAsia="lt-LT"/>
              </w:rPr>
              <w:t>Hirschman</w:t>
            </w:r>
            <w:proofErr w:type="spellEnd"/>
            <w:r w:rsidRPr="00C32E92">
              <w:rPr>
                <w:rFonts w:ascii="Times New Roman" w:eastAsia="AngsanaUPC" w:hAnsi="Times New Roman" w:cs="Times New Roman"/>
                <w:bCs/>
                <w:lang w:eastAsia="lt-LT"/>
              </w:rPr>
              <w:t xml:space="preserve"> energijos importo indeksas Lietuvos elektros energijos rinkoje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3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roofErr w:type="spellStart"/>
            <w:r w:rsidRPr="00C32E92">
              <w:rPr>
                <w:rFonts w:ascii="Times New Roman" w:eastAsia="AngsanaUPC" w:hAnsi="Times New Roman" w:cs="Times New Roman"/>
                <w:bCs/>
                <w:lang w:eastAsia="lt-LT"/>
              </w:rPr>
              <w:t>Herfindahl</w:t>
            </w:r>
            <w:proofErr w:type="gramStart"/>
            <w:r w:rsidRPr="00C32E92">
              <w:rPr>
                <w:rFonts w:ascii="Times New Roman" w:eastAsia="AngsanaUPC" w:hAnsi="Times New Roman" w:cs="Times New Roman"/>
                <w:bCs/>
                <w:lang w:eastAsia="lt-LT"/>
              </w:rPr>
              <w:t>-</w:t>
            </w:r>
            <w:proofErr w:type="gramEnd"/>
            <w:r w:rsidRPr="00C32E92">
              <w:rPr>
                <w:rFonts w:ascii="Times New Roman" w:eastAsia="AngsanaUPC" w:hAnsi="Times New Roman" w:cs="Times New Roman"/>
                <w:bCs/>
                <w:lang w:eastAsia="lt-LT"/>
              </w:rPr>
              <w:t>Hirschman</w:t>
            </w:r>
            <w:proofErr w:type="spellEnd"/>
            <w:r w:rsidRPr="00C32E92">
              <w:rPr>
                <w:rFonts w:ascii="Times New Roman" w:eastAsia="AngsanaUPC" w:hAnsi="Times New Roman" w:cs="Times New Roman"/>
                <w:bCs/>
                <w:lang w:eastAsia="lt-LT"/>
              </w:rPr>
              <w:t xml:space="preserve"> energijos importo indeksas Lietuvos gamtinių dujų rinkoje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0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N-1 kriterijaus įvykdymo gamtinių dujų sektoriuje lygis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894"/>
        </w:trPr>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Calibri" w:hAnsi="Times New Roman" w:cs="Times New Roman"/>
              </w:rPr>
              <w:lastRenderedPageBreak/>
              <w:t>Kokybiško užimtumo ir dalyvavimo darbo rinkoje skatinimas</w:t>
            </w: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Užimtumo skatinimas ir darbo jėgos judumo rėmimas</w:t>
            </w:r>
          </w:p>
        </w:tc>
        <w:tc>
          <w:tcPr>
            <w:tcW w:w="2835" w:type="dxa"/>
            <w:vMerge w:val="restart"/>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Užimtumą skatinančio ekonomikos augimo kuriant vidinį potencialą rėmimas kaip dalis konkrečioms sritims skirtos</w:t>
            </w:r>
            <w:r w:rsidRPr="00C32E92" w:rsidDel="002536CE">
              <w:rPr>
                <w:rFonts w:ascii="Times New Roman" w:eastAsia="Calibri" w:hAnsi="Times New Roman" w:cs="Times New Roman"/>
              </w:rPr>
              <w:t xml:space="preserve"> </w:t>
            </w:r>
            <w:r w:rsidRPr="00C32E92">
              <w:rPr>
                <w:rFonts w:ascii="Times New Roman" w:eastAsia="Calibri" w:hAnsi="Times New Roman" w:cs="Times New Roman"/>
              </w:rPr>
              <w:t>teritorinės strategijos, įskaitant nuosmukį patiriančių pramoninių regionų pertvarkymą ir specifinių gamtos ir kultūros išteklių prieinamumo bei naudojimosi jais gerinimą</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Padidinti ūkinės veiklos įvairovę ir pagerinti sąlygas investicijų pritraukimui, siekiant kurti naujas darbo vietas tikslinėse teritorijose (miestuose)</w:t>
            </w:r>
          </w:p>
        </w:tc>
        <w:tc>
          <w:tcPr>
            <w:tcW w:w="3119" w:type="dxa"/>
            <w:shd w:val="clear" w:color="auto" w:fill="auto"/>
          </w:tcPr>
          <w:p w:rsidR="00C32E92" w:rsidRPr="00C32E92" w:rsidRDefault="00C32E92" w:rsidP="00C32E92">
            <w:pPr>
              <w:jc w:val="both"/>
              <w:rPr>
                <w:rFonts w:ascii="Times New Roman" w:hAnsi="Times New Roman" w:cs="Times New Roman"/>
                <w:lang w:eastAsia="lt-LT"/>
              </w:rPr>
            </w:pPr>
            <w:r w:rsidRPr="00C32E92">
              <w:rPr>
                <w:rFonts w:ascii="Times New Roman" w:hAnsi="Times New Roman" w:cs="Times New Roman"/>
                <w:lang w:eastAsia="lt-LT"/>
              </w:rPr>
              <w:t>Pritrauktos papildomos materialinės investicijos į tikslines teritorijas</w:t>
            </w:r>
          </w:p>
        </w:tc>
        <w:tc>
          <w:tcPr>
            <w:tcW w:w="850"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ESF</w:t>
            </w:r>
          </w:p>
        </w:tc>
        <w:tc>
          <w:tcPr>
            <w:tcW w:w="1276"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 421.299</w:t>
            </w:r>
            <w:r w:rsidRPr="00C32E92">
              <w:rPr>
                <w:rFonts w:ascii="Calibri" w:eastAsia="Calibri" w:hAnsi="Calibri" w:cs="Times New Roman"/>
                <w:sz w:val="22"/>
                <w:szCs w:val="22"/>
              </w:rPr>
              <w:t>.</w:t>
            </w:r>
            <w:r w:rsidRPr="00C32E92">
              <w:rPr>
                <w:rFonts w:ascii="Times New Roman" w:eastAsia="AngsanaUPC" w:hAnsi="Times New Roman" w:cs="Times New Roman"/>
                <w:bCs/>
                <w:lang w:eastAsia="lt-LT"/>
              </w:rPr>
              <w:t>136</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ESF: 243.721.797</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Jaunimo užimtumo iniciatyvos specialūs asignavimai</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63 565 266</w:t>
            </w:r>
          </w:p>
        </w:tc>
        <w:tc>
          <w:tcPr>
            <w:tcW w:w="1134"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10.9%</w:t>
            </w:r>
          </w:p>
        </w:tc>
      </w:tr>
      <w:tr w:rsidR="00C32E92" w:rsidRPr="00C32E92" w:rsidTr="00C32E92">
        <w:trPr>
          <w:trHeight w:val="1165"/>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hAnsi="Times New Roman" w:cs="Times New Roman"/>
                <w:lang w:eastAsia="lt-LT"/>
              </w:rPr>
            </w:pPr>
            <w:r w:rsidRPr="00C32E92">
              <w:rPr>
                <w:rFonts w:ascii="Times New Roman" w:hAnsi="Times New Roman" w:cs="Times New Roman"/>
                <w:lang w:eastAsia="lt-LT"/>
              </w:rPr>
              <w:t>Dirbančiųjų dalis įmonėse, lyginant su darbingo amžiaus gyventojų skaičiumi savivaldybėse, kuriose yra išskirtų tikslinių teritorijų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Investicijos į valstybės įdarbinimo tarnybų infrastruktūrą</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Pagerinti darbo rinkos institucijų paslaugų kokybę ir prieinamumą</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hAnsi="Times New Roman" w:cs="Times New Roman"/>
                <w:bCs/>
              </w:rPr>
              <w:t>Pasitenkinimas Vilniaus teritorinės darbo biržos teikiamų paslaugų kokybe ir sąlygomis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91"/>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Galimybės gauti darbą suteikimas ieškantiems darbo ir neaktyviems asmenims, įskaitant ilgalaikius bedarbius ir asmenis, nutolusius nuo darbo rinkos, pasitelkiant vietos užimtumo iniciatyvas ir remiant darbo jėgos judumą</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Padidinti gyventojų, ypač ilgalaikių ir nekvalifikuotų bedarbių bei neįgaliųjų, užimtumą</w:t>
            </w:r>
          </w:p>
        </w:tc>
        <w:tc>
          <w:tcPr>
            <w:tcW w:w="3119" w:type="dxa"/>
            <w:shd w:val="clear" w:color="auto" w:fill="auto"/>
            <w:vAlign w:val="center"/>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Dalyviai, kurie baigę dalyvauti ESF veiklose pradėjo dirbti, įskaitant savarankišką darbą (Bedarbiai, įskaitant ilgalaikius bedarbius)</w:t>
            </w:r>
          </w:p>
          <w:p w:rsidR="00C32E92" w:rsidRPr="00C32E92" w:rsidRDefault="00C32E92" w:rsidP="00C32E92">
            <w:pPr>
              <w:jc w:val="both"/>
              <w:rPr>
                <w:rFonts w:ascii="Times New Roman" w:hAnsi="Times New Roman" w:cs="Times New Roman"/>
                <w:bCs/>
              </w:rPr>
            </w:pP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91"/>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eastAsia="Calibri" w:hAnsi="Times New Roman" w:cs="Times New Roman"/>
              </w:rPr>
              <w:t>Dalyviai, kurie baigę dalyvauti ESF veiklose įgijo kvalifikaciją (Bedarbiai, įskaitant ilgalaikius bedarbius)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91"/>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eastAsia="Calibri" w:hAnsi="Times New Roman" w:cs="Times New Roman"/>
              </w:rPr>
              <w:t>Dalyviai, kurie baigę dalyvauti ESF veiklose pradėjo dirbti, įskaitant savarankišką darbą (Vyresni negu 54 metų asmenys, kurie yra bedarbiai, įskaitant ilgalaikius bedarbius, arba neaktyvūs nesimokantys asmenys, dalyvavę ESF veiklose)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91"/>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eastAsia="Calibri" w:hAnsi="Times New Roman" w:cs="Times New Roman"/>
              </w:rPr>
              <w:t>Dalyviai, kurie baigę dalyvauti ESF veiklose įgijo kvalifikaciją (Vyresni negu 54 metų asmenys, kurie yra bedarbiai, įskaitant ilgalaikius bedarbius, arba neaktyvūs nesimokantys asmenys, dalyvavę ESF veiklose)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32"/>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Del="00737EA9" w:rsidRDefault="00C32E92" w:rsidP="00C32E92">
            <w:pPr>
              <w:jc w:val="both"/>
              <w:rPr>
                <w:rFonts w:ascii="Times New Roman" w:hAnsi="Times New Roman" w:cs="Times New Roman"/>
                <w:bCs/>
              </w:rPr>
            </w:pPr>
            <w:r w:rsidRPr="00C32E92">
              <w:rPr>
                <w:rFonts w:ascii="Times New Roman" w:eastAsia="Calibri" w:hAnsi="Times New Roman" w:cs="Times New Roman"/>
              </w:rPr>
              <w:t xml:space="preserve">Neįgalieji, kurie sėkmingai baigė ESF remiamas profesinės reabilitacijos programas </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49"/>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Padidinti valstybės įdarbinimo tarnybos veiksmingumą ir labiau orientuoti į rezultatus</w:t>
            </w: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Laisvos darbo vietos užpildymo vidutinė trukmė</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15"/>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Lietuvos darbo biržos darbuotojai, kurie po dalyvavimo ESF veiklose įgijo kvalifikaciją</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79"/>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 xml:space="preserve">Sukurta </w:t>
            </w:r>
            <w:proofErr w:type="gramStart"/>
            <w:r w:rsidRPr="00C32E92">
              <w:rPr>
                <w:rFonts w:ascii="Times New Roman" w:hAnsi="Times New Roman" w:cs="Times New Roman"/>
                <w:bCs/>
              </w:rPr>
              <w:t>ir įgyvendinama ADRP ir tvaraus įdarbinimo stebėsenos ir vertinimo sistema</w:t>
            </w:r>
            <w:proofErr w:type="gramEnd"/>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0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Padidinti darbo paklausą, skatinant gyventojų, ypač susiduriančių su sunkumais darbo rinkoje, verslumą</w:t>
            </w: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eastAsia="Calibri" w:hAnsi="Times New Roman" w:cs="Times New Roman"/>
              </w:rPr>
              <w:t>Sėkmingai veikiančių naujų įmonių, pasinaudojusių finansine priemone verslo pradžiai, dalis 12 mėn. po paskolos suteikimo</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114"/>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Pagerinti visuomenės, verslo ir viešojo sektoriaus supratimą apie moterų ir vyrų lygių galimybių bei nediskriminavimo dėl amžiaus, negalios ir kitų pagrindų principų taikymą ir sustiprinti gebėjimus atpažinti bei šalinti diskriminavimo apraiškas</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hAnsi="Times New Roman" w:cs="Times New Roman"/>
                <w:iCs/>
              </w:rPr>
              <w:t>Dalis asmenų, kurie praktikoje taiko žinias ir įgūdžius, įgytus dalyvaujant renginiuose, skatinančiuose moterų ir vyrų lygybę bei diskriminacijos mažinimą darbo rinkoje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88"/>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hAnsi="Times New Roman" w:cs="Times New Roman"/>
                <w:lang w:eastAsia="lt-LT"/>
              </w:rPr>
              <w:t xml:space="preserve">Jaunimo, visų pirma, nedirbančio ir nesimokančio, įskaitant </w:t>
            </w:r>
            <w:proofErr w:type="spellStart"/>
            <w:r w:rsidRPr="00C32E92">
              <w:rPr>
                <w:rFonts w:ascii="Times New Roman" w:hAnsi="Times New Roman" w:cs="Times New Roman"/>
                <w:lang w:eastAsia="lt-LT"/>
              </w:rPr>
              <w:t>marginalių</w:t>
            </w:r>
            <w:proofErr w:type="spellEnd"/>
            <w:r w:rsidRPr="00C32E92">
              <w:rPr>
                <w:rFonts w:ascii="Times New Roman" w:hAnsi="Times New Roman" w:cs="Times New Roman"/>
                <w:lang w:eastAsia="lt-LT"/>
              </w:rPr>
              <w:t xml:space="preserve"> bendruomenių jaunimą ir tą, kuriam kyla socialinės atskirties pavojus, ilgalaikė integracija į darbo rinką, taip pat ir įgyvendinant Jaunimo garantijų iniciatyvą</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Sumažinti nedirbančio, nesimokančio ir mokymuose nedalyvaujančio 15</w:t>
            </w:r>
            <w:proofErr w:type="gramStart"/>
            <w:r w:rsidRPr="00C32E92">
              <w:rPr>
                <w:rFonts w:ascii="Times New Roman" w:eastAsia="Calibri" w:hAnsi="Times New Roman" w:cs="Times New Roman"/>
              </w:rPr>
              <w:t>-</w:t>
            </w:r>
            <w:proofErr w:type="gramEnd"/>
            <w:r w:rsidRPr="00C32E92">
              <w:rPr>
                <w:rFonts w:ascii="Times New Roman" w:eastAsia="Calibri" w:hAnsi="Times New Roman" w:cs="Times New Roman"/>
              </w:rPr>
              <w:t>29 m. amžiaus jaunimo skaičių</w:t>
            </w: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Bedarbiai dalyviai, kurie baigė dalyvauti JUI remiamoje intervencijoje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864"/>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Bedarbiai dalyviai, kurie baigę dalyvavimą gavo pasiūlymą dėl darbo, tolesnio mokymosi, pameistrystės ar stažuotės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26"/>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Bedarbiai dalyviai, kurie baigę dalyvavimą pradėjo mokytis, įgijo kvalifikaciją arba pradėjo dirbti, įskaitant savarankišką darbą</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56"/>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Ilgalaikiai bedarbiai dalyviai, kurie baigė dalyvauti JUI remiamoje intervencijoje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806"/>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Ilgalaikiai bedarbiai dalyviai, kurie baigę dalyvavimą gavo pasiūlymą dėl darbo, tolesnio mokymosi, pameistrystės</w:t>
            </w:r>
            <w:r w:rsidRPr="00C32E92" w:rsidDel="005D0C8C">
              <w:rPr>
                <w:rFonts w:ascii="Times New Roman" w:eastAsia="Calibri" w:hAnsi="Times New Roman" w:cs="Times New Roman"/>
              </w:rPr>
              <w:t xml:space="preserve"> </w:t>
            </w:r>
            <w:r w:rsidRPr="00C32E92">
              <w:rPr>
                <w:rFonts w:ascii="Times New Roman" w:eastAsia="Calibri" w:hAnsi="Times New Roman" w:cs="Times New Roman"/>
              </w:rPr>
              <w:t>ar stažuotės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1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Ilgalaikiai bedarbiai dalyviai, kurie baigę dalyvavimą pradėjo mokytis, įgijo kvalifikaciją arba pradėjo dirbti, įskaitant savarankišką darbą</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8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Nestudijuojantys ir nesimokantys neaktyvūs dalyviai, kurie baigė dalyvauti JUI remiamoje intervencijoje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059"/>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Nestudijuojantys ir nesimokantys neaktyvūs dalyviai, kurie baigę dalyvavimą gavo pasiūlymą dėl darbo, tolesnio mokymosi, pameistrystės</w:t>
            </w:r>
            <w:r w:rsidRPr="00C32E92" w:rsidDel="005D0C8C">
              <w:rPr>
                <w:rFonts w:ascii="Times New Roman" w:eastAsia="Calibri" w:hAnsi="Times New Roman" w:cs="Times New Roman"/>
              </w:rPr>
              <w:t xml:space="preserve"> </w:t>
            </w:r>
            <w:r w:rsidRPr="00C32E92">
              <w:rPr>
                <w:rFonts w:ascii="Times New Roman" w:eastAsia="Calibri" w:hAnsi="Times New Roman" w:cs="Times New Roman"/>
              </w:rPr>
              <w:t>ar stažuotės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048"/>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Nestudijuojantys ir nesimokantys neaktyvūs dalyviai, kurie baigę dalyvavimą pradėjo mokytis, įgijo kvalifikaciją arba pradėjo dirbti, įskaitant savarankišką darbą</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002"/>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Dalyviai, kurie baigę dalyvavimą po šešių mėnesių tęsia mokymąsi, dalyvauja kvalifikaciją suteikiančiose mokymo programose, mokyme per pameistrystę ar atlieka stažuotę</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5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Dalyviai, kurie baigę dalyvavimą po šešių mėnesių dirba</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65"/>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jc w:val="both"/>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Dalyviai, kurie baigę dalyvavimą po šešių mėnesių savarankiškai dirba</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75"/>
        </w:trPr>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Calibri" w:hAnsi="Times New Roman" w:cs="Times New Roman"/>
              </w:rPr>
              <w:lastRenderedPageBreak/>
              <w:t>Socialinės įtraukties didinimas ir kova su skurdu</w:t>
            </w: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Socialinės įtraukties skatinimas ir kova su skurdu</w:t>
            </w: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rPr>
              <w:t>Investicijos į sveikatos ir socialinę infrastruktūrą, kuria prisidedama prie nacionalinės, regionų ir vietos plėtros, su sveikatos būkle susijusios nelygybės mažinimo, socialinės įtraukties skatinimo, suteikiant geresnę prieigą prie socialinių, kultūrinių ir rekreacinių paslaugų, ir perėjimo nuo institucinių prie bendruomeninių paslaugų</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Padidinti bendruomenėje teikiamų socialinių paslaugų dalį, pereinant nuo institucinės globos prie bendruomeninių paslaugų</w:t>
            </w:r>
          </w:p>
        </w:tc>
        <w:tc>
          <w:tcPr>
            <w:tcW w:w="3119" w:type="dxa"/>
            <w:shd w:val="clear" w:color="auto" w:fill="auto"/>
          </w:tcPr>
          <w:p w:rsidR="00C32E92" w:rsidRPr="00C32E92" w:rsidRDefault="00C32E92" w:rsidP="00C32E92">
            <w:pPr>
              <w:jc w:val="both"/>
              <w:rPr>
                <w:rFonts w:ascii="Times New Roman" w:eastAsia="Calibri" w:hAnsi="Times New Roman" w:cs="Times New Roman"/>
                <w:shd w:val="clear" w:color="auto" w:fill="FFFFFF"/>
              </w:rPr>
            </w:pPr>
            <w:r w:rsidRPr="00C32E92">
              <w:rPr>
                <w:rFonts w:ascii="Times New Roman" w:eastAsia="Calibri" w:hAnsi="Times New Roman" w:cs="Times New Roman"/>
                <w:shd w:val="clear" w:color="auto" w:fill="FFFFFF"/>
              </w:rPr>
              <w:t>Neįgalių asmenų, gaunančių paslaugas bendruomenėje, dalis nuo visų neįgaliųjų, gaunančių socialines paslaugas</w:t>
            </w:r>
          </w:p>
        </w:tc>
        <w:tc>
          <w:tcPr>
            <w:tcW w:w="850"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ESF</w:t>
            </w:r>
          </w:p>
        </w:tc>
        <w:tc>
          <w:tcPr>
            <w:tcW w:w="1276"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 315.540.145</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ESF: 247.694.386</w:t>
            </w:r>
          </w:p>
        </w:tc>
        <w:tc>
          <w:tcPr>
            <w:tcW w:w="1134"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8,2 </w:t>
            </w:r>
            <w:r w:rsidRPr="00C32E92">
              <w:rPr>
                <w:rFonts w:ascii="Times New Roman" w:eastAsia="AngsanaUPC" w:hAnsi="Times New Roman" w:cs="Times New Roman"/>
                <w:bCs/>
                <w:lang w:val="en-US" w:eastAsia="lt-LT"/>
              </w:rPr>
              <w:t>%</w:t>
            </w:r>
          </w:p>
        </w:tc>
      </w:tr>
      <w:tr w:rsidR="00C32E92" w:rsidRPr="00C32E92" w:rsidTr="00C32E92">
        <w:trPr>
          <w:trHeight w:val="438"/>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shd w:val="clear" w:color="auto" w:fill="FFFFFF"/>
              </w:rPr>
            </w:pPr>
            <w:r w:rsidRPr="00C32E92">
              <w:rPr>
                <w:rFonts w:ascii="Times New Roman" w:eastAsia="Calibri" w:hAnsi="Times New Roman" w:cs="Times New Roman"/>
                <w:shd w:val="clear" w:color="auto" w:fill="FFFFFF"/>
              </w:rPr>
              <w:t>Globojamų (rūpinamų) vaikų, gaunančių socialinės globos paslaugas bendruomenėje, dalis</w:t>
            </w:r>
            <w:proofErr w:type="gramStart"/>
            <w:r w:rsidRPr="00C32E92">
              <w:rPr>
                <w:rFonts w:ascii="Times New Roman" w:eastAsia="Calibri" w:hAnsi="Times New Roman" w:cs="Times New Roman"/>
                <w:shd w:val="clear" w:color="auto" w:fill="FFFFFF"/>
              </w:rPr>
              <w:t xml:space="preserve">  </w:t>
            </w:r>
            <w:proofErr w:type="gramEnd"/>
            <w:r w:rsidRPr="00C32E92">
              <w:rPr>
                <w:rFonts w:ascii="Times New Roman" w:eastAsia="Calibri" w:hAnsi="Times New Roman" w:cs="Times New Roman"/>
                <w:shd w:val="clear" w:color="auto" w:fill="FFFFFF"/>
              </w:rPr>
              <w:t>nuo visų globojamų (rūpinamų) vaikų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07"/>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Padidinti socialinio būsto prieinamumą pažeidžiamiausioms gyventojų grupėms</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Calibri" w:hAnsi="Times New Roman" w:cs="Times New Roman"/>
              </w:rPr>
              <w:t>Asmenų (šeimų), kuriems išnuomotas savivaldybės socialinis būstas, dalis nuo visų socialinio būsto nuomos laukiančių asmenų (šeimų)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70"/>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Pagerinti sveikatos priežiūros kokybę ir prieinamumą tikslinėms gyventojų grupėms bei sumažinti sveikatos netolygumus</w:t>
            </w: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Standartizuoto 0</w:t>
            </w:r>
            <w:proofErr w:type="gramStart"/>
            <w:r w:rsidRPr="00C32E92">
              <w:rPr>
                <w:rFonts w:ascii="Times New Roman" w:eastAsia="AngsanaUPC" w:hAnsi="Times New Roman" w:cs="Times New Roman"/>
                <w:bCs/>
                <w:lang w:eastAsia="lt-LT"/>
              </w:rPr>
              <w:t>-</w:t>
            </w:r>
            <w:proofErr w:type="gramEnd"/>
            <w:r w:rsidRPr="00C32E92">
              <w:rPr>
                <w:rFonts w:ascii="Times New Roman" w:eastAsia="AngsanaUPC" w:hAnsi="Times New Roman" w:cs="Times New Roman"/>
                <w:bCs/>
                <w:lang w:eastAsia="lt-LT"/>
              </w:rPr>
              <w:t>64 m. amžiaus gyventojų mirtingumo sumažėjimas tikslinėse teritorijose nuo kraujotakos sistemos ligų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956"/>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Del="003B5BBA"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Standartizuoto 0</w:t>
            </w:r>
            <w:proofErr w:type="gramStart"/>
            <w:r w:rsidRPr="00C32E92">
              <w:rPr>
                <w:rFonts w:ascii="Times New Roman" w:eastAsia="AngsanaUPC" w:hAnsi="Times New Roman" w:cs="Times New Roman"/>
                <w:bCs/>
                <w:lang w:eastAsia="lt-LT"/>
              </w:rPr>
              <w:t>-</w:t>
            </w:r>
            <w:proofErr w:type="gramEnd"/>
            <w:r w:rsidRPr="00C32E92">
              <w:rPr>
                <w:rFonts w:ascii="Times New Roman" w:eastAsia="AngsanaUPC" w:hAnsi="Times New Roman" w:cs="Times New Roman"/>
                <w:bCs/>
                <w:lang w:eastAsia="lt-LT"/>
              </w:rPr>
              <w:t>64 m. amžiaus gyventojų mirtingumo sumažėjimas tikslinėse teritorijose nuo cerebrovaskulinių ligų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30"/>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Standartizuoto 0</w:t>
            </w:r>
            <w:proofErr w:type="gramStart"/>
            <w:r w:rsidRPr="00C32E92">
              <w:rPr>
                <w:rFonts w:ascii="Times New Roman" w:eastAsia="Calibri" w:hAnsi="Times New Roman" w:cs="Times New Roman"/>
              </w:rPr>
              <w:t>-</w:t>
            </w:r>
            <w:proofErr w:type="gramEnd"/>
            <w:r w:rsidRPr="00C32E92">
              <w:rPr>
                <w:rFonts w:ascii="Times New Roman" w:eastAsia="Calibri" w:hAnsi="Times New Roman" w:cs="Times New Roman"/>
              </w:rPr>
              <w:t>64 m. amžiaus gyventojų mirtingumo sumažėjimas tikslinėse teritorijose nuo piktybinių navikų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76"/>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Standartizuoto 0</w:t>
            </w:r>
            <w:proofErr w:type="gramStart"/>
            <w:r w:rsidRPr="00C32E92">
              <w:rPr>
                <w:rFonts w:ascii="Times New Roman" w:eastAsia="Calibri" w:hAnsi="Times New Roman" w:cs="Times New Roman"/>
              </w:rPr>
              <w:t>-</w:t>
            </w:r>
            <w:proofErr w:type="gramEnd"/>
            <w:r w:rsidRPr="00C32E92">
              <w:rPr>
                <w:rFonts w:ascii="Times New Roman" w:eastAsia="Calibri" w:hAnsi="Times New Roman" w:cs="Times New Roman"/>
              </w:rPr>
              <w:t>64 m. amžiaus gyventojų mirtingumo sumažėjimas tikslinėse teritorijose dėl išorinių mirties priežasčių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73"/>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Apsilankymų pas gydytojus skaičiaus, tenkančio vienam gyventojui, skirtumas tarp miestų ir rajonų savivaldybių gyventojų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hAnsi="Times New Roman" w:cs="Times New Roman"/>
                <w:lang w:eastAsia="lt-LT"/>
              </w:rPr>
              <w:t xml:space="preserve">Fizinio, ekonominio ir socialinio nepasiturinčių miestų ir kaimų bendruomenių bei </w:t>
            </w:r>
            <w:r w:rsidRPr="00C32E92">
              <w:rPr>
                <w:rFonts w:ascii="Times New Roman" w:hAnsi="Times New Roman" w:cs="Times New Roman"/>
                <w:lang w:eastAsia="lt-LT"/>
              </w:rPr>
              <w:lastRenderedPageBreak/>
              <w:t>vietovių atnaujinimo rėmimas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lastRenderedPageBreak/>
              <w:t xml:space="preserve">Sumažinti geografinių sąlygų ir demografinių procesų sukeliamus gyvenimo kokybės </w:t>
            </w:r>
            <w:r w:rsidRPr="00C32E92">
              <w:rPr>
                <w:rFonts w:ascii="Times New Roman" w:eastAsia="Calibri" w:hAnsi="Times New Roman" w:cs="Times New Roman"/>
              </w:rPr>
              <w:lastRenderedPageBreak/>
              <w:t>netolygumus</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szCs w:val="18"/>
                <w:lang w:eastAsia="lt-LT"/>
              </w:rPr>
              <w:lastRenderedPageBreak/>
              <w:t>Užimtųjų dalis tikslinėse teritorijose</w:t>
            </w:r>
            <w:r w:rsidRPr="00C32E92" w:rsidDel="0064127D">
              <w:rPr>
                <w:rFonts w:ascii="Times New Roman" w:eastAsia="AngsanaUPC" w:hAnsi="Times New Roman" w:cs="Times New Roman"/>
                <w:bCs/>
                <w:lang w:eastAsia="lt-LT"/>
              </w:rPr>
              <w:t xml:space="preserve"> </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00"/>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hAnsi="Times New Roman" w:cs="Times New Roman"/>
                <w:lang w:eastAsia="lt-LT"/>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Pritrauktos papildomos materialinės </w:t>
            </w:r>
            <w:r w:rsidRPr="00C32E92">
              <w:rPr>
                <w:rFonts w:ascii="Times New Roman" w:eastAsia="AngsanaUPC" w:hAnsi="Times New Roman" w:cs="Times New Roman"/>
                <w:bCs/>
                <w:lang w:eastAsia="lt-LT"/>
              </w:rPr>
              <w:lastRenderedPageBreak/>
              <w:t>investicijos į tikslines teritorijas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215"/>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rPr>
              <w:t xml:space="preserve">Aktyvi </w:t>
            </w:r>
            <w:proofErr w:type="spellStart"/>
            <w:r w:rsidRPr="00C32E92">
              <w:rPr>
                <w:rFonts w:ascii="Times New Roman" w:eastAsia="Calibri" w:hAnsi="Times New Roman" w:cs="Times New Roman"/>
              </w:rPr>
              <w:t>įtrauktis</w:t>
            </w:r>
            <w:proofErr w:type="spellEnd"/>
            <w:r w:rsidRPr="00C32E92">
              <w:rPr>
                <w:rFonts w:ascii="Times New Roman" w:eastAsia="Calibri" w:hAnsi="Times New Roman" w:cs="Times New Roman"/>
              </w:rPr>
              <w:t>, visų pirma, siekiant skatinti lygias galimybes, dalyvavimą darbo rinkoje ir geresnes įsidarbinimo galimybes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Padidinti labiausiai nutolusių nuo darbo rinkos asmenų integraciją į darbo rinką</w:t>
            </w:r>
          </w:p>
        </w:tc>
        <w:tc>
          <w:tcPr>
            <w:tcW w:w="3119" w:type="dxa"/>
            <w:shd w:val="clear" w:color="auto" w:fill="auto"/>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Socialiai pažeidžiami asmenys, kurie po dalyvavimo socialinei integracijai skirtose ESF veiklose pradėjo ieškoti darbo, mokytis arba dirbti, įskaitant savarankišką darbą</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00"/>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Padidinti vyresnio darbingo amžiaus asmenų dalyvavimą darbo rinkoje ir savanoriškoje veikloje</w:t>
            </w:r>
          </w:p>
        </w:tc>
        <w:tc>
          <w:tcPr>
            <w:tcW w:w="3119" w:type="dxa"/>
            <w:shd w:val="clear" w:color="auto" w:fill="auto"/>
            <w:vAlign w:val="center"/>
          </w:tcPr>
          <w:p w:rsidR="00C32E92" w:rsidRPr="00C32E92" w:rsidRDefault="00C32E92" w:rsidP="00C32E92">
            <w:pPr>
              <w:jc w:val="both"/>
              <w:rPr>
                <w:rFonts w:ascii="Times New Roman" w:hAnsi="Times New Roman" w:cs="Times New Roman"/>
                <w:iCs/>
                <w:strike/>
              </w:rPr>
            </w:pPr>
            <w:r w:rsidRPr="00C32E92">
              <w:rPr>
                <w:rFonts w:ascii="Times New Roman" w:eastAsia="AngsanaUPC" w:hAnsi="Times New Roman" w:cs="Times New Roman"/>
                <w:bCs/>
                <w:iCs/>
                <w:lang w:eastAsia="lt-LT"/>
              </w:rPr>
              <w:t>Asmenys vyresni kaip 54 metų amžiaus, kurie po dalyvavimo ESF veiklose įgijo kvalifikaciją</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1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jc w:val="both"/>
              <w:rPr>
                <w:rFonts w:ascii="Times New Roman" w:hAnsi="Times New Roman" w:cs="Times New Roman"/>
                <w:iCs/>
              </w:rPr>
            </w:pPr>
            <w:r w:rsidRPr="00C32E92">
              <w:rPr>
                <w:rFonts w:ascii="Times New Roman" w:eastAsia="AngsanaUPC" w:hAnsi="Times New Roman" w:cs="Times New Roman"/>
                <w:bCs/>
                <w:iCs/>
                <w:lang w:eastAsia="lt-LT"/>
              </w:rPr>
              <w:t>Asmenys vyresni kaip 54 metų amžiaus, kurie po dalyvavimo ESF veiklose dalyvauja savanoriškoje veikloje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1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rPr>
              <w:t>Galimybių gauti įperkamas, darnias ir aukštos kokybės paslaugas didinimas, įskaitant sveikatos priežiūrą ir visuotinės svarbos socialines paslaugas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Padidinti bendruomenėje teikiamų paslaugų prieinamumą ir kokybę, plėtoti paslaugas šeimai</w:t>
            </w: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Įgyvendintų asmeniui taikomų individualių perėjimo nuo institucinės globos prie šeimoje ir bendruomenėje teikiamų paslaugų planų dalis nuo parengtų planų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58"/>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Paslaugų šeimai gavėjai, palankiai vertinantys gaunamų paslaugų kokybę</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97"/>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Socialinių paslaugų sistemos darbuotojai, kurie po dalyvavimo ESF veiklose įgijo kvalifikaciją</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50"/>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Sumažinti sveikatos netolygumus, gerinant sveikatos priežiūros kokybę ir prieinamumą tikslinėms gyventojų grupėms ir skatinti sveiką senėjimą</w:t>
            </w:r>
          </w:p>
        </w:tc>
        <w:tc>
          <w:tcPr>
            <w:tcW w:w="3119" w:type="dxa"/>
            <w:shd w:val="clear" w:color="auto" w:fill="auto"/>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Didžiausiais sveikatos ir jos priežiūros prieinamumo netolygumais pasižyminčiuose regionuose gyvenančių asmenų, dalyvaujančių prevencinėse programose,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859"/>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hAnsi="Times New Roman" w:cs="Times New Roman"/>
                <w:bCs/>
              </w:rPr>
              <w:t>Tikslinių grupių asmenų, pakeitusių gyvenseną dėl sveikatos įgyvendinus ESF lėšomis finansuotas visuomenės informavimo, švietimo ir mokymo veiklas (sveikos gyvensenos, sveikatos išsaugojimo ir stiprinimo, ligų prevencijos temomis),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2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rPr>
              <w:t>Socialinės verslininkystės ir profesinės integracijos socialinėse įmonėse bei socialinės ir solidarumo ekonomikos skatinimas, siekiant padidinti įsidarbinimo galimybes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Paskatinti socialinį verslumą ir socialinę atsakomybę didinančių iniciatyvų atsiradimą</w:t>
            </w:r>
          </w:p>
        </w:tc>
        <w:tc>
          <w:tcPr>
            <w:tcW w:w="3119" w:type="dxa"/>
            <w:shd w:val="clear" w:color="auto" w:fill="auto"/>
            <w:vAlign w:val="center"/>
          </w:tcPr>
          <w:p w:rsidR="00C32E92" w:rsidRPr="00C32E92" w:rsidDel="00FA13D7" w:rsidRDefault="00C32E92" w:rsidP="00C32E92">
            <w:pPr>
              <w:jc w:val="both"/>
              <w:rPr>
                <w:rFonts w:ascii="Times New Roman" w:eastAsia="Calibri" w:hAnsi="Times New Roman" w:cs="Times New Roman"/>
                <w:bCs/>
              </w:rPr>
            </w:pPr>
            <w:r w:rsidRPr="00C32E92">
              <w:rPr>
                <w:rFonts w:ascii="Times New Roman" w:eastAsia="Calibri" w:hAnsi="Times New Roman" w:cs="Times New Roman"/>
                <w:bCs/>
              </w:rPr>
              <w:t>Sėkmingai veikiančių socialinių verslų dalis nuo visų ESF investicijas gavusių socialinių verslų 12 mėn. po projekto pabaigos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8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jc w:val="both"/>
              <w:rPr>
                <w:rFonts w:ascii="Times New Roman" w:eastAsia="Calibri" w:hAnsi="Times New Roman" w:cs="Times New Roman"/>
                <w:bCs/>
              </w:rPr>
            </w:pPr>
            <w:r w:rsidRPr="00C32E92">
              <w:rPr>
                <w:rFonts w:ascii="Times New Roman" w:eastAsia="Calibri" w:hAnsi="Times New Roman" w:cs="Times New Roman"/>
                <w:bCs/>
              </w:rPr>
              <w:t>ESF subsidijas gavę</w:t>
            </w:r>
            <w:proofErr w:type="gramStart"/>
            <w:r w:rsidRPr="00C32E92">
              <w:rPr>
                <w:rFonts w:ascii="Times New Roman" w:eastAsia="Calibri" w:hAnsi="Times New Roman" w:cs="Times New Roman"/>
                <w:bCs/>
              </w:rPr>
              <w:t xml:space="preserve">  </w:t>
            </w:r>
            <w:proofErr w:type="gramEnd"/>
            <w:r w:rsidRPr="00C32E92">
              <w:rPr>
                <w:rFonts w:ascii="Times New Roman" w:eastAsia="Calibri" w:hAnsi="Times New Roman" w:cs="Times New Roman"/>
                <w:bCs/>
              </w:rPr>
              <w:t>socialinių įmonių darbuotojai, kurie išsilaikė darbo vietoje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5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Del="00FA13D7" w:rsidRDefault="00C32E92" w:rsidP="00C32E92">
            <w:pPr>
              <w:jc w:val="both"/>
              <w:rPr>
                <w:rFonts w:ascii="Times New Roman" w:eastAsia="Calibri" w:hAnsi="Times New Roman" w:cs="Times New Roman"/>
                <w:bCs/>
              </w:rPr>
            </w:pPr>
            <w:r w:rsidRPr="00C32E92">
              <w:rPr>
                <w:rFonts w:ascii="Times New Roman" w:eastAsia="Calibri" w:hAnsi="Times New Roman" w:cs="Times New Roman"/>
                <w:bCs/>
              </w:rPr>
              <w:t>Asmenys, kurie įgijo kvalifikaciją po dalyvavimo ESF lėšomis finansuojamuose mokymuose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760"/>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rPr>
              <w:t>BIVP strategijų įgyvendinimas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Pagerinti vietines įsidarbinimo galimybes ir didinti bendruomenių socialinę integraciją, išnaudojant vietos bendruomenių, verslo ir vietos valdžios ryšius</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Calibri" w:hAnsi="Times New Roman" w:cs="Times New Roman"/>
                <w:lang w:eastAsia="lt-LT"/>
              </w:rPr>
              <w:t>BIVP projektų veiklų dalyviai, kurių padėtis darbo rinkoje pagerėjo, praėjus 6 mėnesiams po dalyvavimo ESF veiklose</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99"/>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lang w:eastAsia="lt-LT"/>
              </w:rPr>
            </w:pPr>
            <w:r w:rsidRPr="00C32E92">
              <w:rPr>
                <w:rFonts w:ascii="Times New Roman" w:eastAsia="Calibri" w:hAnsi="Times New Roman" w:cs="Times New Roman"/>
                <w:lang w:eastAsia="lt-LT"/>
              </w:rPr>
              <w:t xml:space="preserve">Socialinių partnerių organizacijose ar NVO </w:t>
            </w:r>
            <w:proofErr w:type="spellStart"/>
            <w:r w:rsidRPr="00C32E92">
              <w:rPr>
                <w:rFonts w:ascii="Times New Roman" w:eastAsia="Calibri" w:hAnsi="Times New Roman" w:cs="Times New Roman"/>
                <w:lang w:eastAsia="lt-LT"/>
              </w:rPr>
              <w:t>savanoriaujantys</w:t>
            </w:r>
            <w:proofErr w:type="spellEnd"/>
            <w:r w:rsidRPr="00C32E92">
              <w:rPr>
                <w:rFonts w:ascii="Times New Roman" w:eastAsia="Calibri" w:hAnsi="Times New Roman" w:cs="Times New Roman"/>
                <w:lang w:eastAsia="lt-LT"/>
              </w:rPr>
              <w:t xml:space="preserve"> dalyviai (vietos bendruomenės nariai), praėjus 6 mėnesiams po dalyvavimo ESF veiklose</w:t>
            </w:r>
          </w:p>
        </w:tc>
        <w:tc>
          <w:tcPr>
            <w:tcW w:w="850" w:type="dxa"/>
            <w:vMerge/>
            <w:tcBorders>
              <w:bottom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bottom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bottom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Calibri" w:hAnsi="Times New Roman" w:cs="Times New Roman"/>
              </w:rPr>
              <w:t>Visuomenės švietimas ir žmogiškųjų išteklių potencialo didinimas</w:t>
            </w: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Investicijos į švietimą, gebėjimus ir mokymąsi visą gyvenimą</w:t>
            </w: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hAnsi="Times New Roman" w:cs="Times New Roman"/>
                <w:lang w:eastAsia="lt-LT"/>
              </w:rPr>
              <w:t>Investicijos į švietimą, profesinį mokymą, skirtos švietimo ir mokymo infrastruktūrai tobulinti, siekiant suteikti įgūdžių ir užtikrinti mokymosi visą gyvenimą galimybę</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Tobulinti ir koncentruoti studijų infrastruktūrą, siekiant aukštesnės studijų kokybės</w:t>
            </w:r>
          </w:p>
        </w:tc>
        <w:tc>
          <w:tcPr>
            <w:tcW w:w="3119" w:type="dxa"/>
            <w:tcBorders>
              <w:right w:val="single" w:sz="4" w:space="0" w:color="auto"/>
            </w:tcBorders>
            <w:shd w:val="clear" w:color="auto" w:fill="auto"/>
          </w:tcPr>
          <w:p w:rsidR="00C32E92" w:rsidRPr="00C32E92" w:rsidDel="00B22B8B" w:rsidRDefault="00C32E92" w:rsidP="00C32E92">
            <w:pPr>
              <w:widowControl w:val="0"/>
              <w:tabs>
                <w:tab w:val="left" w:pos="622"/>
              </w:tabs>
              <w:jc w:val="both"/>
              <w:rPr>
                <w:rFonts w:ascii="Times New Roman" w:eastAsia="Calibri" w:hAnsi="Times New Roman" w:cs="Times New Roman"/>
              </w:rPr>
            </w:pPr>
            <w:r w:rsidRPr="00C32E92">
              <w:rPr>
                <w:rFonts w:ascii="Times New Roman" w:eastAsia="Calibri" w:hAnsi="Times New Roman" w:cs="Times New Roman"/>
              </w:rPr>
              <w:t>Studentų, studijuojančių aukštosiose mokyklose, kuriose bent už 289 tūkst. eurų pagal veiksmų programą ERPF lėšomis atnaujinta koncentruota studijų infrastruktūra, dalis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ESF</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ERPF: 208.548.495</w:t>
            </w: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ESF: 455.313.921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val="en-US" w:eastAsia="lt-LT"/>
              </w:rPr>
              <w:t>9,9%</w:t>
            </w:r>
          </w:p>
        </w:tc>
      </w:tr>
      <w:tr w:rsidR="00C32E92" w:rsidRPr="00C32E92" w:rsidTr="00C32E92">
        <w:trPr>
          <w:trHeight w:val="1004"/>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Padidinti kokybiško profesinio ir suaugusiųjų mokymo prieinamumą investuojant į infrastruktūrą</w:t>
            </w:r>
          </w:p>
        </w:tc>
        <w:tc>
          <w:tcPr>
            <w:tcW w:w="3119" w:type="dxa"/>
            <w:tcBorders>
              <w:right w:val="single" w:sz="4" w:space="0" w:color="auto"/>
            </w:tcBorders>
            <w:shd w:val="clear" w:color="auto" w:fill="auto"/>
            <w:vAlign w:val="center"/>
          </w:tcPr>
          <w:p w:rsidR="00C32E92" w:rsidRPr="00C32E92" w:rsidDel="00B22B8B" w:rsidRDefault="00C32E92" w:rsidP="00C32E92">
            <w:pPr>
              <w:jc w:val="both"/>
              <w:rPr>
                <w:rFonts w:ascii="Times New Roman" w:eastAsia="AngsanaUPC" w:hAnsi="Times New Roman" w:cs="Times New Roman"/>
                <w:bCs/>
                <w:iCs/>
                <w:lang w:eastAsia="lt-LT"/>
              </w:rPr>
            </w:pPr>
            <w:r w:rsidRPr="00C32E92">
              <w:rPr>
                <w:rFonts w:ascii="Times New Roman" w:eastAsia="Calibri" w:hAnsi="Times New Roman" w:cs="Times New Roman"/>
              </w:rPr>
              <w:t>Profesinio mokymo mokinių, kurie mokosi bent už 289 tūkst. eurų pagal veiksmų programą ERPF lėšomis atnaujintose įstaigose,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49"/>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Calibri" w:hAnsi="Times New Roman" w:cs="Times New Roman"/>
                <w:bCs/>
              </w:rPr>
              <w:t>Padidinti bendrojo ugdymo ir neformaliojo švietimo įstaigų tinklo veiklos efektyvumą</w:t>
            </w:r>
          </w:p>
        </w:tc>
        <w:tc>
          <w:tcPr>
            <w:tcW w:w="3119" w:type="dxa"/>
            <w:tcBorders>
              <w:right w:val="single" w:sz="4" w:space="0" w:color="auto"/>
            </w:tcBorders>
            <w:shd w:val="clear" w:color="auto" w:fill="auto"/>
          </w:tcPr>
          <w:p w:rsidR="00C32E92" w:rsidRPr="00C32E92" w:rsidDel="00B22B8B" w:rsidRDefault="00C32E92" w:rsidP="00C32E92">
            <w:pPr>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Bendrojo ugdymo mokinių, kurie mokosi bent už 289 tūkst. eurų pagal veiksmų programą ERPF lėšomis atnaujintose įstaigose,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461"/>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bCs/>
              </w:rPr>
            </w:pPr>
          </w:p>
        </w:tc>
        <w:tc>
          <w:tcPr>
            <w:tcW w:w="3119" w:type="dxa"/>
            <w:tcBorders>
              <w:right w:val="single" w:sz="4" w:space="0" w:color="auto"/>
            </w:tcBorders>
            <w:shd w:val="clear" w:color="auto" w:fill="auto"/>
          </w:tcPr>
          <w:p w:rsidR="00C32E92" w:rsidRPr="00C32E92" w:rsidDel="00B22B8B" w:rsidRDefault="00C32E92" w:rsidP="00C32E92">
            <w:pPr>
              <w:jc w:val="both"/>
              <w:rPr>
                <w:rFonts w:ascii="Times New Roman" w:eastAsia="AngsanaUPC" w:hAnsi="Times New Roman" w:cs="Times New Roman"/>
                <w:bCs/>
                <w:iCs/>
                <w:lang w:eastAsia="lt-LT"/>
              </w:rPr>
            </w:pPr>
            <w:r w:rsidRPr="00C32E92">
              <w:rPr>
                <w:rFonts w:ascii="Times New Roman" w:eastAsia="AngsanaUPC" w:hAnsi="Times New Roman" w:cs="Times New Roman"/>
                <w:bCs/>
                <w:iCs/>
                <w:lang w:eastAsia="lt-LT"/>
              </w:rPr>
              <w:t>1</w:t>
            </w:r>
            <w:proofErr w:type="gramStart"/>
            <w:r w:rsidRPr="00C32E92">
              <w:rPr>
                <w:rFonts w:ascii="Times New Roman" w:eastAsia="AngsanaUPC" w:hAnsi="Times New Roman" w:cs="Times New Roman"/>
                <w:bCs/>
                <w:iCs/>
                <w:lang w:eastAsia="lt-LT"/>
              </w:rPr>
              <w:t>-</w:t>
            </w:r>
            <w:proofErr w:type="gramEnd"/>
            <w:r w:rsidRPr="00C32E92">
              <w:rPr>
                <w:rFonts w:ascii="Times New Roman" w:eastAsia="AngsanaUPC" w:hAnsi="Times New Roman" w:cs="Times New Roman"/>
                <w:bCs/>
                <w:iCs/>
                <w:lang w:eastAsia="lt-LT"/>
              </w:rPr>
              <w:t>6 metų vaikų, ugdomų pagal veiksmų programą ERPF lėšomis atnaujintose ikimokyklinio ir priešmokyklinio ugdymo įstaigose,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18"/>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hAnsi="Times New Roman" w:cs="Times New Roman"/>
                <w:lang w:eastAsia="lt-LT"/>
              </w:rPr>
              <w:t>Mokyklos nebaigiančių asmenų skaičiaus mažinimas ir mokyklos nebaigimo prevencija, lygių galimybių gauti geros kokybės ikimokyklinį, pradinį, pagrindinį ir vidurinį išsilavinimą, įskaitant grįžimui į švietimo ir mokymo procesą skirtus mokymosi būdus, tarp jų formalųjį, neformalųjį mokymąsi ir savišvietą, užtikrinimas</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Pagerinti mokinių ugdymo, skatinant pokyčius švietimo įstaigų veikloje</w:t>
            </w:r>
          </w:p>
        </w:tc>
        <w:tc>
          <w:tcPr>
            <w:tcW w:w="3119" w:type="dxa"/>
            <w:tcBorders>
              <w:right w:val="single" w:sz="4" w:space="0" w:color="auto"/>
            </w:tcBorders>
            <w:shd w:val="clear" w:color="auto" w:fill="auto"/>
          </w:tcPr>
          <w:p w:rsidR="00C32E92" w:rsidRPr="00C32E92" w:rsidRDefault="00C32E92" w:rsidP="00C32E92">
            <w:pPr>
              <w:widowControl w:val="0"/>
              <w:tabs>
                <w:tab w:val="left" w:pos="622"/>
              </w:tabs>
              <w:jc w:val="both"/>
              <w:rPr>
                <w:rFonts w:ascii="Times New Roman" w:hAnsi="Times New Roman" w:cs="Times New Roman"/>
                <w:bCs/>
              </w:rPr>
            </w:pPr>
            <w:r w:rsidRPr="00C32E92">
              <w:rPr>
                <w:rFonts w:ascii="Times New Roman" w:hAnsi="Times New Roman" w:cs="Times New Roman"/>
                <w:bCs/>
              </w:rPr>
              <w:t>Pagal veiksmų programą ESF finansavimą ugdymo kokybei gerinti gavusių mokyklų, kurių mokinių ugdymo pasiekimai pagerėjo,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595"/>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Sumažinti anksti iš švietimo sistemos pasitraukusių ir bendrojo ugdymo programos nebaigusių asmenų skaičių</w:t>
            </w:r>
          </w:p>
        </w:tc>
        <w:tc>
          <w:tcPr>
            <w:tcW w:w="3119" w:type="dxa"/>
            <w:tcBorders>
              <w:right w:val="single" w:sz="4" w:space="0" w:color="auto"/>
            </w:tcBorders>
            <w:shd w:val="clear" w:color="auto" w:fill="auto"/>
          </w:tcPr>
          <w:p w:rsidR="00C32E92" w:rsidRPr="00C32E92" w:rsidRDefault="00C32E92" w:rsidP="00C32E92">
            <w:pPr>
              <w:widowControl w:val="0"/>
              <w:tabs>
                <w:tab w:val="left" w:pos="622"/>
              </w:tabs>
              <w:jc w:val="both"/>
              <w:rPr>
                <w:rFonts w:ascii="Times New Roman" w:hAnsi="Times New Roman" w:cs="Times New Roman"/>
                <w:bCs/>
              </w:rPr>
            </w:pPr>
            <w:r w:rsidRPr="00C32E92">
              <w:rPr>
                <w:rFonts w:ascii="Times New Roman" w:hAnsi="Times New Roman" w:cs="Times New Roman"/>
                <w:bCs/>
              </w:rPr>
              <w:t>Mokyklos nelankančių mokinių dalies sumažėjimas mokyklose, kurios pagal veiksmų programą ESF lėšomis įgyvendino ankstyvojo pasitraukimo iš mokyklos prevencijos bei kompensacijos priemones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1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bCs/>
                <w:iCs/>
              </w:rPr>
              <w:t>Aukštojo ir lygiaverčio jam mokslo kokybės, veiksmingumo ir prieinamumo didinimas, siekiant didesnės studentų įtraukties ir geresnio mokymosi pažangumo, atkreipiant dėmesį į atskirties grupes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Siekiant geresnės studijų atitikties darbo rinkos ir visuomenės poreikiams, gerinti studijų kokybę ir didinti studijų prieinamumą</w:t>
            </w:r>
          </w:p>
        </w:tc>
        <w:tc>
          <w:tcPr>
            <w:tcW w:w="3119" w:type="dxa"/>
            <w:tcBorders>
              <w:right w:val="single" w:sz="4" w:space="0" w:color="auto"/>
            </w:tcBorders>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Studentų, kurie pagal veiksmų programą ESF lėšomis bent dalį studijų laikotarpio mokėsi užsienio aukštosiose mokyklose,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tcBorders>
              <w:right w:val="single" w:sz="4" w:space="0" w:color="auto"/>
            </w:tcBorders>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Studentų, pagal veiksmų programą ESF lėšomis atlikusių praktiką įmonėse ir organizacijose,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150"/>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iCs/>
              </w:rPr>
              <w:t>Stiprinti aukštojo mokslo stebėseną, išorinį vertinimą ir efektyvų studijų valdymą, siekiant nuolatinio studijų kokybės gerinimo</w:t>
            </w:r>
          </w:p>
        </w:tc>
        <w:tc>
          <w:tcPr>
            <w:tcW w:w="3119" w:type="dxa"/>
            <w:tcBorders>
              <w:right w:val="single" w:sz="4" w:space="0" w:color="auto"/>
            </w:tcBorders>
            <w:shd w:val="clear" w:color="auto" w:fill="auto"/>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Aukštųjų mokyklų, kurioms pagal veiksmų programą ESF lėšomis buvo atliktas išorinis vertinimas,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81"/>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Sustiprinti viešojo sektoriaus tyrėjų gebėjimus bei pajėgumus vykdyti aukšto lygio MTEP veiklas</w:t>
            </w:r>
          </w:p>
        </w:tc>
        <w:tc>
          <w:tcPr>
            <w:tcW w:w="3119" w:type="dxa"/>
            <w:tcBorders>
              <w:right w:val="single" w:sz="4" w:space="0" w:color="auto"/>
            </w:tcBorders>
            <w:shd w:val="clear" w:color="auto" w:fill="auto"/>
            <w:vAlign w:val="center"/>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lang w:eastAsia="lt-LT"/>
              </w:rPr>
              <w:t>Asmenų, kurie po dalyvavimo ESF veiklose baigė doktorantūros studijas,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140"/>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bCs/>
                <w:iCs/>
              </w:rPr>
              <w:t>Vienodų galimybių formaliai, neformaliai ir savarankiškai mokytis visą gyvenimą suteikimas visoms amžiaus grupėms, darbuotojų žinių, įgūdžių ir kompetencijos ugdymas ir lanksčių mokymosi būdų, be kita ko, pasitelkiant profesinį mokymą ir įgytos kompetencijos pripažinimą, skatinimas</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Padidinti profesinio ir suaugusiųjų mokymo atitiktį darbo rinkos poreikiams ir patrauklumą</w:t>
            </w:r>
          </w:p>
        </w:tc>
        <w:tc>
          <w:tcPr>
            <w:tcW w:w="3119" w:type="dxa"/>
            <w:tcBorders>
              <w:right w:val="single" w:sz="4" w:space="0" w:color="auto"/>
            </w:tcBorders>
            <w:shd w:val="clear" w:color="auto" w:fill="auto"/>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Mokinių, kurie mokėsi pagal veiksmų programą ESF lėšomis parengtas arba atnaujintas modulines profesinio mokymo programas,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094"/>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bCs/>
                <w:iCs/>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bCs/>
              </w:rPr>
            </w:pPr>
          </w:p>
        </w:tc>
        <w:tc>
          <w:tcPr>
            <w:tcW w:w="3119" w:type="dxa"/>
            <w:tcBorders>
              <w:right w:val="single" w:sz="4" w:space="0" w:color="auto"/>
            </w:tcBorders>
            <w:shd w:val="clear" w:color="auto" w:fill="auto"/>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Mokinių, kurie pagal veiksmų programą ESF lėšomis baigę profesinio mokymo programos dalį darbo vietoje, įgijo kvalifikaciją,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74"/>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bCs/>
                <w:iCs/>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bCs/>
              </w:rPr>
            </w:pPr>
          </w:p>
        </w:tc>
        <w:tc>
          <w:tcPr>
            <w:tcW w:w="3119" w:type="dxa"/>
            <w:tcBorders>
              <w:right w:val="single" w:sz="4" w:space="0" w:color="auto"/>
            </w:tcBorders>
            <w:shd w:val="clear" w:color="auto" w:fill="auto"/>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Mokinių, kurie mokosi pagal profesinio mokymo programas, kurios pagal veiksmų programą ESF lėšomis buvo įvertintos išoriniu vertinimu,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695"/>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iCs/>
              </w:rPr>
              <w:t>Sukurti sąlygas ir paskatas mokymuisi visą gyvenimą, užtikrinant veiksmingą pagalbą tobulinantis</w:t>
            </w:r>
          </w:p>
        </w:tc>
        <w:tc>
          <w:tcPr>
            <w:tcW w:w="3119" w:type="dxa"/>
            <w:tcBorders>
              <w:right w:val="single" w:sz="4" w:space="0" w:color="auto"/>
            </w:tcBorders>
            <w:shd w:val="clear" w:color="auto" w:fill="auto"/>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Asmenų, kurie įgijo valstybės pripažįstamą kvalifikaciją po dalyvavimo ESF veiklose, dalis</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13"/>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Padidinti dirbančių žmogiškųjų išteklių konkurencingumą, užtikrinant galimybes prisitaikyti prie ūkio poreikių</w:t>
            </w:r>
          </w:p>
        </w:tc>
        <w:tc>
          <w:tcPr>
            <w:tcW w:w="3119" w:type="dxa"/>
            <w:tcBorders>
              <w:right w:val="single" w:sz="4" w:space="0" w:color="auto"/>
            </w:tcBorders>
            <w:shd w:val="clear" w:color="auto" w:fill="auto"/>
            <w:vAlign w:val="center"/>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bCs/>
              </w:rPr>
              <w:t>Sėkmingai mokymus baigusių asmenų, kurie taiko įgytas žinias darbe, dalis praėjus ne mažiau kaip 6 mėn., bet ne daugiau kaip 24 mėn. po dalyvavimo ESF veiklose</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Calibri" w:hAnsi="Times New Roman" w:cs="Times New Roman"/>
              </w:rPr>
              <w:t>Visuomenės poreikius atitinkantis ir pažangus viešasis valdymas</w:t>
            </w: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Institucinių pajėgumų stiprinimas ir veiksmingas viešasis administravimas</w:t>
            </w: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rPr>
              <w:t>Investavimas į institucinių gebėjimų stiprinimą ir veiksmingesnį viešąjį administravimą bei viešąsias paslaugas nacionaliniu, regionų ir vietos lygmenimis, siekiant reformų, geresnio reglamentavimo ir gero valdymo</w:t>
            </w:r>
          </w:p>
        </w:tc>
        <w:tc>
          <w:tcPr>
            <w:tcW w:w="2693"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rPr>
              <w:t>Padidinti valdymo orientaciją į rezultatus</w:t>
            </w: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Valstybės ir savivaldybių institucijų ir įstaigų, kurios naudoja pagal veiksmų programą ESF lėšomis įgyvendintas veiklos valdymo tobulinimo priemones, dalis</w:t>
            </w:r>
          </w:p>
        </w:tc>
        <w:tc>
          <w:tcPr>
            <w:tcW w:w="850" w:type="dxa"/>
            <w:vMerge w:val="restart"/>
            <w:tcBorders>
              <w:top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ESF</w:t>
            </w:r>
          </w:p>
        </w:tc>
        <w:tc>
          <w:tcPr>
            <w:tcW w:w="1276" w:type="dxa"/>
            <w:vMerge w:val="restart"/>
            <w:tcBorders>
              <w:top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122.959.184</w:t>
            </w:r>
          </w:p>
        </w:tc>
        <w:tc>
          <w:tcPr>
            <w:tcW w:w="1134" w:type="dxa"/>
            <w:vMerge w:val="restart"/>
            <w:tcBorders>
              <w:top w:val="single" w:sz="4" w:space="0" w:color="auto"/>
            </w:tcBorders>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val="en-US" w:eastAsia="lt-LT"/>
              </w:rPr>
            </w:pPr>
            <w:r w:rsidRPr="00C32E92">
              <w:rPr>
                <w:rFonts w:ascii="Times New Roman" w:eastAsia="AngsanaUPC" w:hAnsi="Times New Roman" w:cs="Times New Roman"/>
                <w:bCs/>
                <w:lang w:eastAsia="lt-LT"/>
              </w:rPr>
              <w:t xml:space="preserve">1,8 </w:t>
            </w:r>
            <w:r w:rsidRPr="00C32E92">
              <w:rPr>
                <w:rFonts w:ascii="Times New Roman" w:eastAsia="AngsanaUPC" w:hAnsi="Times New Roman" w:cs="Times New Roman"/>
                <w:bCs/>
                <w:lang w:val="en-US" w:eastAsia="lt-LT"/>
              </w:rPr>
              <w:t>%</w:t>
            </w:r>
          </w:p>
        </w:tc>
      </w:tr>
      <w:tr w:rsidR="00C32E92" w:rsidRPr="00C32E92" w:rsidTr="00C32E92">
        <w:trPr>
          <w:trHeight w:val="507"/>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bCs/>
              </w:rPr>
              <w:t>Padidinti viešojo valdymo procesų skaidrumą ir atvirumą</w:t>
            </w: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 xml:space="preserve">Viešųjų pirkimų, per kalendorinius metus vykdytų pagal veiksmų programą ESF lėšomis atnaujintoje centrinėje viešųjų pirkimų </w:t>
            </w:r>
            <w:r w:rsidRPr="00C32E92">
              <w:rPr>
                <w:rFonts w:ascii="Times New Roman" w:hAnsi="Times New Roman" w:cs="Times New Roman"/>
                <w:bCs/>
              </w:rPr>
              <w:lastRenderedPageBreak/>
              <w:t>informacinėje sistemoje,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221"/>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Asmenų, kurie praėjus 6 mėnesiams po dalyvavimo ESF veiklose, skirtose stiprinti kompetencijas korupcijos prevencijos ar tarnybinės (profesinės) etikos srityje, darbe taiko įgytas žinias ir gebėjimus,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41"/>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Calibri" w:hAnsi="Times New Roman" w:cs="Times New Roman"/>
              </w:rPr>
              <w:t>Pagerinti visuomenei teikiamų paslaugų kokybę, didinant jų atitikimą visuomenės poreikiams</w:t>
            </w: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Valstybės ir savivaldybių institucijų ir įstaigų, pagal veiksmų programą ESF lėšomis įgyvendinusių paslaugų ir (ar) aptarnavimo kokybei gerinti skirtos priemonės,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88"/>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Calibri" w:hAnsi="Times New Roman" w:cs="Times New Roman"/>
              </w:rPr>
              <w:t>Pagerinti verslo reguliavimo aplinką</w:t>
            </w: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eastAsia="Calibri" w:hAnsi="Times New Roman" w:cs="Times New Roman"/>
              </w:rPr>
              <w:t xml:space="preserve">Dėl pagal </w:t>
            </w:r>
            <w:r w:rsidRPr="00C32E92">
              <w:rPr>
                <w:rFonts w:ascii="Times New Roman" w:eastAsia="Calibri" w:hAnsi="Times New Roman" w:cs="Times New Roman"/>
                <w:bCs/>
                <w:iCs/>
              </w:rPr>
              <w:t>veiksmų programą ESF</w:t>
            </w:r>
            <w:r w:rsidRPr="00C32E92">
              <w:rPr>
                <w:rFonts w:ascii="Times New Roman" w:eastAsia="Calibri" w:hAnsi="Times New Roman" w:cs="Times New Roman"/>
              </w:rPr>
              <w:t xml:space="preserve"> lėšomis įgyvendintų geresnio reglamentavimo iniciatyvų sumažėjusi administracinė ir (ar) kita reguliavimo našta verslui</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105"/>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eastAsia="Calibri" w:hAnsi="Times New Roman" w:cs="Times New Roman"/>
              </w:rPr>
              <w:t xml:space="preserve">Ūkio subjektų veiklos priežiūros institucijų, kuriose pagal </w:t>
            </w:r>
            <w:r w:rsidRPr="00C32E92">
              <w:rPr>
                <w:rFonts w:ascii="Times New Roman" w:eastAsia="Calibri" w:hAnsi="Times New Roman" w:cs="Times New Roman"/>
                <w:bCs/>
                <w:iCs/>
              </w:rPr>
              <w:t>veiksmų programą ESF</w:t>
            </w:r>
            <w:r w:rsidRPr="00C32E92">
              <w:rPr>
                <w:rFonts w:ascii="Times New Roman" w:eastAsia="Calibri" w:hAnsi="Times New Roman" w:cs="Times New Roman"/>
              </w:rPr>
              <w:t xml:space="preserve"> lėšomis įdiegtos ar patobulintos pažangios verslo priežiūros priemonės,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65"/>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jc w:val="both"/>
              <w:rPr>
                <w:rFonts w:ascii="Times New Roman" w:eastAsia="Calibri" w:hAnsi="Times New Roman" w:cs="Times New Roman"/>
              </w:rPr>
            </w:pPr>
            <w:r w:rsidRPr="00C32E92">
              <w:rPr>
                <w:rFonts w:ascii="Times New Roman" w:eastAsia="Calibri" w:hAnsi="Times New Roman" w:cs="Times New Roman"/>
              </w:rPr>
              <w:t>Teismų, kuriuose pagal veiksmų programą ESF lėšomis įgyvendintos teisingumo vykdymo efektyvumui didinti skirtos priemonės,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40"/>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Calibri" w:hAnsi="Times New Roman" w:cs="Times New Roman"/>
              </w:rPr>
              <w:t>Pagerinti žmogiškųjų išteklių valdymą valstybinėje tarnyboje</w:t>
            </w: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Aukštesniųjų vadovų, dalyvaujančių pagal veiksmų programą ESF lėšomis finansuotuose aukštesniųjų vadovų bendradarbiavimo tinkluose,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276"/>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jc w:val="both"/>
              <w:rPr>
                <w:rFonts w:ascii="Times New Roman" w:hAnsi="Times New Roman" w:cs="Times New Roman"/>
                <w:bCs/>
              </w:rPr>
            </w:pPr>
            <w:r w:rsidRPr="00C32E92">
              <w:rPr>
                <w:rFonts w:ascii="Times New Roman" w:hAnsi="Times New Roman" w:cs="Times New Roman"/>
                <w:bCs/>
              </w:rPr>
              <w:t xml:space="preserve">Valstybės ir savivaldybių institucijų ir įstaigų, kuriose taikomas pagal </w:t>
            </w:r>
            <w:r w:rsidRPr="00C32E92">
              <w:rPr>
                <w:rFonts w:ascii="Times New Roman" w:hAnsi="Times New Roman" w:cs="Times New Roman"/>
                <w:bCs/>
              </w:rPr>
              <w:lastRenderedPageBreak/>
              <w:t>veiksmų programą ESF lėšomis įdiegtas kompetencijomis grįstas valstybės tarnybos žmogiškųjų išteklių valdymas,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61"/>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vAlign w:val="center"/>
          </w:tcPr>
          <w:p w:rsidR="00C32E92" w:rsidRPr="00C32E92" w:rsidRDefault="00C32E92" w:rsidP="00C32E92">
            <w:pPr>
              <w:widowControl w:val="0"/>
              <w:tabs>
                <w:tab w:val="left" w:pos="622"/>
              </w:tabs>
              <w:jc w:val="both"/>
              <w:rPr>
                <w:rFonts w:ascii="Times New Roman" w:hAnsi="Times New Roman" w:cs="Times New Roman"/>
                <w:bCs/>
              </w:rPr>
            </w:pPr>
            <w:r w:rsidRPr="00C32E92">
              <w:rPr>
                <w:rFonts w:ascii="Times New Roman" w:hAnsi="Times New Roman" w:cs="Times New Roman"/>
                <w:bCs/>
              </w:rPr>
              <w:t>Asmenų, kurie praėjus 6 mėnesiams po dalyvavimo ESF veiklose, skirtose stiprinti strategines kompetencijas, darbe taiko įgytas žinias ir gebėjimus, dalis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094"/>
        </w:trPr>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AngsanaUPC" w:hAnsi="Times New Roman" w:cs="Times New Roman"/>
                <w:bCs/>
                <w:iCs/>
                <w:lang w:eastAsia="lt-LT"/>
              </w:rPr>
              <w:t>Techninė parama veiksmų programai administruoti</w:t>
            </w: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w:t>
            </w: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rPr>
              <w:t>-</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Calibri" w:hAnsi="Times New Roman" w:cs="Times New Roman"/>
              </w:rPr>
              <w:t>Užtikrinti efektyvų veiksmų programos administravimą</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AngsanaUPC" w:hAnsi="Times New Roman" w:cs="Times New Roman"/>
                <w:bCs/>
                <w:lang w:eastAsia="lt-LT"/>
              </w:rPr>
              <w:t>Išlaidų, apmokamų taikant supaprastintus išlaidų apmokėjimo būdus ESF projektuose, dalis nuo visų apmokamų ESF projektų išlaidų</w:t>
            </w:r>
          </w:p>
        </w:tc>
        <w:tc>
          <w:tcPr>
            <w:tcW w:w="850"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roofErr w:type="spellStart"/>
            <w:r w:rsidRPr="00C32E92">
              <w:rPr>
                <w:rFonts w:ascii="Times New Roman" w:eastAsia="AngsanaUPC" w:hAnsi="Times New Roman" w:cs="Times New Roman"/>
                <w:bCs/>
                <w:lang w:eastAsia="lt-LT"/>
              </w:rPr>
              <w:t>SaF</w:t>
            </w:r>
            <w:proofErr w:type="spellEnd"/>
          </w:p>
        </w:tc>
        <w:tc>
          <w:tcPr>
            <w:tcW w:w="1276"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187.543.198</w:t>
            </w:r>
          </w:p>
        </w:tc>
        <w:tc>
          <w:tcPr>
            <w:tcW w:w="1134"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val="en-US" w:eastAsia="lt-LT"/>
              </w:rPr>
            </w:pPr>
            <w:r w:rsidRPr="00C32E92">
              <w:rPr>
                <w:rFonts w:ascii="Times New Roman" w:eastAsia="AngsanaUPC" w:hAnsi="Times New Roman" w:cs="Times New Roman"/>
                <w:bCs/>
                <w:lang w:eastAsia="lt-LT"/>
              </w:rPr>
              <w:t xml:space="preserve">2,8 </w:t>
            </w:r>
            <w:r w:rsidRPr="00C32E92">
              <w:rPr>
                <w:rFonts w:ascii="Times New Roman" w:eastAsia="AngsanaUPC" w:hAnsi="Times New Roman" w:cs="Times New Roman"/>
                <w:bCs/>
                <w:lang w:val="en-US" w:eastAsia="lt-LT"/>
              </w:rPr>
              <w:t>%</w:t>
            </w:r>
          </w:p>
        </w:tc>
      </w:tr>
      <w:tr w:rsidR="00C32E92" w:rsidRPr="00C32E92" w:rsidTr="00C32E92">
        <w:trPr>
          <w:trHeight w:val="1071"/>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Išlaidų, apmokamų taikant supaprastintus išlaidų apmokėjimo būdus ERPF projektuose, dalis nuo visų apmokamų ERPF projektų išlaidų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1059"/>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 xml:space="preserve">Išlaidų, apmokamų taikant supaprastintus išlaidų apmokėjimo būdus </w:t>
            </w:r>
            <w:proofErr w:type="spellStart"/>
            <w:r w:rsidRPr="00C32E92">
              <w:rPr>
                <w:rFonts w:ascii="Times New Roman" w:eastAsia="AngsanaUPC" w:hAnsi="Times New Roman" w:cs="Times New Roman"/>
                <w:bCs/>
                <w:lang w:eastAsia="lt-LT"/>
              </w:rPr>
              <w:t>SaF</w:t>
            </w:r>
            <w:proofErr w:type="spellEnd"/>
            <w:r w:rsidRPr="00C32E92">
              <w:rPr>
                <w:rFonts w:ascii="Times New Roman" w:eastAsia="AngsanaUPC" w:hAnsi="Times New Roman" w:cs="Times New Roman"/>
                <w:bCs/>
                <w:lang w:eastAsia="lt-LT"/>
              </w:rPr>
              <w:t xml:space="preserve"> projektuose, dalis nuo visų apmokamų </w:t>
            </w:r>
            <w:proofErr w:type="spellStart"/>
            <w:r w:rsidRPr="00C32E92">
              <w:rPr>
                <w:rFonts w:ascii="Times New Roman" w:eastAsia="AngsanaUPC" w:hAnsi="Times New Roman" w:cs="Times New Roman"/>
                <w:bCs/>
                <w:lang w:eastAsia="lt-LT"/>
              </w:rPr>
              <w:t>SaF</w:t>
            </w:r>
            <w:proofErr w:type="spellEnd"/>
            <w:r w:rsidRPr="00C32E92">
              <w:rPr>
                <w:rFonts w:ascii="Times New Roman" w:eastAsia="AngsanaUPC" w:hAnsi="Times New Roman" w:cs="Times New Roman"/>
                <w:bCs/>
                <w:lang w:eastAsia="lt-LT"/>
              </w:rPr>
              <w:t xml:space="preserve"> projektų išlaidų</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309"/>
        </w:trPr>
        <w:tc>
          <w:tcPr>
            <w:tcW w:w="1668"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iCs/>
                <w:lang w:eastAsia="lt-LT"/>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ES fondus administruojančio personalo kaita</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25"/>
        </w:trPr>
        <w:tc>
          <w:tcPr>
            <w:tcW w:w="1668" w:type="dxa"/>
            <w:vMerge w:val="restart"/>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AngsanaUPC" w:hAnsi="Times New Roman" w:cs="Times New Roman"/>
                <w:bCs/>
                <w:iCs/>
                <w:lang w:eastAsia="lt-LT"/>
              </w:rPr>
              <w:t>Techninė parama, skirta informuoti apie veiksmų programą ir jai vertinti</w:t>
            </w:r>
          </w:p>
        </w:tc>
        <w:tc>
          <w:tcPr>
            <w:tcW w:w="1559"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w:t>
            </w:r>
          </w:p>
        </w:tc>
        <w:tc>
          <w:tcPr>
            <w:tcW w:w="2835" w:type="dxa"/>
            <w:vMerge w:val="restart"/>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r w:rsidRPr="00C32E92">
              <w:rPr>
                <w:rFonts w:ascii="Times New Roman" w:eastAsia="Calibri" w:hAnsi="Times New Roman" w:cs="Times New Roman"/>
              </w:rPr>
              <w:t>-</w:t>
            </w:r>
          </w:p>
        </w:tc>
        <w:tc>
          <w:tcPr>
            <w:tcW w:w="2693" w:type="dxa"/>
            <w:vMerge w:val="restart"/>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Calibri" w:hAnsi="Times New Roman" w:cs="Times New Roman"/>
              </w:rPr>
              <w:t>Užtikrinti informavimą apie ES fondų investicijas</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color w:val="000000"/>
                <w:lang w:eastAsia="lt-LT"/>
              </w:rPr>
              <w:t xml:space="preserve">Dalis potencialių pareiškėjų, kuriuos tenkina turima informacija </w:t>
            </w:r>
          </w:p>
        </w:tc>
        <w:tc>
          <w:tcPr>
            <w:tcW w:w="850"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ESF</w:t>
            </w:r>
          </w:p>
        </w:tc>
        <w:tc>
          <w:tcPr>
            <w:tcW w:w="1276"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AngsanaUPC" w:hAnsi="Times New Roman" w:cs="Times New Roman"/>
                <w:bCs/>
                <w:lang w:eastAsia="lt-LT"/>
              </w:rPr>
              <w:t>25.812.183</w:t>
            </w:r>
          </w:p>
        </w:tc>
        <w:tc>
          <w:tcPr>
            <w:tcW w:w="1134" w:type="dxa"/>
            <w:vMerge w:val="restart"/>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val="en-US" w:eastAsia="lt-LT"/>
              </w:rPr>
            </w:pPr>
            <w:r w:rsidRPr="00C32E92">
              <w:rPr>
                <w:rFonts w:ascii="Times New Roman" w:eastAsia="AngsanaUPC" w:hAnsi="Times New Roman" w:cs="Times New Roman"/>
                <w:bCs/>
                <w:lang w:eastAsia="lt-LT"/>
              </w:rPr>
              <w:t xml:space="preserve">0,4 </w:t>
            </w:r>
            <w:r w:rsidRPr="00C32E92">
              <w:rPr>
                <w:rFonts w:ascii="Times New Roman" w:eastAsia="AngsanaUPC" w:hAnsi="Times New Roman" w:cs="Times New Roman"/>
                <w:bCs/>
                <w:lang w:val="en-US" w:eastAsia="lt-LT"/>
              </w:rPr>
              <w:t>%</w:t>
            </w:r>
          </w:p>
        </w:tc>
      </w:tr>
      <w:tr w:rsidR="00C32E92" w:rsidRPr="00C32E92" w:rsidTr="00C32E92">
        <w:trPr>
          <w:trHeight w:val="564"/>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r w:rsidRPr="00C32E92">
              <w:rPr>
                <w:rFonts w:ascii="Times New Roman" w:eastAsia="Calibri" w:hAnsi="Times New Roman" w:cs="Times New Roman"/>
                <w:color w:val="000000"/>
                <w:szCs w:val="18"/>
                <w:lang w:eastAsia="lt-LT"/>
              </w:rPr>
              <w:t>Dalis projektų vykdytojų, kuriems pakanka informacijos, kaip tinkamai įgyvendinti projektą</w:t>
            </w:r>
            <w:r w:rsidRPr="00C32E92">
              <w:rPr>
                <w:rFonts w:ascii="Times New Roman" w:eastAsia="Calibri" w:hAnsi="Times New Roman" w:cs="Times New Roman"/>
                <w:color w:val="000000"/>
                <w:sz w:val="18"/>
                <w:szCs w:val="18"/>
                <w:lang w:eastAsia="lt-LT"/>
              </w:rPr>
              <w:t xml:space="preserve"> </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76"/>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3119" w:type="dxa"/>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color w:val="000000"/>
                <w:lang w:eastAsia="lt-LT"/>
              </w:rPr>
            </w:pPr>
            <w:r w:rsidRPr="00C32E92">
              <w:rPr>
                <w:rFonts w:ascii="Times New Roman" w:eastAsia="Calibri" w:hAnsi="Times New Roman" w:cs="Times New Roman"/>
                <w:color w:val="000000"/>
                <w:lang w:eastAsia="lt-LT"/>
              </w:rPr>
              <w:t xml:space="preserve">Dalis gyventojų, teigiančių, kad ES investicijos padeda siekti teigiamų socialinių ir ekonominių pokyčių šalyje ir prisideda prie gyventojų gyvenimo kokybės gerinimo </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r>
      <w:tr w:rsidR="00C32E92" w:rsidRPr="00C32E92" w:rsidTr="00C32E92">
        <w:trPr>
          <w:trHeight w:val="565"/>
        </w:trPr>
        <w:tc>
          <w:tcPr>
            <w:tcW w:w="1668" w:type="dxa"/>
            <w:vMerge/>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p>
        </w:tc>
        <w:tc>
          <w:tcPr>
            <w:tcW w:w="1559"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2835" w:type="dxa"/>
            <w:vMerge/>
            <w:shd w:val="clear" w:color="auto" w:fill="auto"/>
          </w:tcPr>
          <w:p w:rsidR="00C32E92" w:rsidRPr="00C32E92" w:rsidRDefault="00C32E92" w:rsidP="00C32E92">
            <w:pPr>
              <w:widowControl w:val="0"/>
              <w:tabs>
                <w:tab w:val="left" w:pos="1276"/>
              </w:tabs>
              <w:adjustRightInd w:val="0"/>
              <w:jc w:val="both"/>
              <w:textAlignment w:val="baseline"/>
              <w:rPr>
                <w:rFonts w:ascii="Times New Roman" w:eastAsia="Calibri" w:hAnsi="Times New Roman" w:cs="Times New Roman"/>
              </w:rPr>
            </w:pPr>
          </w:p>
        </w:tc>
        <w:tc>
          <w:tcPr>
            <w:tcW w:w="2693" w:type="dxa"/>
            <w:shd w:val="clear" w:color="auto" w:fill="auto"/>
          </w:tcPr>
          <w:p w:rsidR="00C32E92" w:rsidRPr="00C32E92" w:rsidRDefault="00C32E92" w:rsidP="00C32E92">
            <w:pPr>
              <w:widowControl w:val="0"/>
              <w:tabs>
                <w:tab w:val="left" w:pos="622"/>
              </w:tabs>
              <w:jc w:val="both"/>
              <w:rPr>
                <w:rFonts w:ascii="Times New Roman" w:eastAsia="Calibri" w:hAnsi="Times New Roman" w:cs="Times New Roman"/>
              </w:rPr>
            </w:pPr>
            <w:r w:rsidRPr="00C32E92">
              <w:rPr>
                <w:rFonts w:ascii="Times New Roman" w:eastAsia="Calibri" w:hAnsi="Times New Roman" w:cs="Times New Roman"/>
              </w:rPr>
              <w:t>Užtikrinti ES fondų investicijų vertinimą</w:t>
            </w:r>
          </w:p>
        </w:tc>
        <w:tc>
          <w:tcPr>
            <w:tcW w:w="3119" w:type="dxa"/>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r w:rsidRPr="00C32E92">
              <w:rPr>
                <w:rFonts w:ascii="Times New Roman" w:eastAsia="AngsanaUPC" w:hAnsi="Times New Roman" w:cs="Times New Roman"/>
                <w:bCs/>
                <w:lang w:eastAsia="lt-LT"/>
              </w:rPr>
              <w:t>Įgyvendintos rekomendacijos</w:t>
            </w:r>
          </w:p>
        </w:tc>
        <w:tc>
          <w:tcPr>
            <w:tcW w:w="850"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Cs/>
                <w:lang w:eastAsia="lt-LT"/>
              </w:rPr>
            </w:pPr>
          </w:p>
        </w:tc>
        <w:tc>
          <w:tcPr>
            <w:tcW w:w="1276"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c>
          <w:tcPr>
            <w:tcW w:w="1134" w:type="dxa"/>
            <w:vMerge/>
            <w:shd w:val="clear" w:color="auto" w:fill="auto"/>
          </w:tcPr>
          <w:p w:rsidR="00C32E92" w:rsidRPr="00C32E92" w:rsidRDefault="00C32E92" w:rsidP="00C32E92">
            <w:pPr>
              <w:widowControl w:val="0"/>
              <w:tabs>
                <w:tab w:val="left" w:pos="622"/>
              </w:tabs>
              <w:jc w:val="both"/>
              <w:rPr>
                <w:rFonts w:ascii="Times New Roman" w:eastAsia="AngsanaUPC" w:hAnsi="Times New Roman" w:cs="Times New Roman"/>
                <w:b/>
                <w:bCs/>
                <w:lang w:eastAsia="lt-LT"/>
              </w:rPr>
            </w:pPr>
          </w:p>
        </w:tc>
      </w:tr>
      <w:tr w:rsidR="00EE6C7D" w:rsidRPr="00C32E92" w:rsidTr="00C32E92">
        <w:trPr>
          <w:trHeight w:val="565"/>
        </w:trPr>
        <w:tc>
          <w:tcPr>
            <w:tcW w:w="1668" w:type="dxa"/>
            <w:vMerge w:val="restart"/>
            <w:shd w:val="clear" w:color="auto" w:fill="auto"/>
          </w:tcPr>
          <w:p w:rsidR="00EE6C7D" w:rsidRPr="001F4C4B" w:rsidRDefault="00EE6C7D" w:rsidP="00C32E92">
            <w:pPr>
              <w:widowControl w:val="0"/>
              <w:tabs>
                <w:tab w:val="left" w:pos="622"/>
              </w:tabs>
              <w:jc w:val="both"/>
              <w:rPr>
                <w:rFonts w:ascii="Times New Roman" w:eastAsia="Calibri" w:hAnsi="Times New Roman" w:cs="Times New Roman"/>
                <w:b/>
              </w:rPr>
            </w:pPr>
            <w:r w:rsidRPr="001F4C4B">
              <w:rPr>
                <w:rFonts w:ascii="Times New Roman" w:eastAsia="Calibri" w:hAnsi="Times New Roman" w:cs="Times New Roman"/>
                <w:b/>
              </w:rPr>
              <w:t xml:space="preserve">Veiksmų, skirtų COVID-19 pandemijos sukeltai krizei įveikti, skatinimas ir pasirengimas </w:t>
            </w:r>
            <w:r>
              <w:rPr>
                <w:rFonts w:ascii="Times New Roman" w:eastAsia="Calibri" w:hAnsi="Times New Roman" w:cs="Times New Roman"/>
                <w:b/>
              </w:rPr>
              <w:t>aplinką tausojančiam</w:t>
            </w:r>
            <w:r w:rsidRPr="001F4C4B">
              <w:rPr>
                <w:rFonts w:ascii="Times New Roman" w:eastAsia="Calibri" w:hAnsi="Times New Roman" w:cs="Times New Roman"/>
                <w:b/>
              </w:rPr>
              <w:t>, skaitmenin</w:t>
            </w:r>
            <w:r>
              <w:rPr>
                <w:rFonts w:ascii="Times New Roman" w:eastAsia="Calibri" w:hAnsi="Times New Roman" w:cs="Times New Roman"/>
                <w:b/>
              </w:rPr>
              <w:t>t</w:t>
            </w:r>
            <w:r w:rsidRPr="001F4C4B">
              <w:rPr>
                <w:rFonts w:ascii="Times New Roman" w:eastAsia="Calibri" w:hAnsi="Times New Roman" w:cs="Times New Roman"/>
                <w:b/>
              </w:rPr>
              <w:t xml:space="preserve">am ir </w:t>
            </w:r>
            <w:r>
              <w:rPr>
                <w:rFonts w:ascii="Times New Roman" w:eastAsia="Calibri" w:hAnsi="Times New Roman" w:cs="Times New Roman"/>
                <w:b/>
              </w:rPr>
              <w:t>tvariam</w:t>
            </w:r>
            <w:r w:rsidRPr="001F4C4B">
              <w:rPr>
                <w:rFonts w:ascii="Times New Roman" w:eastAsia="Calibri" w:hAnsi="Times New Roman" w:cs="Times New Roman"/>
                <w:b/>
              </w:rPr>
              <w:t xml:space="preserve"> ekonomikos atgaivinimui</w:t>
            </w:r>
          </w:p>
        </w:tc>
        <w:tc>
          <w:tcPr>
            <w:tcW w:w="1559" w:type="dxa"/>
            <w:vMerge w:val="restart"/>
            <w:shd w:val="clear" w:color="auto" w:fill="auto"/>
          </w:tcPr>
          <w:p w:rsidR="00EE6C7D" w:rsidRPr="001F4C4B" w:rsidRDefault="00EE6C7D" w:rsidP="00C32E92">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w:t>
            </w:r>
          </w:p>
        </w:tc>
        <w:tc>
          <w:tcPr>
            <w:tcW w:w="2835" w:type="dxa"/>
            <w:vMerge w:val="restart"/>
            <w:shd w:val="clear" w:color="auto" w:fill="auto"/>
          </w:tcPr>
          <w:p w:rsidR="00EE6C7D" w:rsidRPr="001F4C4B" w:rsidRDefault="00EE6C7D" w:rsidP="00C32E92">
            <w:pPr>
              <w:widowControl w:val="0"/>
              <w:tabs>
                <w:tab w:val="left" w:pos="1276"/>
              </w:tabs>
              <w:adjustRightInd w:val="0"/>
              <w:jc w:val="both"/>
              <w:textAlignment w:val="baseline"/>
              <w:rPr>
                <w:rFonts w:ascii="Times New Roman" w:eastAsia="Calibri" w:hAnsi="Times New Roman" w:cs="Times New Roman"/>
                <w:b/>
              </w:rPr>
            </w:pPr>
            <w:r w:rsidRPr="001F4C4B">
              <w:rPr>
                <w:rFonts w:ascii="Times New Roman" w:eastAsia="Calibri" w:hAnsi="Times New Roman" w:cs="Times New Roman"/>
                <w:b/>
              </w:rPr>
              <w:t>–</w:t>
            </w:r>
          </w:p>
        </w:tc>
        <w:tc>
          <w:tcPr>
            <w:tcW w:w="2693" w:type="dxa"/>
            <w:vMerge w:val="restart"/>
            <w:shd w:val="clear" w:color="auto" w:fill="auto"/>
          </w:tcPr>
          <w:p w:rsidR="00EE6C7D" w:rsidRPr="001F4C4B" w:rsidRDefault="00EE6C7D" w:rsidP="00C32E92">
            <w:pPr>
              <w:widowControl w:val="0"/>
              <w:tabs>
                <w:tab w:val="left" w:pos="622"/>
              </w:tabs>
              <w:jc w:val="both"/>
              <w:rPr>
                <w:rFonts w:ascii="Times New Roman" w:eastAsia="Calibri" w:hAnsi="Times New Roman" w:cs="Times New Roman"/>
                <w:b/>
              </w:rPr>
            </w:pPr>
            <w:r w:rsidRPr="001F4C4B">
              <w:rPr>
                <w:rFonts w:ascii="Times New Roman" w:eastAsia="Calibri" w:hAnsi="Times New Roman" w:cs="Times New Roman"/>
                <w:b/>
              </w:rPr>
              <w:t>Skatinti skaitmeninimą ir inovacijas, siekiant įveikti COVID-19 pandemijos sukeltas pasekmes ekonomikai</w:t>
            </w:r>
          </w:p>
        </w:tc>
        <w:tc>
          <w:tcPr>
            <w:tcW w:w="3119" w:type="dxa"/>
            <w:shd w:val="clear" w:color="auto" w:fill="auto"/>
          </w:tcPr>
          <w:p w:rsidR="00EE6C7D" w:rsidRPr="001F4C4B" w:rsidRDefault="00EE6C7D" w:rsidP="00C32E92">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Ūkio subjektų finansuota mokslo ir studijų institucijų MTEP išlaidų dalis nuo visų išlaidų</w:t>
            </w:r>
          </w:p>
        </w:tc>
        <w:tc>
          <w:tcPr>
            <w:tcW w:w="850" w:type="dxa"/>
            <w:vMerge w:val="restart"/>
            <w:shd w:val="clear" w:color="auto" w:fill="auto"/>
          </w:tcPr>
          <w:p w:rsidR="00EE6C7D" w:rsidRPr="001F4C4B" w:rsidRDefault="00EE6C7D" w:rsidP="00C32E92">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ERPF</w:t>
            </w:r>
          </w:p>
        </w:tc>
        <w:tc>
          <w:tcPr>
            <w:tcW w:w="1276" w:type="dxa"/>
            <w:vMerge w:val="restart"/>
            <w:shd w:val="clear" w:color="auto" w:fill="auto"/>
          </w:tcPr>
          <w:p w:rsidR="00EE6C7D" w:rsidRPr="00883011" w:rsidRDefault="00883011" w:rsidP="00C32E92">
            <w:pPr>
              <w:widowControl w:val="0"/>
              <w:tabs>
                <w:tab w:val="left" w:pos="622"/>
              </w:tabs>
              <w:jc w:val="both"/>
              <w:rPr>
                <w:rFonts w:ascii="Times New Roman" w:eastAsia="AngsanaUPC" w:hAnsi="Times New Roman" w:cs="Times New Roman"/>
                <w:b/>
                <w:bCs/>
                <w:lang w:eastAsia="lt-LT"/>
              </w:rPr>
            </w:pPr>
            <w:r w:rsidRPr="00883011">
              <w:rPr>
                <w:rFonts w:ascii="Times New Roman" w:eastAsia="AngsanaUPC" w:hAnsi="Times New Roman" w:cs="Times New Roman"/>
                <w:b/>
                <w:bCs/>
                <w:lang w:eastAsia="lt-LT"/>
              </w:rPr>
              <w:t>271.700.000</w:t>
            </w:r>
          </w:p>
        </w:tc>
        <w:tc>
          <w:tcPr>
            <w:tcW w:w="1134" w:type="dxa"/>
            <w:vMerge w:val="restart"/>
            <w:shd w:val="clear" w:color="auto" w:fill="auto"/>
          </w:tcPr>
          <w:p w:rsidR="00EE6C7D" w:rsidRPr="00883011" w:rsidRDefault="00883011" w:rsidP="00883011">
            <w:pPr>
              <w:widowControl w:val="0"/>
              <w:tabs>
                <w:tab w:val="left" w:pos="622"/>
              </w:tabs>
              <w:spacing w:line="360" w:lineRule="auto"/>
              <w:jc w:val="both"/>
              <w:rPr>
                <w:rFonts w:ascii="Times New Roman" w:eastAsia="AngsanaUPC" w:hAnsi="Times New Roman" w:cs="Times New Roman"/>
                <w:b/>
                <w:bCs/>
                <w:lang w:val="en-US" w:eastAsia="lt-LT"/>
              </w:rPr>
            </w:pPr>
            <w:r w:rsidRPr="00883011">
              <w:rPr>
                <w:rFonts w:ascii="Times New Roman" w:eastAsia="AngsanaUPC" w:hAnsi="Times New Roman" w:cs="Times New Roman"/>
                <w:b/>
                <w:bCs/>
                <w:lang w:eastAsia="lt-LT"/>
              </w:rPr>
              <w:t>3,9</w:t>
            </w:r>
            <w:r w:rsidRPr="00883011">
              <w:rPr>
                <w:rFonts w:ascii="Times New Roman" w:eastAsia="AngsanaUPC" w:hAnsi="Times New Roman" w:cs="Times New Roman"/>
                <w:b/>
                <w:bCs/>
                <w:lang w:val="en-US" w:eastAsia="lt-LT"/>
              </w:rPr>
              <w:t>%</w:t>
            </w:r>
          </w:p>
        </w:tc>
      </w:tr>
      <w:tr w:rsidR="00EE6C7D" w:rsidRPr="00C32E92" w:rsidTr="00C32E92">
        <w:trPr>
          <w:trHeight w:val="565"/>
        </w:trPr>
        <w:tc>
          <w:tcPr>
            <w:tcW w:w="1668" w:type="dxa"/>
            <w:vMerge/>
            <w:shd w:val="clear" w:color="auto" w:fill="auto"/>
          </w:tcPr>
          <w:p w:rsidR="00EE6C7D" w:rsidRPr="001F4C4B" w:rsidRDefault="00EE6C7D" w:rsidP="00C32E92">
            <w:pPr>
              <w:widowControl w:val="0"/>
              <w:tabs>
                <w:tab w:val="left" w:pos="622"/>
              </w:tabs>
              <w:jc w:val="both"/>
              <w:rPr>
                <w:rFonts w:ascii="Times New Roman" w:eastAsia="Calibri" w:hAnsi="Times New Roman" w:cs="Times New Roman"/>
                <w:b/>
              </w:rPr>
            </w:pPr>
          </w:p>
        </w:tc>
        <w:tc>
          <w:tcPr>
            <w:tcW w:w="1559" w:type="dxa"/>
            <w:vMerge/>
            <w:shd w:val="clear" w:color="auto" w:fill="auto"/>
          </w:tcPr>
          <w:p w:rsidR="00EE6C7D" w:rsidRPr="001F4C4B" w:rsidRDefault="00EE6C7D" w:rsidP="00C32E92">
            <w:pPr>
              <w:widowControl w:val="0"/>
              <w:tabs>
                <w:tab w:val="left" w:pos="622"/>
              </w:tabs>
              <w:jc w:val="both"/>
              <w:rPr>
                <w:rFonts w:ascii="Times New Roman" w:eastAsia="AngsanaUPC" w:hAnsi="Times New Roman" w:cs="Times New Roman"/>
                <w:b/>
                <w:bCs/>
                <w:lang w:eastAsia="lt-LT"/>
              </w:rPr>
            </w:pPr>
          </w:p>
        </w:tc>
        <w:tc>
          <w:tcPr>
            <w:tcW w:w="2835" w:type="dxa"/>
            <w:vMerge/>
            <w:shd w:val="clear" w:color="auto" w:fill="auto"/>
          </w:tcPr>
          <w:p w:rsidR="00EE6C7D" w:rsidRPr="001F4C4B" w:rsidRDefault="00EE6C7D" w:rsidP="00C32E92">
            <w:pPr>
              <w:widowControl w:val="0"/>
              <w:tabs>
                <w:tab w:val="left" w:pos="1276"/>
              </w:tabs>
              <w:adjustRightInd w:val="0"/>
              <w:jc w:val="both"/>
              <w:textAlignment w:val="baseline"/>
              <w:rPr>
                <w:rFonts w:ascii="Times New Roman" w:eastAsia="Calibri" w:hAnsi="Times New Roman" w:cs="Times New Roman"/>
                <w:b/>
              </w:rPr>
            </w:pPr>
          </w:p>
        </w:tc>
        <w:tc>
          <w:tcPr>
            <w:tcW w:w="2693" w:type="dxa"/>
            <w:vMerge/>
            <w:shd w:val="clear" w:color="auto" w:fill="auto"/>
          </w:tcPr>
          <w:p w:rsidR="00EE6C7D" w:rsidRPr="001F4C4B" w:rsidRDefault="00EE6C7D" w:rsidP="00C32E92">
            <w:pPr>
              <w:widowControl w:val="0"/>
              <w:tabs>
                <w:tab w:val="left" w:pos="622"/>
              </w:tabs>
              <w:jc w:val="both"/>
              <w:rPr>
                <w:rFonts w:ascii="Times New Roman" w:eastAsia="Calibri" w:hAnsi="Times New Roman" w:cs="Times New Roman"/>
                <w:b/>
              </w:rPr>
            </w:pPr>
          </w:p>
        </w:tc>
        <w:tc>
          <w:tcPr>
            <w:tcW w:w="3119" w:type="dxa"/>
            <w:shd w:val="clear" w:color="auto" w:fill="auto"/>
          </w:tcPr>
          <w:p w:rsidR="00EE6C7D" w:rsidRPr="001F4C4B" w:rsidRDefault="00EE6C7D" w:rsidP="00EE6C7D">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Verslo sektoriaus išlaidos MTEP, tenkančios vienam gyventojui</w:t>
            </w:r>
          </w:p>
          <w:p w:rsidR="00EE6C7D" w:rsidRPr="001F4C4B" w:rsidRDefault="00EE6C7D" w:rsidP="00EE6C7D">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Pridėtinė vertė gamybos sąnaudomis, sukurta MVĮ, tenkanti vienam darbuotojui</w:t>
            </w:r>
          </w:p>
        </w:tc>
        <w:tc>
          <w:tcPr>
            <w:tcW w:w="850" w:type="dxa"/>
            <w:vMerge/>
            <w:shd w:val="clear" w:color="auto" w:fill="auto"/>
          </w:tcPr>
          <w:p w:rsidR="00EE6C7D" w:rsidRPr="0084551D" w:rsidRDefault="00EE6C7D" w:rsidP="00C32E92">
            <w:pPr>
              <w:widowControl w:val="0"/>
              <w:tabs>
                <w:tab w:val="left" w:pos="622"/>
              </w:tabs>
              <w:jc w:val="both"/>
              <w:rPr>
                <w:rFonts w:ascii="Times New Roman" w:eastAsia="AngsanaUPC" w:hAnsi="Times New Roman" w:cs="Times New Roman"/>
                <w:bCs/>
                <w:color w:val="FF0000"/>
                <w:lang w:eastAsia="lt-LT"/>
              </w:rPr>
            </w:pPr>
          </w:p>
        </w:tc>
        <w:tc>
          <w:tcPr>
            <w:tcW w:w="1276" w:type="dxa"/>
            <w:vMerge/>
            <w:shd w:val="clear" w:color="auto" w:fill="auto"/>
          </w:tcPr>
          <w:p w:rsidR="00EE6C7D" w:rsidRPr="00883011" w:rsidRDefault="00EE6C7D" w:rsidP="00C32E92">
            <w:pPr>
              <w:widowControl w:val="0"/>
              <w:tabs>
                <w:tab w:val="left" w:pos="622"/>
              </w:tabs>
              <w:jc w:val="both"/>
              <w:rPr>
                <w:rFonts w:ascii="Times New Roman" w:eastAsia="AngsanaUPC" w:hAnsi="Times New Roman" w:cs="Times New Roman"/>
                <w:b/>
                <w:bCs/>
                <w:lang w:eastAsia="lt-LT"/>
              </w:rPr>
            </w:pPr>
          </w:p>
        </w:tc>
        <w:tc>
          <w:tcPr>
            <w:tcW w:w="1134" w:type="dxa"/>
            <w:vMerge/>
            <w:shd w:val="clear" w:color="auto" w:fill="auto"/>
          </w:tcPr>
          <w:p w:rsidR="00EE6C7D" w:rsidRPr="00883011" w:rsidRDefault="00EE6C7D" w:rsidP="00C32E92">
            <w:pPr>
              <w:widowControl w:val="0"/>
              <w:tabs>
                <w:tab w:val="left" w:pos="622"/>
              </w:tabs>
              <w:jc w:val="both"/>
              <w:rPr>
                <w:rFonts w:ascii="Times New Roman" w:eastAsia="AngsanaUPC" w:hAnsi="Times New Roman" w:cs="Times New Roman"/>
                <w:b/>
                <w:bCs/>
                <w:lang w:eastAsia="lt-LT"/>
              </w:rPr>
            </w:pPr>
          </w:p>
        </w:tc>
      </w:tr>
      <w:tr w:rsidR="00B11E89" w:rsidRPr="00C32E92" w:rsidTr="00C32E92">
        <w:trPr>
          <w:trHeight w:val="565"/>
        </w:trPr>
        <w:tc>
          <w:tcPr>
            <w:tcW w:w="1668" w:type="dxa"/>
            <w:vMerge/>
            <w:shd w:val="clear" w:color="auto" w:fill="auto"/>
          </w:tcPr>
          <w:p w:rsidR="00B11E89" w:rsidRPr="001F4C4B" w:rsidRDefault="00B11E89" w:rsidP="00C32E92">
            <w:pPr>
              <w:widowControl w:val="0"/>
              <w:tabs>
                <w:tab w:val="left" w:pos="622"/>
              </w:tabs>
              <w:jc w:val="both"/>
              <w:rPr>
                <w:rFonts w:ascii="Times New Roman" w:eastAsia="Calibri" w:hAnsi="Times New Roman" w:cs="Times New Roman"/>
                <w:b/>
              </w:rPr>
            </w:pPr>
          </w:p>
        </w:tc>
        <w:tc>
          <w:tcPr>
            <w:tcW w:w="1559" w:type="dxa"/>
            <w:vMerge/>
            <w:shd w:val="clear" w:color="auto" w:fill="auto"/>
          </w:tcPr>
          <w:p w:rsidR="00B11E89" w:rsidRPr="001F4C4B" w:rsidRDefault="00B11E89" w:rsidP="00C32E92">
            <w:pPr>
              <w:widowControl w:val="0"/>
              <w:tabs>
                <w:tab w:val="left" w:pos="622"/>
              </w:tabs>
              <w:jc w:val="both"/>
              <w:rPr>
                <w:rFonts w:ascii="Times New Roman" w:eastAsia="AngsanaUPC" w:hAnsi="Times New Roman" w:cs="Times New Roman"/>
                <w:b/>
                <w:bCs/>
                <w:lang w:eastAsia="lt-LT"/>
              </w:rPr>
            </w:pPr>
          </w:p>
        </w:tc>
        <w:tc>
          <w:tcPr>
            <w:tcW w:w="2835" w:type="dxa"/>
            <w:vMerge/>
            <w:shd w:val="clear" w:color="auto" w:fill="auto"/>
          </w:tcPr>
          <w:p w:rsidR="00B11E89" w:rsidRPr="001F4C4B" w:rsidRDefault="00B11E89" w:rsidP="00C32E92">
            <w:pPr>
              <w:widowControl w:val="0"/>
              <w:tabs>
                <w:tab w:val="left" w:pos="1276"/>
              </w:tabs>
              <w:adjustRightInd w:val="0"/>
              <w:jc w:val="both"/>
              <w:textAlignment w:val="baseline"/>
              <w:rPr>
                <w:rFonts w:ascii="Times New Roman" w:eastAsia="Calibri" w:hAnsi="Times New Roman" w:cs="Times New Roman"/>
                <w:b/>
              </w:rPr>
            </w:pPr>
          </w:p>
        </w:tc>
        <w:tc>
          <w:tcPr>
            <w:tcW w:w="2693" w:type="dxa"/>
            <w:vMerge/>
            <w:shd w:val="clear" w:color="auto" w:fill="auto"/>
          </w:tcPr>
          <w:p w:rsidR="00B11E89" w:rsidRPr="001F4C4B" w:rsidRDefault="00B11E89" w:rsidP="00C32E92">
            <w:pPr>
              <w:widowControl w:val="0"/>
              <w:tabs>
                <w:tab w:val="left" w:pos="622"/>
              </w:tabs>
              <w:jc w:val="both"/>
              <w:rPr>
                <w:rFonts w:ascii="Times New Roman" w:eastAsia="Calibri" w:hAnsi="Times New Roman" w:cs="Times New Roman"/>
                <w:b/>
              </w:rPr>
            </w:pPr>
          </w:p>
        </w:tc>
        <w:tc>
          <w:tcPr>
            <w:tcW w:w="3119" w:type="dxa"/>
            <w:shd w:val="clear" w:color="auto" w:fill="auto"/>
          </w:tcPr>
          <w:p w:rsidR="00B11E89" w:rsidRPr="001F4C4B" w:rsidRDefault="008A6C24" w:rsidP="00EE6C7D">
            <w:pPr>
              <w:widowControl w:val="0"/>
              <w:tabs>
                <w:tab w:val="left" w:pos="622"/>
              </w:tabs>
              <w:jc w:val="both"/>
              <w:rPr>
                <w:rFonts w:ascii="Times New Roman" w:eastAsia="AngsanaUPC" w:hAnsi="Times New Roman" w:cs="Times New Roman"/>
                <w:b/>
                <w:bCs/>
                <w:lang w:eastAsia="lt-LT"/>
              </w:rPr>
            </w:pPr>
            <w:r w:rsidRPr="008A6C24">
              <w:rPr>
                <w:rFonts w:ascii="Times New Roman" w:eastAsia="AngsanaUPC" w:hAnsi="Times New Roman" w:cs="Times New Roman"/>
                <w:b/>
                <w:bCs/>
                <w:lang w:eastAsia="lt-LT"/>
              </w:rPr>
              <w:t>Pridėtinė vertė gamybos sąnaudomis, sukurta MVĮ, tenkanti vienam darbuotojui</w:t>
            </w:r>
          </w:p>
        </w:tc>
        <w:tc>
          <w:tcPr>
            <w:tcW w:w="850" w:type="dxa"/>
            <w:vMerge/>
            <w:shd w:val="clear" w:color="auto" w:fill="auto"/>
          </w:tcPr>
          <w:p w:rsidR="00B11E89" w:rsidRPr="0084551D" w:rsidRDefault="00B11E89" w:rsidP="00C32E92">
            <w:pPr>
              <w:widowControl w:val="0"/>
              <w:tabs>
                <w:tab w:val="left" w:pos="622"/>
              </w:tabs>
              <w:jc w:val="both"/>
              <w:rPr>
                <w:rFonts w:ascii="Times New Roman" w:eastAsia="AngsanaUPC" w:hAnsi="Times New Roman" w:cs="Times New Roman"/>
                <w:bCs/>
                <w:color w:val="FF0000"/>
                <w:lang w:eastAsia="lt-LT"/>
              </w:rPr>
            </w:pPr>
          </w:p>
        </w:tc>
        <w:tc>
          <w:tcPr>
            <w:tcW w:w="1276" w:type="dxa"/>
            <w:vMerge/>
            <w:shd w:val="clear" w:color="auto" w:fill="auto"/>
          </w:tcPr>
          <w:p w:rsidR="00B11E89" w:rsidRPr="00883011" w:rsidRDefault="00B11E89" w:rsidP="00C32E92">
            <w:pPr>
              <w:widowControl w:val="0"/>
              <w:tabs>
                <w:tab w:val="left" w:pos="622"/>
              </w:tabs>
              <w:jc w:val="both"/>
              <w:rPr>
                <w:rFonts w:ascii="Times New Roman" w:eastAsia="AngsanaUPC" w:hAnsi="Times New Roman" w:cs="Times New Roman"/>
                <w:b/>
                <w:bCs/>
                <w:lang w:eastAsia="lt-LT"/>
              </w:rPr>
            </w:pPr>
          </w:p>
        </w:tc>
        <w:tc>
          <w:tcPr>
            <w:tcW w:w="1134" w:type="dxa"/>
            <w:vMerge/>
            <w:shd w:val="clear" w:color="auto" w:fill="auto"/>
          </w:tcPr>
          <w:p w:rsidR="00B11E89" w:rsidRPr="00883011" w:rsidRDefault="00B11E89" w:rsidP="00C32E92">
            <w:pPr>
              <w:widowControl w:val="0"/>
              <w:tabs>
                <w:tab w:val="left" w:pos="622"/>
              </w:tabs>
              <w:jc w:val="both"/>
              <w:rPr>
                <w:rFonts w:ascii="Times New Roman" w:eastAsia="AngsanaUPC" w:hAnsi="Times New Roman" w:cs="Times New Roman"/>
                <w:b/>
                <w:bCs/>
                <w:lang w:eastAsia="lt-LT"/>
              </w:rPr>
            </w:pPr>
          </w:p>
        </w:tc>
      </w:tr>
      <w:tr w:rsidR="00EE6C7D" w:rsidRPr="00C32E92" w:rsidTr="00C32E92">
        <w:trPr>
          <w:trHeight w:val="565"/>
        </w:trPr>
        <w:tc>
          <w:tcPr>
            <w:tcW w:w="1668" w:type="dxa"/>
            <w:vMerge/>
            <w:shd w:val="clear" w:color="auto" w:fill="auto"/>
          </w:tcPr>
          <w:p w:rsidR="00EE6C7D" w:rsidRPr="001F4C4B" w:rsidRDefault="00EE6C7D" w:rsidP="00C32E92">
            <w:pPr>
              <w:widowControl w:val="0"/>
              <w:tabs>
                <w:tab w:val="left" w:pos="622"/>
              </w:tabs>
              <w:jc w:val="both"/>
              <w:rPr>
                <w:rFonts w:ascii="Times New Roman" w:eastAsia="Calibri" w:hAnsi="Times New Roman" w:cs="Times New Roman"/>
                <w:b/>
              </w:rPr>
            </w:pPr>
          </w:p>
        </w:tc>
        <w:tc>
          <w:tcPr>
            <w:tcW w:w="1559" w:type="dxa"/>
            <w:vMerge/>
            <w:shd w:val="clear" w:color="auto" w:fill="auto"/>
          </w:tcPr>
          <w:p w:rsidR="00EE6C7D" w:rsidRPr="001F4C4B" w:rsidRDefault="00EE6C7D" w:rsidP="00C32E92">
            <w:pPr>
              <w:widowControl w:val="0"/>
              <w:tabs>
                <w:tab w:val="left" w:pos="622"/>
              </w:tabs>
              <w:jc w:val="both"/>
              <w:rPr>
                <w:rFonts w:ascii="Times New Roman" w:eastAsia="AngsanaUPC" w:hAnsi="Times New Roman" w:cs="Times New Roman"/>
                <w:b/>
                <w:bCs/>
                <w:lang w:eastAsia="lt-LT"/>
              </w:rPr>
            </w:pPr>
          </w:p>
        </w:tc>
        <w:tc>
          <w:tcPr>
            <w:tcW w:w="2835" w:type="dxa"/>
            <w:vMerge/>
            <w:shd w:val="clear" w:color="auto" w:fill="auto"/>
          </w:tcPr>
          <w:p w:rsidR="00EE6C7D" w:rsidRPr="001F4C4B" w:rsidRDefault="00EE6C7D" w:rsidP="00C32E92">
            <w:pPr>
              <w:widowControl w:val="0"/>
              <w:tabs>
                <w:tab w:val="left" w:pos="1276"/>
              </w:tabs>
              <w:adjustRightInd w:val="0"/>
              <w:jc w:val="both"/>
              <w:textAlignment w:val="baseline"/>
              <w:rPr>
                <w:rFonts w:ascii="Times New Roman" w:eastAsia="Calibri" w:hAnsi="Times New Roman" w:cs="Times New Roman"/>
                <w:b/>
              </w:rPr>
            </w:pPr>
          </w:p>
        </w:tc>
        <w:tc>
          <w:tcPr>
            <w:tcW w:w="2693" w:type="dxa"/>
            <w:vMerge/>
            <w:shd w:val="clear" w:color="auto" w:fill="auto"/>
          </w:tcPr>
          <w:p w:rsidR="00EE6C7D" w:rsidRPr="001F4C4B" w:rsidRDefault="00EE6C7D" w:rsidP="00C32E92">
            <w:pPr>
              <w:widowControl w:val="0"/>
              <w:tabs>
                <w:tab w:val="left" w:pos="622"/>
              </w:tabs>
              <w:jc w:val="both"/>
              <w:rPr>
                <w:rFonts w:ascii="Times New Roman" w:eastAsia="Calibri" w:hAnsi="Times New Roman" w:cs="Times New Roman"/>
                <w:b/>
              </w:rPr>
            </w:pPr>
          </w:p>
        </w:tc>
        <w:tc>
          <w:tcPr>
            <w:tcW w:w="3119" w:type="dxa"/>
            <w:shd w:val="clear" w:color="auto" w:fill="auto"/>
          </w:tcPr>
          <w:p w:rsidR="00EE6C7D" w:rsidRPr="001F4C4B" w:rsidRDefault="00EE6C7D" w:rsidP="00107147">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Kultūros sektoriaus sukuriamos pridėtinės vertės dalis, palyginti su visa sukuriama verte</w:t>
            </w:r>
          </w:p>
        </w:tc>
        <w:tc>
          <w:tcPr>
            <w:tcW w:w="850" w:type="dxa"/>
            <w:vMerge/>
            <w:shd w:val="clear" w:color="auto" w:fill="auto"/>
          </w:tcPr>
          <w:p w:rsidR="00EE6C7D" w:rsidRPr="0084551D" w:rsidRDefault="00EE6C7D" w:rsidP="00C32E92">
            <w:pPr>
              <w:widowControl w:val="0"/>
              <w:tabs>
                <w:tab w:val="left" w:pos="622"/>
              </w:tabs>
              <w:jc w:val="both"/>
              <w:rPr>
                <w:rFonts w:ascii="Times New Roman" w:eastAsia="AngsanaUPC" w:hAnsi="Times New Roman" w:cs="Times New Roman"/>
                <w:bCs/>
                <w:color w:val="FF0000"/>
                <w:lang w:eastAsia="lt-LT"/>
              </w:rPr>
            </w:pPr>
          </w:p>
        </w:tc>
        <w:tc>
          <w:tcPr>
            <w:tcW w:w="1276" w:type="dxa"/>
            <w:vMerge/>
            <w:shd w:val="clear" w:color="auto" w:fill="auto"/>
          </w:tcPr>
          <w:p w:rsidR="00EE6C7D" w:rsidRPr="00883011" w:rsidRDefault="00EE6C7D" w:rsidP="00C32E92">
            <w:pPr>
              <w:widowControl w:val="0"/>
              <w:tabs>
                <w:tab w:val="left" w:pos="622"/>
              </w:tabs>
              <w:jc w:val="both"/>
              <w:rPr>
                <w:rFonts w:ascii="Times New Roman" w:eastAsia="AngsanaUPC" w:hAnsi="Times New Roman" w:cs="Times New Roman"/>
                <w:b/>
                <w:bCs/>
                <w:lang w:eastAsia="lt-LT"/>
              </w:rPr>
            </w:pPr>
          </w:p>
        </w:tc>
        <w:tc>
          <w:tcPr>
            <w:tcW w:w="1134" w:type="dxa"/>
            <w:vMerge/>
            <w:shd w:val="clear" w:color="auto" w:fill="auto"/>
          </w:tcPr>
          <w:p w:rsidR="00EE6C7D" w:rsidRPr="00883011" w:rsidRDefault="00EE6C7D" w:rsidP="00C32E92">
            <w:pPr>
              <w:widowControl w:val="0"/>
              <w:tabs>
                <w:tab w:val="left" w:pos="622"/>
              </w:tabs>
              <w:jc w:val="both"/>
              <w:rPr>
                <w:rFonts w:ascii="Times New Roman" w:eastAsia="AngsanaUPC" w:hAnsi="Times New Roman" w:cs="Times New Roman"/>
                <w:b/>
                <w:bCs/>
                <w:lang w:eastAsia="lt-LT"/>
              </w:rPr>
            </w:pPr>
          </w:p>
        </w:tc>
      </w:tr>
      <w:tr w:rsidR="00EE6C7D" w:rsidRPr="00C32E92" w:rsidTr="00C32E92">
        <w:trPr>
          <w:trHeight w:val="565"/>
        </w:trPr>
        <w:tc>
          <w:tcPr>
            <w:tcW w:w="1668" w:type="dxa"/>
            <w:vMerge/>
            <w:shd w:val="clear" w:color="auto" w:fill="auto"/>
          </w:tcPr>
          <w:p w:rsidR="00EE6C7D" w:rsidRPr="001F4C4B" w:rsidRDefault="00EE6C7D" w:rsidP="00C32E92">
            <w:pPr>
              <w:widowControl w:val="0"/>
              <w:tabs>
                <w:tab w:val="left" w:pos="622"/>
              </w:tabs>
              <w:jc w:val="both"/>
              <w:rPr>
                <w:rFonts w:ascii="Times New Roman" w:eastAsia="Calibri" w:hAnsi="Times New Roman" w:cs="Times New Roman"/>
                <w:b/>
              </w:rPr>
            </w:pPr>
          </w:p>
        </w:tc>
        <w:tc>
          <w:tcPr>
            <w:tcW w:w="1559" w:type="dxa"/>
            <w:vMerge/>
            <w:shd w:val="clear" w:color="auto" w:fill="auto"/>
          </w:tcPr>
          <w:p w:rsidR="00EE6C7D" w:rsidRPr="001F4C4B" w:rsidRDefault="00EE6C7D" w:rsidP="00C32E92">
            <w:pPr>
              <w:widowControl w:val="0"/>
              <w:tabs>
                <w:tab w:val="left" w:pos="622"/>
              </w:tabs>
              <w:jc w:val="both"/>
              <w:rPr>
                <w:rFonts w:ascii="Times New Roman" w:eastAsia="AngsanaUPC" w:hAnsi="Times New Roman" w:cs="Times New Roman"/>
                <w:b/>
                <w:bCs/>
                <w:lang w:eastAsia="lt-LT"/>
              </w:rPr>
            </w:pPr>
          </w:p>
        </w:tc>
        <w:tc>
          <w:tcPr>
            <w:tcW w:w="2835" w:type="dxa"/>
            <w:vMerge/>
            <w:shd w:val="clear" w:color="auto" w:fill="auto"/>
          </w:tcPr>
          <w:p w:rsidR="00EE6C7D" w:rsidRPr="001F4C4B" w:rsidRDefault="00EE6C7D" w:rsidP="00C32E92">
            <w:pPr>
              <w:widowControl w:val="0"/>
              <w:tabs>
                <w:tab w:val="left" w:pos="1276"/>
              </w:tabs>
              <w:adjustRightInd w:val="0"/>
              <w:jc w:val="both"/>
              <w:textAlignment w:val="baseline"/>
              <w:rPr>
                <w:rFonts w:ascii="Times New Roman" w:eastAsia="Calibri" w:hAnsi="Times New Roman" w:cs="Times New Roman"/>
                <w:b/>
              </w:rPr>
            </w:pPr>
          </w:p>
        </w:tc>
        <w:tc>
          <w:tcPr>
            <w:tcW w:w="2693" w:type="dxa"/>
            <w:vMerge/>
            <w:shd w:val="clear" w:color="auto" w:fill="auto"/>
          </w:tcPr>
          <w:p w:rsidR="00EE6C7D" w:rsidRPr="001F4C4B" w:rsidRDefault="00EE6C7D" w:rsidP="00C32E92">
            <w:pPr>
              <w:widowControl w:val="0"/>
              <w:tabs>
                <w:tab w:val="left" w:pos="622"/>
              </w:tabs>
              <w:jc w:val="both"/>
              <w:rPr>
                <w:rFonts w:ascii="Times New Roman" w:eastAsia="Calibri" w:hAnsi="Times New Roman" w:cs="Times New Roman"/>
                <w:b/>
              </w:rPr>
            </w:pPr>
          </w:p>
        </w:tc>
        <w:tc>
          <w:tcPr>
            <w:tcW w:w="3119" w:type="dxa"/>
            <w:shd w:val="clear" w:color="auto" w:fill="auto"/>
          </w:tcPr>
          <w:p w:rsidR="00EE6C7D" w:rsidRPr="001F4C4B" w:rsidRDefault="00EE6C7D" w:rsidP="00C32E92">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Standartizuoto 0–64 m. amžiaus gyventojų mirtingumo sumažėjimas tikslinėse teritorijose nuo kraujotakos ligų</w:t>
            </w:r>
          </w:p>
        </w:tc>
        <w:tc>
          <w:tcPr>
            <w:tcW w:w="850" w:type="dxa"/>
            <w:vMerge/>
            <w:shd w:val="clear" w:color="auto" w:fill="auto"/>
          </w:tcPr>
          <w:p w:rsidR="00EE6C7D" w:rsidRPr="0084551D" w:rsidRDefault="00EE6C7D" w:rsidP="00C32E92">
            <w:pPr>
              <w:widowControl w:val="0"/>
              <w:tabs>
                <w:tab w:val="left" w:pos="622"/>
              </w:tabs>
              <w:jc w:val="both"/>
              <w:rPr>
                <w:rFonts w:ascii="Times New Roman" w:eastAsia="AngsanaUPC" w:hAnsi="Times New Roman" w:cs="Times New Roman"/>
                <w:bCs/>
                <w:color w:val="FF0000"/>
                <w:lang w:eastAsia="lt-LT"/>
              </w:rPr>
            </w:pPr>
          </w:p>
        </w:tc>
        <w:tc>
          <w:tcPr>
            <w:tcW w:w="1276" w:type="dxa"/>
            <w:vMerge/>
            <w:shd w:val="clear" w:color="auto" w:fill="auto"/>
          </w:tcPr>
          <w:p w:rsidR="00EE6C7D" w:rsidRPr="00883011" w:rsidRDefault="00EE6C7D" w:rsidP="00C32E92">
            <w:pPr>
              <w:widowControl w:val="0"/>
              <w:tabs>
                <w:tab w:val="left" w:pos="622"/>
              </w:tabs>
              <w:jc w:val="both"/>
              <w:rPr>
                <w:rFonts w:ascii="Times New Roman" w:eastAsia="AngsanaUPC" w:hAnsi="Times New Roman" w:cs="Times New Roman"/>
                <w:b/>
                <w:bCs/>
                <w:lang w:eastAsia="lt-LT"/>
              </w:rPr>
            </w:pPr>
          </w:p>
        </w:tc>
        <w:tc>
          <w:tcPr>
            <w:tcW w:w="1134" w:type="dxa"/>
            <w:vMerge/>
            <w:shd w:val="clear" w:color="auto" w:fill="auto"/>
          </w:tcPr>
          <w:p w:rsidR="00EE6C7D" w:rsidRPr="00883011" w:rsidRDefault="00EE6C7D" w:rsidP="00C32E92">
            <w:pPr>
              <w:widowControl w:val="0"/>
              <w:tabs>
                <w:tab w:val="left" w:pos="622"/>
              </w:tabs>
              <w:jc w:val="both"/>
              <w:rPr>
                <w:rFonts w:ascii="Times New Roman" w:eastAsia="AngsanaUPC" w:hAnsi="Times New Roman" w:cs="Times New Roman"/>
                <w:b/>
                <w:bCs/>
                <w:lang w:eastAsia="lt-LT"/>
              </w:rPr>
            </w:pPr>
          </w:p>
        </w:tc>
      </w:tr>
      <w:tr w:rsidR="00EE6C7D" w:rsidRPr="00C32E92" w:rsidTr="00C32E92">
        <w:trPr>
          <w:trHeight w:val="565"/>
        </w:trPr>
        <w:tc>
          <w:tcPr>
            <w:tcW w:w="1668" w:type="dxa"/>
            <w:vMerge/>
            <w:shd w:val="clear" w:color="auto" w:fill="auto"/>
          </w:tcPr>
          <w:p w:rsidR="00EE6C7D" w:rsidRPr="001F4C4B" w:rsidRDefault="00EE6C7D" w:rsidP="00C32E92">
            <w:pPr>
              <w:widowControl w:val="0"/>
              <w:tabs>
                <w:tab w:val="left" w:pos="622"/>
              </w:tabs>
              <w:jc w:val="both"/>
              <w:rPr>
                <w:rFonts w:ascii="Times New Roman" w:eastAsia="Calibri" w:hAnsi="Times New Roman" w:cs="Times New Roman"/>
                <w:b/>
              </w:rPr>
            </w:pPr>
          </w:p>
        </w:tc>
        <w:tc>
          <w:tcPr>
            <w:tcW w:w="1559" w:type="dxa"/>
            <w:vMerge/>
            <w:shd w:val="clear" w:color="auto" w:fill="auto"/>
          </w:tcPr>
          <w:p w:rsidR="00EE6C7D" w:rsidRPr="001F4C4B" w:rsidRDefault="00EE6C7D" w:rsidP="00C32E92">
            <w:pPr>
              <w:widowControl w:val="0"/>
              <w:tabs>
                <w:tab w:val="left" w:pos="622"/>
              </w:tabs>
              <w:jc w:val="both"/>
              <w:rPr>
                <w:rFonts w:ascii="Times New Roman" w:eastAsia="AngsanaUPC" w:hAnsi="Times New Roman" w:cs="Times New Roman"/>
                <w:b/>
                <w:bCs/>
                <w:lang w:eastAsia="lt-LT"/>
              </w:rPr>
            </w:pPr>
          </w:p>
        </w:tc>
        <w:tc>
          <w:tcPr>
            <w:tcW w:w="2835" w:type="dxa"/>
            <w:vMerge/>
            <w:shd w:val="clear" w:color="auto" w:fill="auto"/>
          </w:tcPr>
          <w:p w:rsidR="00EE6C7D" w:rsidRPr="001F4C4B" w:rsidRDefault="00EE6C7D" w:rsidP="00C32E92">
            <w:pPr>
              <w:widowControl w:val="0"/>
              <w:tabs>
                <w:tab w:val="left" w:pos="1276"/>
              </w:tabs>
              <w:adjustRightInd w:val="0"/>
              <w:jc w:val="both"/>
              <w:textAlignment w:val="baseline"/>
              <w:rPr>
                <w:rFonts w:ascii="Times New Roman" w:eastAsia="Calibri" w:hAnsi="Times New Roman" w:cs="Times New Roman"/>
                <w:b/>
              </w:rPr>
            </w:pPr>
          </w:p>
        </w:tc>
        <w:tc>
          <w:tcPr>
            <w:tcW w:w="2693" w:type="dxa"/>
            <w:vMerge/>
            <w:shd w:val="clear" w:color="auto" w:fill="auto"/>
          </w:tcPr>
          <w:p w:rsidR="00EE6C7D" w:rsidRPr="001F4C4B" w:rsidRDefault="00EE6C7D" w:rsidP="00C32E92">
            <w:pPr>
              <w:widowControl w:val="0"/>
              <w:tabs>
                <w:tab w:val="left" w:pos="622"/>
              </w:tabs>
              <w:jc w:val="both"/>
              <w:rPr>
                <w:rFonts w:ascii="Times New Roman" w:eastAsia="Calibri" w:hAnsi="Times New Roman" w:cs="Times New Roman"/>
                <w:b/>
              </w:rPr>
            </w:pPr>
          </w:p>
        </w:tc>
        <w:tc>
          <w:tcPr>
            <w:tcW w:w="3119" w:type="dxa"/>
            <w:shd w:val="clear" w:color="auto" w:fill="auto"/>
          </w:tcPr>
          <w:p w:rsidR="00EE6C7D" w:rsidRPr="001F4C4B" w:rsidRDefault="00EE6C7D" w:rsidP="00EE6C7D">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Standartizuoto 0–64 m. amžiaus gyventojų mirtingumo sumažėjimas</w:t>
            </w:r>
          </w:p>
          <w:p w:rsidR="00EE6C7D" w:rsidRPr="001F4C4B" w:rsidRDefault="00EE6C7D" w:rsidP="00EE6C7D">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tikslinėse teritorijose nuo piktybinių navikų</w:t>
            </w:r>
          </w:p>
        </w:tc>
        <w:tc>
          <w:tcPr>
            <w:tcW w:w="850" w:type="dxa"/>
            <w:vMerge/>
            <w:shd w:val="clear" w:color="auto" w:fill="auto"/>
          </w:tcPr>
          <w:p w:rsidR="00EE6C7D" w:rsidRPr="0084551D" w:rsidRDefault="00EE6C7D" w:rsidP="00C32E92">
            <w:pPr>
              <w:widowControl w:val="0"/>
              <w:tabs>
                <w:tab w:val="left" w:pos="622"/>
              </w:tabs>
              <w:jc w:val="both"/>
              <w:rPr>
                <w:rFonts w:ascii="Times New Roman" w:eastAsia="AngsanaUPC" w:hAnsi="Times New Roman" w:cs="Times New Roman"/>
                <w:bCs/>
                <w:color w:val="FF0000"/>
                <w:lang w:eastAsia="lt-LT"/>
              </w:rPr>
            </w:pPr>
          </w:p>
        </w:tc>
        <w:tc>
          <w:tcPr>
            <w:tcW w:w="1276" w:type="dxa"/>
            <w:vMerge/>
            <w:shd w:val="clear" w:color="auto" w:fill="auto"/>
          </w:tcPr>
          <w:p w:rsidR="00EE6C7D" w:rsidRPr="00883011" w:rsidRDefault="00EE6C7D" w:rsidP="00C32E92">
            <w:pPr>
              <w:widowControl w:val="0"/>
              <w:tabs>
                <w:tab w:val="left" w:pos="622"/>
              </w:tabs>
              <w:jc w:val="both"/>
              <w:rPr>
                <w:rFonts w:ascii="Times New Roman" w:eastAsia="AngsanaUPC" w:hAnsi="Times New Roman" w:cs="Times New Roman"/>
                <w:b/>
                <w:bCs/>
                <w:lang w:eastAsia="lt-LT"/>
              </w:rPr>
            </w:pPr>
          </w:p>
        </w:tc>
        <w:tc>
          <w:tcPr>
            <w:tcW w:w="1134" w:type="dxa"/>
            <w:vMerge/>
            <w:shd w:val="clear" w:color="auto" w:fill="auto"/>
          </w:tcPr>
          <w:p w:rsidR="00EE6C7D" w:rsidRPr="00883011" w:rsidRDefault="00EE6C7D" w:rsidP="00C32E92">
            <w:pPr>
              <w:widowControl w:val="0"/>
              <w:tabs>
                <w:tab w:val="left" w:pos="622"/>
              </w:tabs>
              <w:jc w:val="both"/>
              <w:rPr>
                <w:rFonts w:ascii="Times New Roman" w:eastAsia="AngsanaUPC" w:hAnsi="Times New Roman" w:cs="Times New Roman"/>
                <w:b/>
                <w:bCs/>
                <w:lang w:eastAsia="lt-LT"/>
              </w:rPr>
            </w:pPr>
          </w:p>
        </w:tc>
      </w:tr>
      <w:tr w:rsidR="00883011" w:rsidRPr="00C32E92" w:rsidTr="00C32E92">
        <w:trPr>
          <w:trHeight w:val="565"/>
        </w:trPr>
        <w:tc>
          <w:tcPr>
            <w:tcW w:w="1668" w:type="dxa"/>
            <w:vMerge/>
            <w:shd w:val="clear" w:color="auto" w:fill="auto"/>
          </w:tcPr>
          <w:p w:rsidR="00883011" w:rsidRPr="001F4C4B" w:rsidRDefault="00883011" w:rsidP="00C32E92">
            <w:pPr>
              <w:widowControl w:val="0"/>
              <w:tabs>
                <w:tab w:val="left" w:pos="622"/>
              </w:tabs>
              <w:jc w:val="both"/>
              <w:rPr>
                <w:rFonts w:ascii="Times New Roman" w:eastAsia="Calibri" w:hAnsi="Times New Roman" w:cs="Times New Roman"/>
                <w:b/>
              </w:rPr>
            </w:pPr>
          </w:p>
        </w:tc>
        <w:tc>
          <w:tcPr>
            <w:tcW w:w="1559" w:type="dxa"/>
            <w:vMerge/>
            <w:shd w:val="clear" w:color="auto" w:fill="auto"/>
          </w:tcPr>
          <w:p w:rsidR="00883011" w:rsidRPr="001F4C4B" w:rsidRDefault="00883011" w:rsidP="00C32E92">
            <w:pPr>
              <w:widowControl w:val="0"/>
              <w:tabs>
                <w:tab w:val="left" w:pos="622"/>
              </w:tabs>
              <w:jc w:val="both"/>
              <w:rPr>
                <w:rFonts w:ascii="Times New Roman" w:eastAsia="AngsanaUPC" w:hAnsi="Times New Roman" w:cs="Times New Roman"/>
                <w:b/>
                <w:bCs/>
                <w:lang w:eastAsia="lt-LT"/>
              </w:rPr>
            </w:pPr>
          </w:p>
        </w:tc>
        <w:tc>
          <w:tcPr>
            <w:tcW w:w="2835" w:type="dxa"/>
            <w:vMerge/>
            <w:shd w:val="clear" w:color="auto" w:fill="auto"/>
          </w:tcPr>
          <w:p w:rsidR="00883011" w:rsidRPr="001F4C4B" w:rsidRDefault="00883011" w:rsidP="00C32E92">
            <w:pPr>
              <w:widowControl w:val="0"/>
              <w:tabs>
                <w:tab w:val="left" w:pos="1276"/>
              </w:tabs>
              <w:adjustRightInd w:val="0"/>
              <w:jc w:val="both"/>
              <w:textAlignment w:val="baseline"/>
              <w:rPr>
                <w:rFonts w:ascii="Times New Roman" w:eastAsia="Calibri" w:hAnsi="Times New Roman" w:cs="Times New Roman"/>
                <w:b/>
              </w:rPr>
            </w:pPr>
          </w:p>
        </w:tc>
        <w:tc>
          <w:tcPr>
            <w:tcW w:w="2693" w:type="dxa"/>
            <w:shd w:val="clear" w:color="auto" w:fill="auto"/>
          </w:tcPr>
          <w:p w:rsidR="00883011" w:rsidRPr="001F4C4B" w:rsidRDefault="00883011" w:rsidP="00C32E92">
            <w:pPr>
              <w:widowControl w:val="0"/>
              <w:tabs>
                <w:tab w:val="left" w:pos="622"/>
              </w:tabs>
              <w:jc w:val="both"/>
              <w:rPr>
                <w:rFonts w:ascii="Times New Roman" w:eastAsia="Calibri" w:hAnsi="Times New Roman" w:cs="Times New Roman"/>
                <w:b/>
              </w:rPr>
            </w:pPr>
            <w:r w:rsidRPr="001F4C4B">
              <w:rPr>
                <w:rFonts w:ascii="Times New Roman" w:eastAsia="Calibri" w:hAnsi="Times New Roman" w:cs="Times New Roman"/>
                <w:b/>
              </w:rPr>
              <w:t>Skatinti ene</w:t>
            </w:r>
            <w:r w:rsidR="007A410D">
              <w:rPr>
                <w:rFonts w:ascii="Times New Roman" w:eastAsia="Calibri" w:hAnsi="Times New Roman" w:cs="Times New Roman"/>
                <w:b/>
              </w:rPr>
              <w:t>rgetinį efektyvumą</w:t>
            </w:r>
            <w:r w:rsidRPr="001F4C4B">
              <w:rPr>
                <w:rFonts w:ascii="Times New Roman" w:eastAsia="Calibri" w:hAnsi="Times New Roman" w:cs="Times New Roman"/>
                <w:b/>
              </w:rPr>
              <w:t>, siekiant švelninti poveikį klimato kaitai</w:t>
            </w:r>
          </w:p>
        </w:tc>
        <w:tc>
          <w:tcPr>
            <w:tcW w:w="3119" w:type="dxa"/>
            <w:shd w:val="clear" w:color="auto" w:fill="auto"/>
          </w:tcPr>
          <w:p w:rsidR="00883011" w:rsidRPr="001F4C4B" w:rsidRDefault="00DF641B" w:rsidP="00C32E92">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Sunaudotas galutinės energijos kiekis paslaugų ir namų ūkių sektoriuose</w:t>
            </w:r>
          </w:p>
        </w:tc>
        <w:tc>
          <w:tcPr>
            <w:tcW w:w="850" w:type="dxa"/>
            <w:shd w:val="clear" w:color="auto" w:fill="auto"/>
          </w:tcPr>
          <w:p w:rsidR="00883011" w:rsidRPr="00883011" w:rsidRDefault="00883011" w:rsidP="00C32E92">
            <w:pPr>
              <w:widowControl w:val="0"/>
              <w:tabs>
                <w:tab w:val="left" w:pos="622"/>
              </w:tabs>
              <w:jc w:val="both"/>
              <w:rPr>
                <w:rFonts w:ascii="Times New Roman" w:eastAsia="AngsanaUPC" w:hAnsi="Times New Roman" w:cs="Times New Roman"/>
                <w:b/>
                <w:bCs/>
                <w:lang w:eastAsia="lt-LT"/>
              </w:rPr>
            </w:pPr>
            <w:r w:rsidRPr="00883011">
              <w:rPr>
                <w:rFonts w:ascii="Times New Roman" w:eastAsia="AngsanaUPC" w:hAnsi="Times New Roman" w:cs="Times New Roman"/>
                <w:b/>
                <w:bCs/>
                <w:lang w:eastAsia="lt-LT"/>
              </w:rPr>
              <w:t>ERPF</w:t>
            </w:r>
          </w:p>
        </w:tc>
        <w:tc>
          <w:tcPr>
            <w:tcW w:w="1276" w:type="dxa"/>
            <w:shd w:val="clear" w:color="auto" w:fill="auto"/>
          </w:tcPr>
          <w:p w:rsidR="00883011" w:rsidRPr="00883011" w:rsidRDefault="00883011" w:rsidP="00C32E92">
            <w:pPr>
              <w:widowControl w:val="0"/>
              <w:tabs>
                <w:tab w:val="left" w:pos="622"/>
              </w:tabs>
              <w:jc w:val="both"/>
              <w:rPr>
                <w:rFonts w:ascii="Times New Roman" w:eastAsia="AngsanaUPC" w:hAnsi="Times New Roman" w:cs="Times New Roman"/>
                <w:b/>
                <w:bCs/>
                <w:lang w:eastAsia="lt-LT"/>
              </w:rPr>
            </w:pPr>
            <w:r>
              <w:rPr>
                <w:rFonts w:ascii="Times New Roman" w:eastAsia="AngsanaUPC" w:hAnsi="Times New Roman" w:cs="Times New Roman"/>
                <w:b/>
                <w:bCs/>
                <w:lang w:eastAsia="lt-LT"/>
              </w:rPr>
              <w:t>22.300.000</w:t>
            </w:r>
          </w:p>
        </w:tc>
        <w:tc>
          <w:tcPr>
            <w:tcW w:w="1134" w:type="dxa"/>
            <w:shd w:val="clear" w:color="auto" w:fill="auto"/>
          </w:tcPr>
          <w:p w:rsidR="00883011" w:rsidRPr="00883011" w:rsidRDefault="00883011" w:rsidP="002C482C">
            <w:pPr>
              <w:widowControl w:val="0"/>
              <w:tabs>
                <w:tab w:val="left" w:pos="622"/>
              </w:tabs>
              <w:spacing w:line="360" w:lineRule="auto"/>
              <w:jc w:val="both"/>
              <w:rPr>
                <w:rFonts w:ascii="Times New Roman" w:eastAsia="AngsanaUPC" w:hAnsi="Times New Roman" w:cs="Times New Roman"/>
                <w:b/>
                <w:bCs/>
                <w:lang w:val="en-US" w:eastAsia="lt-LT"/>
              </w:rPr>
            </w:pPr>
            <w:r>
              <w:rPr>
                <w:rFonts w:ascii="Times New Roman" w:eastAsia="AngsanaUPC" w:hAnsi="Times New Roman" w:cs="Times New Roman"/>
                <w:b/>
                <w:bCs/>
                <w:lang w:eastAsia="lt-LT"/>
              </w:rPr>
              <w:t>0,3</w:t>
            </w:r>
            <w:r w:rsidRPr="00883011">
              <w:rPr>
                <w:rFonts w:ascii="Times New Roman" w:eastAsia="AngsanaUPC" w:hAnsi="Times New Roman" w:cs="Times New Roman"/>
                <w:b/>
                <w:bCs/>
                <w:lang w:val="en-US" w:eastAsia="lt-LT"/>
              </w:rPr>
              <w:t>%</w:t>
            </w:r>
          </w:p>
        </w:tc>
      </w:tr>
      <w:tr w:rsidR="00883011" w:rsidRPr="00C32E92" w:rsidTr="00C32E92">
        <w:trPr>
          <w:trHeight w:val="565"/>
        </w:trPr>
        <w:tc>
          <w:tcPr>
            <w:tcW w:w="1668" w:type="dxa"/>
            <w:shd w:val="clear" w:color="auto" w:fill="auto"/>
          </w:tcPr>
          <w:p w:rsidR="00883011" w:rsidRPr="001F4C4B" w:rsidRDefault="00883011" w:rsidP="00C32E92">
            <w:pPr>
              <w:widowControl w:val="0"/>
              <w:tabs>
                <w:tab w:val="left" w:pos="622"/>
              </w:tabs>
              <w:jc w:val="both"/>
              <w:rPr>
                <w:rFonts w:ascii="Times New Roman" w:eastAsia="Calibri" w:hAnsi="Times New Roman" w:cs="Times New Roman"/>
                <w:b/>
              </w:rPr>
            </w:pPr>
            <w:r w:rsidRPr="001F4C4B">
              <w:rPr>
                <w:rFonts w:ascii="Times New Roman" w:eastAsia="Calibri" w:hAnsi="Times New Roman" w:cs="Times New Roman"/>
                <w:b/>
              </w:rPr>
              <w:t xml:space="preserve">Veiksmų, skirtų COVID-19 pandemijos sukeltai krizei </w:t>
            </w:r>
            <w:r>
              <w:rPr>
                <w:rFonts w:ascii="Times New Roman" w:eastAsia="Calibri" w:hAnsi="Times New Roman" w:cs="Times New Roman"/>
                <w:b/>
              </w:rPr>
              <w:t xml:space="preserve">įveikti, skatinimas, siekiant didinti užimtumą ir </w:t>
            </w:r>
            <w:r>
              <w:rPr>
                <w:rFonts w:ascii="Times New Roman" w:eastAsia="Calibri" w:hAnsi="Times New Roman" w:cs="Times New Roman"/>
                <w:b/>
              </w:rPr>
              <w:lastRenderedPageBreak/>
              <w:t>socialinę įtrauktį</w:t>
            </w:r>
          </w:p>
        </w:tc>
        <w:tc>
          <w:tcPr>
            <w:tcW w:w="1559" w:type="dxa"/>
            <w:shd w:val="clear" w:color="auto" w:fill="auto"/>
          </w:tcPr>
          <w:p w:rsidR="00883011" w:rsidRPr="001F4C4B" w:rsidRDefault="00883011" w:rsidP="00EE6C7D">
            <w:pPr>
              <w:widowControl w:val="0"/>
              <w:tabs>
                <w:tab w:val="center" w:pos="671"/>
              </w:tabs>
              <w:jc w:val="both"/>
              <w:rPr>
                <w:rFonts w:ascii="Times New Roman" w:eastAsia="AngsanaUPC" w:hAnsi="Times New Roman" w:cs="Times New Roman"/>
                <w:b/>
                <w:bCs/>
                <w:lang w:eastAsia="lt-LT"/>
              </w:rPr>
            </w:pPr>
            <w:r>
              <w:rPr>
                <w:rFonts w:ascii="Times New Roman" w:eastAsia="AngsanaUPC" w:hAnsi="Times New Roman" w:cs="Times New Roman"/>
                <w:b/>
                <w:bCs/>
                <w:lang w:eastAsia="lt-LT"/>
              </w:rPr>
              <w:lastRenderedPageBreak/>
              <w:t>–</w:t>
            </w:r>
          </w:p>
        </w:tc>
        <w:tc>
          <w:tcPr>
            <w:tcW w:w="2835" w:type="dxa"/>
            <w:shd w:val="clear" w:color="auto" w:fill="auto"/>
          </w:tcPr>
          <w:p w:rsidR="00883011" w:rsidRPr="001F4C4B" w:rsidRDefault="00883011" w:rsidP="00C32E92">
            <w:pPr>
              <w:widowControl w:val="0"/>
              <w:tabs>
                <w:tab w:val="left" w:pos="1276"/>
              </w:tabs>
              <w:adjustRightInd w:val="0"/>
              <w:jc w:val="both"/>
              <w:textAlignment w:val="baseline"/>
              <w:rPr>
                <w:rFonts w:ascii="Times New Roman" w:eastAsia="Calibri" w:hAnsi="Times New Roman" w:cs="Times New Roman"/>
                <w:b/>
              </w:rPr>
            </w:pPr>
            <w:r>
              <w:rPr>
                <w:rFonts w:ascii="Times New Roman" w:eastAsia="Calibri" w:hAnsi="Times New Roman" w:cs="Times New Roman"/>
                <w:b/>
              </w:rPr>
              <w:t>–</w:t>
            </w:r>
          </w:p>
        </w:tc>
        <w:tc>
          <w:tcPr>
            <w:tcW w:w="2693" w:type="dxa"/>
            <w:shd w:val="clear" w:color="auto" w:fill="auto"/>
          </w:tcPr>
          <w:p w:rsidR="00883011" w:rsidRPr="001F4C4B" w:rsidDel="0071061B" w:rsidRDefault="00883011" w:rsidP="00C32E92">
            <w:pPr>
              <w:widowControl w:val="0"/>
              <w:tabs>
                <w:tab w:val="left" w:pos="622"/>
              </w:tabs>
              <w:jc w:val="both"/>
              <w:rPr>
                <w:rFonts w:ascii="Times New Roman" w:eastAsia="Calibri" w:hAnsi="Times New Roman" w:cs="Times New Roman"/>
                <w:b/>
              </w:rPr>
            </w:pPr>
            <w:r w:rsidRPr="001F4C4B">
              <w:rPr>
                <w:rFonts w:ascii="Times New Roman" w:eastAsia="Calibri" w:hAnsi="Times New Roman" w:cs="Times New Roman"/>
                <w:b/>
              </w:rPr>
              <w:t>Didinti gyventojų užimtumą, prisitaikymą prie besikeičiančios darbo rinkos, ir atsparumą pandemijos suk</w:t>
            </w:r>
            <w:r w:rsidR="006851D6">
              <w:rPr>
                <w:rFonts w:ascii="Times New Roman" w:eastAsia="Calibri" w:hAnsi="Times New Roman" w:cs="Times New Roman"/>
                <w:b/>
              </w:rPr>
              <w:t>eliamiems</w:t>
            </w:r>
            <w:r>
              <w:rPr>
                <w:rFonts w:ascii="Times New Roman" w:eastAsia="Calibri" w:hAnsi="Times New Roman" w:cs="Times New Roman"/>
                <w:b/>
              </w:rPr>
              <w:t xml:space="preserve"> iššūkiams</w:t>
            </w:r>
          </w:p>
        </w:tc>
        <w:tc>
          <w:tcPr>
            <w:tcW w:w="3119" w:type="dxa"/>
            <w:shd w:val="clear" w:color="auto" w:fill="auto"/>
          </w:tcPr>
          <w:p w:rsidR="00883011" w:rsidRPr="001F4C4B" w:rsidRDefault="00883011" w:rsidP="00C32E92">
            <w:pPr>
              <w:widowControl w:val="0"/>
              <w:tabs>
                <w:tab w:val="left" w:pos="622"/>
              </w:tabs>
              <w:jc w:val="both"/>
              <w:rPr>
                <w:rFonts w:ascii="Times New Roman" w:eastAsia="AngsanaUPC" w:hAnsi="Times New Roman" w:cs="Times New Roman"/>
                <w:b/>
                <w:bCs/>
                <w:lang w:eastAsia="lt-LT"/>
              </w:rPr>
            </w:pPr>
            <w:r w:rsidRPr="001F4C4B">
              <w:rPr>
                <w:rFonts w:ascii="Times New Roman" w:eastAsia="AngsanaUPC" w:hAnsi="Times New Roman" w:cs="Times New Roman"/>
                <w:b/>
                <w:bCs/>
                <w:lang w:eastAsia="lt-LT"/>
              </w:rPr>
              <w:t>Dalyviai, kurie baigę dalyvauti ESF veiklose pradėjo dirbti, įskaitant savarankišką darbą (Bedarbiai, įskaitant ilgalaikius bedarbius)</w:t>
            </w:r>
          </w:p>
        </w:tc>
        <w:tc>
          <w:tcPr>
            <w:tcW w:w="850" w:type="dxa"/>
            <w:shd w:val="clear" w:color="auto" w:fill="auto"/>
          </w:tcPr>
          <w:p w:rsidR="00883011" w:rsidRPr="00883011" w:rsidRDefault="00883011" w:rsidP="00C32E92">
            <w:pPr>
              <w:widowControl w:val="0"/>
              <w:tabs>
                <w:tab w:val="left" w:pos="622"/>
              </w:tabs>
              <w:jc w:val="both"/>
              <w:rPr>
                <w:rFonts w:ascii="Times New Roman" w:eastAsia="AngsanaUPC" w:hAnsi="Times New Roman" w:cs="Times New Roman"/>
                <w:bCs/>
                <w:lang w:eastAsia="lt-LT"/>
              </w:rPr>
            </w:pPr>
            <w:r w:rsidRPr="00883011">
              <w:rPr>
                <w:rFonts w:ascii="Times New Roman" w:eastAsia="AngsanaUPC" w:hAnsi="Times New Roman" w:cs="Times New Roman"/>
                <w:b/>
                <w:bCs/>
                <w:lang w:eastAsia="lt-LT"/>
              </w:rPr>
              <w:t>ESF</w:t>
            </w:r>
          </w:p>
        </w:tc>
        <w:tc>
          <w:tcPr>
            <w:tcW w:w="1276" w:type="dxa"/>
            <w:shd w:val="clear" w:color="auto" w:fill="auto"/>
          </w:tcPr>
          <w:p w:rsidR="00883011" w:rsidRPr="00883011" w:rsidRDefault="00883011" w:rsidP="00C32E92">
            <w:pPr>
              <w:widowControl w:val="0"/>
              <w:tabs>
                <w:tab w:val="left" w:pos="622"/>
              </w:tabs>
              <w:jc w:val="both"/>
              <w:rPr>
                <w:rFonts w:ascii="Times New Roman" w:eastAsia="AngsanaUPC" w:hAnsi="Times New Roman" w:cs="Times New Roman"/>
                <w:b/>
                <w:bCs/>
                <w:lang w:eastAsia="lt-LT"/>
              </w:rPr>
            </w:pPr>
            <w:r>
              <w:rPr>
                <w:rFonts w:ascii="Times New Roman" w:eastAsia="AngsanaUPC" w:hAnsi="Times New Roman" w:cs="Times New Roman"/>
                <w:b/>
                <w:bCs/>
                <w:lang w:eastAsia="lt-LT"/>
              </w:rPr>
              <w:t>46.000.000</w:t>
            </w:r>
          </w:p>
        </w:tc>
        <w:tc>
          <w:tcPr>
            <w:tcW w:w="1134" w:type="dxa"/>
            <w:shd w:val="clear" w:color="auto" w:fill="auto"/>
          </w:tcPr>
          <w:p w:rsidR="00883011" w:rsidRPr="00883011" w:rsidRDefault="00883011" w:rsidP="002C482C">
            <w:pPr>
              <w:widowControl w:val="0"/>
              <w:tabs>
                <w:tab w:val="left" w:pos="622"/>
              </w:tabs>
              <w:spacing w:line="360" w:lineRule="auto"/>
              <w:jc w:val="both"/>
              <w:rPr>
                <w:rFonts w:ascii="Times New Roman" w:eastAsia="AngsanaUPC" w:hAnsi="Times New Roman" w:cs="Times New Roman"/>
                <w:b/>
                <w:bCs/>
                <w:lang w:val="en-US" w:eastAsia="lt-LT"/>
              </w:rPr>
            </w:pPr>
            <w:r>
              <w:rPr>
                <w:rFonts w:ascii="Times New Roman" w:eastAsia="AngsanaUPC" w:hAnsi="Times New Roman" w:cs="Times New Roman"/>
                <w:b/>
                <w:bCs/>
                <w:lang w:eastAsia="lt-LT"/>
              </w:rPr>
              <w:t>0,7</w:t>
            </w:r>
            <w:r w:rsidRPr="00883011">
              <w:rPr>
                <w:rFonts w:ascii="Times New Roman" w:eastAsia="AngsanaUPC" w:hAnsi="Times New Roman" w:cs="Times New Roman"/>
                <w:b/>
                <w:bCs/>
                <w:lang w:val="en-US" w:eastAsia="lt-LT"/>
              </w:rPr>
              <w:t>%</w:t>
            </w:r>
          </w:p>
        </w:tc>
      </w:tr>
    </w:tbl>
    <w:p w:rsidR="00C32E92" w:rsidRDefault="00C32E92" w:rsidP="00F22733">
      <w:pPr>
        <w:widowControl w:val="0"/>
        <w:shd w:val="clear" w:color="auto" w:fill="FFFFFF"/>
        <w:spacing w:before="240" w:after="240"/>
        <w:jc w:val="both"/>
        <w:textAlignment w:val="baseline"/>
        <w:rPr>
          <w:rFonts w:ascii="Times New Roman" w:hAnsi="Times New Roman" w:cs="Times New Roman"/>
          <w:i/>
          <w:color w:val="000000"/>
          <w:sz w:val="24"/>
          <w:szCs w:val="24"/>
          <w:u w:val="single"/>
        </w:rPr>
      </w:pPr>
    </w:p>
    <w:p w:rsidR="00C32E92" w:rsidRDefault="00C32E92">
      <w:pPr>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br w:type="page"/>
      </w:r>
    </w:p>
    <w:p w:rsidR="00C32E92" w:rsidRDefault="00C32E92" w:rsidP="00F22733">
      <w:pPr>
        <w:widowControl w:val="0"/>
        <w:shd w:val="clear" w:color="auto" w:fill="FFFFFF"/>
        <w:spacing w:before="240" w:after="240"/>
        <w:jc w:val="both"/>
        <w:textAlignment w:val="baseline"/>
        <w:rPr>
          <w:rFonts w:ascii="Times New Roman" w:hAnsi="Times New Roman" w:cs="Times New Roman"/>
          <w:i/>
          <w:color w:val="000000"/>
          <w:sz w:val="24"/>
          <w:szCs w:val="24"/>
          <w:u w:val="single"/>
        </w:rPr>
        <w:sectPr w:rsidR="00C32E92" w:rsidSect="00C32E92">
          <w:pgSz w:w="16839" w:h="11907" w:orient="landscape" w:code="9"/>
          <w:pgMar w:top="1134" w:right="1134" w:bottom="567" w:left="1134" w:header="561" w:footer="686" w:gutter="0"/>
          <w:cols w:space="1296"/>
          <w:formProt w:val="0"/>
          <w:titlePg/>
          <w:docGrid w:linePitch="326"/>
        </w:sectPr>
      </w:pPr>
    </w:p>
    <w:p w:rsidR="00946084" w:rsidRPr="00697AD2" w:rsidRDefault="00522D09" w:rsidP="00F22733">
      <w:pPr>
        <w:widowControl w:val="0"/>
        <w:shd w:val="clear" w:color="auto" w:fill="FFFFFF"/>
        <w:spacing w:before="240" w:after="240"/>
        <w:jc w:val="both"/>
        <w:textAlignment w:val="baseline"/>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lastRenderedPageBreak/>
        <w:t>5</w:t>
      </w:r>
      <w:r w:rsidR="00C32E92">
        <w:rPr>
          <w:rFonts w:ascii="Times New Roman" w:hAnsi="Times New Roman" w:cs="Times New Roman"/>
          <w:i/>
          <w:color w:val="000000"/>
          <w:sz w:val="24"/>
          <w:szCs w:val="24"/>
          <w:u w:val="single"/>
        </w:rPr>
        <w:t xml:space="preserve">. </w:t>
      </w:r>
      <w:r w:rsidR="00946084" w:rsidRPr="00697AD2">
        <w:rPr>
          <w:rFonts w:ascii="Times New Roman" w:hAnsi="Times New Roman" w:cs="Times New Roman"/>
          <w:i/>
          <w:color w:val="000000"/>
          <w:sz w:val="24"/>
          <w:szCs w:val="24"/>
          <w:u w:val="single"/>
        </w:rPr>
        <w:t>Pakeisti Veiksmų programos 2 skirsnio „Prioritetų aprašymas</w:t>
      </w:r>
      <w:r w:rsidR="00946084" w:rsidRPr="00D1015C">
        <w:rPr>
          <w:rFonts w:ascii="Times New Roman" w:hAnsi="Times New Roman" w:cs="Times New Roman"/>
          <w:i/>
          <w:color w:val="000000"/>
          <w:sz w:val="24"/>
          <w:szCs w:val="24"/>
          <w:u w:val="single"/>
        </w:rPr>
        <w:t>“ 3 prioriteto</w:t>
      </w:r>
      <w:r w:rsidR="00946084" w:rsidRPr="00697AD2">
        <w:rPr>
          <w:rFonts w:ascii="Times New Roman" w:hAnsi="Times New Roman" w:cs="Times New Roman"/>
          <w:i/>
          <w:color w:val="000000"/>
          <w:sz w:val="24"/>
          <w:szCs w:val="24"/>
          <w:u w:val="single"/>
        </w:rPr>
        <w:t xml:space="preserve"> „</w:t>
      </w:r>
      <w:r w:rsidR="00946084" w:rsidRPr="00697AD2">
        <w:rPr>
          <w:rFonts w:ascii="Times New Roman" w:hAnsi="Times New Roman" w:cs="Times New Roman"/>
          <w:bCs/>
          <w:i/>
          <w:iCs/>
          <w:color w:val="000000"/>
          <w:sz w:val="24"/>
          <w:szCs w:val="24"/>
          <w:u w:val="single"/>
        </w:rPr>
        <w:t>Smulkiojo ir vidutinio verslo konkurencingumo skatinimas</w:t>
      </w:r>
      <w:r w:rsidR="00F22733">
        <w:rPr>
          <w:rFonts w:ascii="Times New Roman" w:hAnsi="Times New Roman" w:cs="Times New Roman"/>
          <w:i/>
          <w:color w:val="000000"/>
          <w:sz w:val="24"/>
          <w:szCs w:val="24"/>
          <w:u w:val="single"/>
        </w:rPr>
        <w:t>“ lentelės</w:t>
      </w:r>
      <w:r w:rsidR="00946084" w:rsidRPr="00697AD2">
        <w:rPr>
          <w:rFonts w:ascii="Times New Roman" w:hAnsi="Times New Roman" w:cs="Times New Roman"/>
          <w:i/>
          <w:color w:val="000000"/>
          <w:sz w:val="24"/>
          <w:szCs w:val="24"/>
          <w:u w:val="single"/>
        </w:rPr>
        <w:t xml:space="preserve"> „Prioriteto veiklo</w:t>
      </w:r>
      <w:r w:rsidR="0061220B" w:rsidRPr="00697AD2">
        <w:rPr>
          <w:rFonts w:ascii="Times New Roman" w:hAnsi="Times New Roman" w:cs="Times New Roman"/>
          <w:i/>
          <w:color w:val="000000"/>
          <w:sz w:val="24"/>
          <w:szCs w:val="24"/>
          <w:u w:val="single"/>
        </w:rPr>
        <w:t>s rezultatų peržiūros planas“</w:t>
      </w:r>
      <w:r w:rsidR="00F22733">
        <w:rPr>
          <w:rFonts w:ascii="Times New Roman" w:hAnsi="Times New Roman" w:cs="Times New Roman"/>
          <w:i/>
          <w:color w:val="000000"/>
          <w:sz w:val="24"/>
          <w:szCs w:val="24"/>
          <w:u w:val="single"/>
        </w:rPr>
        <w:t xml:space="preserve"> antrąją eilutę</w:t>
      </w:r>
      <w:r w:rsidR="0061220B" w:rsidRPr="00697AD2">
        <w:rPr>
          <w:rFonts w:ascii="Times New Roman" w:hAnsi="Times New Roman" w:cs="Times New Roman"/>
          <w:i/>
          <w:color w:val="000000"/>
          <w:sz w:val="24"/>
          <w:szCs w:val="24"/>
          <w:u w:val="single"/>
        </w:rPr>
        <w:t xml:space="preserve"> ir išdėstyti</w:t>
      </w:r>
      <w:r w:rsidR="00946084" w:rsidRPr="00697AD2">
        <w:rPr>
          <w:rFonts w:ascii="Times New Roman" w:hAnsi="Times New Roman" w:cs="Times New Roman"/>
          <w:i/>
          <w:color w:val="000000"/>
          <w:sz w:val="24"/>
          <w:szCs w:val="24"/>
          <w:u w:val="single"/>
        </w:rPr>
        <w:t xml:space="preserve"> </w:t>
      </w:r>
      <w:r w:rsidR="0061220B" w:rsidRPr="00697AD2">
        <w:rPr>
          <w:rFonts w:ascii="Times New Roman" w:hAnsi="Times New Roman" w:cs="Times New Roman"/>
          <w:i/>
          <w:color w:val="000000"/>
          <w:sz w:val="24"/>
          <w:szCs w:val="24"/>
          <w:u w:val="single"/>
        </w:rPr>
        <w:t xml:space="preserve">ją </w:t>
      </w:r>
      <w:r w:rsidR="00946084" w:rsidRPr="00697AD2">
        <w:rPr>
          <w:rFonts w:ascii="Times New Roman" w:hAnsi="Times New Roman" w:cs="Times New Roman"/>
          <w:i/>
          <w:color w:val="000000"/>
          <w:sz w:val="24"/>
          <w:szCs w:val="24"/>
          <w:u w:val="single"/>
        </w:rPr>
        <w:t>taip:</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021"/>
        <w:gridCol w:w="1317"/>
        <w:gridCol w:w="756"/>
        <w:gridCol w:w="686"/>
        <w:gridCol w:w="966"/>
        <w:gridCol w:w="1119"/>
        <w:gridCol w:w="1204"/>
        <w:gridCol w:w="1011"/>
        <w:gridCol w:w="1985"/>
      </w:tblGrid>
      <w:tr w:rsidR="007C0EB2" w:rsidRPr="00697AD2" w:rsidTr="00C32E92">
        <w:trPr>
          <w:cantSplit/>
          <w:trHeight w:val="311"/>
        </w:trPr>
        <w:tc>
          <w:tcPr>
            <w:tcW w:w="10065" w:type="dxa"/>
            <w:gridSpan w:val="9"/>
            <w:shd w:val="clear" w:color="auto" w:fill="EEECE1" w:themeFill="background2"/>
            <w:vAlign w:val="center"/>
          </w:tcPr>
          <w:p w:rsidR="007C0EB2" w:rsidRPr="00697AD2" w:rsidRDefault="007C0EB2" w:rsidP="007C0EB2">
            <w:pPr>
              <w:widowControl w:val="0"/>
              <w:tabs>
                <w:tab w:val="left" w:pos="622"/>
              </w:tabs>
              <w:rPr>
                <w:rFonts w:ascii="Times New Roman" w:eastAsia="AngsanaUPC" w:hAnsi="Times New Roman" w:cs="Times New Roman"/>
                <w:b/>
                <w:bCs/>
                <w:iCs/>
                <w:sz w:val="18"/>
                <w:szCs w:val="18"/>
                <w:lang w:eastAsia="lt-LT"/>
              </w:rPr>
            </w:pPr>
            <w:r w:rsidRPr="00697AD2">
              <w:rPr>
                <w:rFonts w:ascii="Times New Roman" w:eastAsia="AngsanaUPC" w:hAnsi="Times New Roman" w:cs="Times New Roman"/>
                <w:b/>
                <w:bCs/>
                <w:i/>
                <w:iCs/>
                <w:sz w:val="18"/>
                <w:szCs w:val="18"/>
                <w:lang w:eastAsia="lt-LT"/>
              </w:rPr>
              <w:t>Prioriteto veiklos rezultatų peržiūros planas</w:t>
            </w:r>
          </w:p>
        </w:tc>
      </w:tr>
      <w:tr w:rsidR="007C0EB2" w:rsidRPr="00697AD2" w:rsidTr="00C32E92">
        <w:trPr>
          <w:cantSplit/>
          <w:trHeight w:val="1134"/>
        </w:trPr>
        <w:tc>
          <w:tcPr>
            <w:tcW w:w="1021" w:type="dxa"/>
            <w:shd w:val="clear" w:color="auto" w:fill="EEECE1" w:themeFill="background2"/>
            <w:vAlign w:val="center"/>
          </w:tcPr>
          <w:p w:rsidR="007C0EB2" w:rsidRPr="00697AD2" w:rsidRDefault="007C0EB2" w:rsidP="00437090">
            <w:pPr>
              <w:widowControl w:val="0"/>
              <w:tabs>
                <w:tab w:val="left" w:pos="622"/>
              </w:tabs>
              <w:jc w:val="center"/>
              <w:rPr>
                <w:rFonts w:ascii="Times New Roman" w:eastAsia="AngsanaUPC" w:hAnsi="Times New Roman" w:cs="Times New Roman"/>
                <w:b/>
                <w:bCs/>
                <w:iCs/>
                <w:sz w:val="18"/>
                <w:szCs w:val="18"/>
                <w:lang w:eastAsia="lt-LT"/>
              </w:rPr>
            </w:pPr>
            <w:r w:rsidRPr="00697AD2">
              <w:rPr>
                <w:rFonts w:ascii="Times New Roman" w:eastAsia="AngsanaUPC" w:hAnsi="Times New Roman" w:cs="Times New Roman"/>
                <w:b/>
                <w:bCs/>
                <w:iCs/>
                <w:sz w:val="18"/>
                <w:szCs w:val="18"/>
                <w:lang w:eastAsia="lt-LT"/>
              </w:rPr>
              <w:t>Rodiklio rūšis (įgyvendinimo žingsniai, finansinis, produkto ir rezultato rodiklis)</w:t>
            </w:r>
          </w:p>
        </w:tc>
        <w:tc>
          <w:tcPr>
            <w:tcW w:w="1317" w:type="dxa"/>
            <w:shd w:val="clear" w:color="auto" w:fill="EEECE1" w:themeFill="background2"/>
            <w:vAlign w:val="center"/>
          </w:tcPr>
          <w:p w:rsidR="007C0EB2" w:rsidRPr="00697AD2" w:rsidRDefault="007C0EB2" w:rsidP="00437090">
            <w:pPr>
              <w:widowControl w:val="0"/>
              <w:tabs>
                <w:tab w:val="left" w:pos="622"/>
              </w:tabs>
              <w:jc w:val="center"/>
              <w:rPr>
                <w:rFonts w:ascii="Times New Roman" w:eastAsia="AngsanaUPC" w:hAnsi="Times New Roman" w:cs="Times New Roman"/>
                <w:b/>
                <w:bCs/>
                <w:iCs/>
                <w:sz w:val="18"/>
                <w:szCs w:val="18"/>
                <w:lang w:eastAsia="lt-LT"/>
              </w:rPr>
            </w:pPr>
            <w:r w:rsidRPr="00697AD2">
              <w:rPr>
                <w:rFonts w:ascii="Times New Roman" w:eastAsia="AngsanaUPC" w:hAnsi="Times New Roman" w:cs="Times New Roman"/>
                <w:b/>
                <w:bCs/>
                <w:iCs/>
                <w:sz w:val="18"/>
                <w:szCs w:val="18"/>
                <w:lang w:eastAsia="lt-LT"/>
              </w:rPr>
              <w:t>Rodiklio apibrėžimas arba įgyvendinimo žingsnis</w:t>
            </w:r>
          </w:p>
        </w:tc>
        <w:tc>
          <w:tcPr>
            <w:tcW w:w="756" w:type="dxa"/>
            <w:shd w:val="clear" w:color="auto" w:fill="EEECE1" w:themeFill="background2"/>
            <w:textDirection w:val="btLr"/>
            <w:vAlign w:val="center"/>
          </w:tcPr>
          <w:p w:rsidR="007C0EB2" w:rsidRPr="00697AD2" w:rsidRDefault="007C0EB2" w:rsidP="00437090">
            <w:pPr>
              <w:widowControl w:val="0"/>
              <w:tabs>
                <w:tab w:val="left" w:pos="622"/>
              </w:tabs>
              <w:ind w:left="113" w:right="113"/>
              <w:jc w:val="center"/>
              <w:rPr>
                <w:rFonts w:ascii="Times New Roman" w:eastAsia="AngsanaUPC" w:hAnsi="Times New Roman" w:cs="Times New Roman"/>
                <w:b/>
                <w:bCs/>
                <w:iCs/>
                <w:sz w:val="18"/>
                <w:szCs w:val="18"/>
                <w:lang w:eastAsia="lt-LT"/>
              </w:rPr>
            </w:pPr>
            <w:r w:rsidRPr="00697AD2">
              <w:rPr>
                <w:rFonts w:ascii="Times New Roman" w:eastAsia="AngsanaUPC" w:hAnsi="Times New Roman" w:cs="Times New Roman"/>
                <w:b/>
                <w:bCs/>
                <w:iCs/>
                <w:sz w:val="18"/>
                <w:szCs w:val="18"/>
                <w:lang w:eastAsia="lt-LT"/>
              </w:rPr>
              <w:t>Matavimo vienetas</w:t>
            </w:r>
          </w:p>
        </w:tc>
        <w:tc>
          <w:tcPr>
            <w:tcW w:w="686" w:type="dxa"/>
            <w:shd w:val="clear" w:color="auto" w:fill="EEECE1" w:themeFill="background2"/>
            <w:textDirection w:val="btLr"/>
            <w:vAlign w:val="center"/>
          </w:tcPr>
          <w:p w:rsidR="007C0EB2" w:rsidRPr="00697AD2" w:rsidRDefault="007C0EB2" w:rsidP="00437090">
            <w:pPr>
              <w:widowControl w:val="0"/>
              <w:tabs>
                <w:tab w:val="left" w:pos="622"/>
              </w:tabs>
              <w:ind w:left="113" w:right="113"/>
              <w:jc w:val="center"/>
              <w:rPr>
                <w:rFonts w:ascii="Times New Roman" w:eastAsia="AngsanaUPC" w:hAnsi="Times New Roman" w:cs="Times New Roman"/>
                <w:b/>
                <w:bCs/>
                <w:iCs/>
                <w:sz w:val="18"/>
                <w:szCs w:val="18"/>
                <w:lang w:eastAsia="lt-LT"/>
              </w:rPr>
            </w:pPr>
            <w:r w:rsidRPr="00697AD2">
              <w:rPr>
                <w:rFonts w:ascii="Times New Roman" w:eastAsia="AngsanaUPC" w:hAnsi="Times New Roman" w:cs="Times New Roman"/>
                <w:b/>
                <w:bCs/>
                <w:iCs/>
                <w:sz w:val="18"/>
                <w:szCs w:val="18"/>
                <w:lang w:eastAsia="lt-LT"/>
              </w:rPr>
              <w:t>Fondas</w:t>
            </w:r>
          </w:p>
        </w:tc>
        <w:tc>
          <w:tcPr>
            <w:tcW w:w="966" w:type="dxa"/>
            <w:shd w:val="clear" w:color="auto" w:fill="EEECE1" w:themeFill="background2"/>
            <w:textDirection w:val="btLr"/>
            <w:vAlign w:val="center"/>
          </w:tcPr>
          <w:p w:rsidR="007C0EB2" w:rsidRPr="00697AD2" w:rsidRDefault="007C0EB2" w:rsidP="00437090">
            <w:pPr>
              <w:widowControl w:val="0"/>
              <w:tabs>
                <w:tab w:val="left" w:pos="622"/>
              </w:tabs>
              <w:ind w:left="113" w:right="113"/>
              <w:jc w:val="center"/>
              <w:rPr>
                <w:rFonts w:ascii="Times New Roman" w:eastAsia="AngsanaUPC" w:hAnsi="Times New Roman" w:cs="Times New Roman"/>
                <w:b/>
                <w:bCs/>
                <w:iCs/>
                <w:sz w:val="18"/>
                <w:szCs w:val="18"/>
                <w:lang w:eastAsia="lt-LT"/>
              </w:rPr>
            </w:pPr>
            <w:r w:rsidRPr="00697AD2">
              <w:rPr>
                <w:rFonts w:ascii="Times New Roman" w:eastAsia="AngsanaUPC" w:hAnsi="Times New Roman" w:cs="Times New Roman"/>
                <w:b/>
                <w:bCs/>
                <w:iCs/>
                <w:sz w:val="18"/>
                <w:szCs w:val="18"/>
                <w:lang w:eastAsia="lt-LT"/>
              </w:rPr>
              <w:t>Regiono kategorija</w:t>
            </w:r>
          </w:p>
        </w:tc>
        <w:tc>
          <w:tcPr>
            <w:tcW w:w="1119" w:type="dxa"/>
            <w:shd w:val="clear" w:color="auto" w:fill="EEECE1" w:themeFill="background2"/>
            <w:vAlign w:val="center"/>
          </w:tcPr>
          <w:p w:rsidR="007C0EB2" w:rsidRPr="00697AD2" w:rsidRDefault="007C0EB2" w:rsidP="00437090">
            <w:pPr>
              <w:widowControl w:val="0"/>
              <w:tabs>
                <w:tab w:val="left" w:pos="622"/>
              </w:tabs>
              <w:jc w:val="center"/>
              <w:rPr>
                <w:rFonts w:ascii="Times New Roman" w:eastAsia="AngsanaUPC" w:hAnsi="Times New Roman" w:cs="Times New Roman"/>
                <w:b/>
                <w:bCs/>
                <w:iCs/>
                <w:sz w:val="18"/>
                <w:szCs w:val="18"/>
                <w:lang w:eastAsia="lt-LT"/>
              </w:rPr>
            </w:pPr>
            <w:r w:rsidRPr="00697AD2">
              <w:rPr>
                <w:rFonts w:ascii="Times New Roman" w:eastAsia="AngsanaUPC" w:hAnsi="Times New Roman" w:cs="Times New Roman"/>
                <w:b/>
                <w:bCs/>
                <w:iCs/>
                <w:sz w:val="18"/>
                <w:szCs w:val="18"/>
                <w:lang w:eastAsia="lt-LT"/>
              </w:rPr>
              <w:t>Tarpinė reikšmė (2018)</w:t>
            </w:r>
          </w:p>
        </w:tc>
        <w:tc>
          <w:tcPr>
            <w:tcW w:w="1204" w:type="dxa"/>
            <w:shd w:val="clear" w:color="auto" w:fill="EEECE1" w:themeFill="background2"/>
            <w:vAlign w:val="center"/>
          </w:tcPr>
          <w:p w:rsidR="007C0EB2" w:rsidRPr="00697AD2" w:rsidRDefault="007C0EB2" w:rsidP="00437090">
            <w:pPr>
              <w:widowControl w:val="0"/>
              <w:tabs>
                <w:tab w:val="left" w:pos="622"/>
              </w:tabs>
              <w:jc w:val="center"/>
              <w:rPr>
                <w:rFonts w:ascii="Times New Roman" w:eastAsia="AngsanaUPC" w:hAnsi="Times New Roman" w:cs="Times New Roman"/>
                <w:b/>
                <w:bCs/>
                <w:iCs/>
                <w:sz w:val="18"/>
                <w:szCs w:val="18"/>
                <w:lang w:eastAsia="lt-LT"/>
              </w:rPr>
            </w:pPr>
            <w:r w:rsidRPr="00697AD2">
              <w:rPr>
                <w:rFonts w:ascii="Times New Roman" w:eastAsia="AngsanaUPC" w:hAnsi="Times New Roman" w:cs="Times New Roman"/>
                <w:b/>
                <w:bCs/>
                <w:iCs/>
                <w:sz w:val="18"/>
                <w:szCs w:val="18"/>
                <w:lang w:eastAsia="lt-LT"/>
              </w:rPr>
              <w:t>Siektina reikšmė (2023)</w:t>
            </w:r>
          </w:p>
        </w:tc>
        <w:tc>
          <w:tcPr>
            <w:tcW w:w="1011" w:type="dxa"/>
            <w:shd w:val="clear" w:color="auto" w:fill="EEECE1" w:themeFill="background2"/>
            <w:vAlign w:val="center"/>
          </w:tcPr>
          <w:p w:rsidR="007C0EB2" w:rsidRPr="00697AD2" w:rsidRDefault="007C0EB2" w:rsidP="00437090">
            <w:pPr>
              <w:widowControl w:val="0"/>
              <w:tabs>
                <w:tab w:val="left" w:pos="622"/>
              </w:tabs>
              <w:jc w:val="center"/>
              <w:rPr>
                <w:rFonts w:ascii="Times New Roman" w:eastAsia="AngsanaUPC" w:hAnsi="Times New Roman" w:cs="Times New Roman"/>
                <w:b/>
                <w:bCs/>
                <w:iCs/>
                <w:sz w:val="18"/>
                <w:szCs w:val="18"/>
                <w:lang w:eastAsia="lt-LT"/>
              </w:rPr>
            </w:pPr>
            <w:r w:rsidRPr="00697AD2">
              <w:rPr>
                <w:rFonts w:ascii="Times New Roman" w:eastAsia="AngsanaUPC" w:hAnsi="Times New Roman" w:cs="Times New Roman"/>
                <w:b/>
                <w:bCs/>
                <w:iCs/>
                <w:sz w:val="18"/>
                <w:szCs w:val="18"/>
                <w:lang w:eastAsia="lt-LT"/>
              </w:rPr>
              <w:t>Duomenų šaltinis</w:t>
            </w:r>
          </w:p>
        </w:tc>
        <w:tc>
          <w:tcPr>
            <w:tcW w:w="1985" w:type="dxa"/>
            <w:shd w:val="clear" w:color="auto" w:fill="EEECE1" w:themeFill="background2"/>
            <w:vAlign w:val="center"/>
          </w:tcPr>
          <w:p w:rsidR="007C0EB2" w:rsidRPr="00697AD2" w:rsidRDefault="007C0EB2" w:rsidP="00437090">
            <w:pPr>
              <w:widowControl w:val="0"/>
              <w:tabs>
                <w:tab w:val="left" w:pos="622"/>
              </w:tabs>
              <w:jc w:val="center"/>
              <w:rPr>
                <w:rFonts w:ascii="Times New Roman" w:eastAsia="AngsanaUPC" w:hAnsi="Times New Roman" w:cs="Times New Roman"/>
                <w:b/>
                <w:bCs/>
                <w:iCs/>
                <w:sz w:val="18"/>
                <w:szCs w:val="18"/>
                <w:lang w:eastAsia="lt-LT"/>
              </w:rPr>
            </w:pPr>
            <w:r w:rsidRPr="00697AD2">
              <w:rPr>
                <w:rFonts w:ascii="Times New Roman" w:eastAsia="AngsanaUPC" w:hAnsi="Times New Roman" w:cs="Times New Roman"/>
                <w:b/>
                <w:bCs/>
                <w:iCs/>
                <w:sz w:val="18"/>
                <w:szCs w:val="18"/>
                <w:lang w:eastAsia="lt-LT"/>
              </w:rPr>
              <w:t>Rodiklių tinkamumo pagrindimas</w:t>
            </w:r>
          </w:p>
        </w:tc>
      </w:tr>
      <w:tr w:rsidR="007E16ED" w:rsidRPr="00697AD2" w:rsidTr="0071626C">
        <w:tc>
          <w:tcPr>
            <w:tcW w:w="1021" w:type="dxa"/>
            <w:shd w:val="clear" w:color="auto" w:fill="auto"/>
            <w:vAlign w:val="center"/>
          </w:tcPr>
          <w:p w:rsidR="007E16ED" w:rsidRPr="00902AFC" w:rsidRDefault="007E16ED" w:rsidP="00902AFC">
            <w:pPr>
              <w:pStyle w:val="Default"/>
              <w:rPr>
                <w:sz w:val="18"/>
                <w:szCs w:val="18"/>
              </w:rPr>
            </w:pPr>
            <w:r w:rsidRPr="00902AFC">
              <w:rPr>
                <w:sz w:val="18"/>
                <w:szCs w:val="18"/>
              </w:rPr>
              <w:t xml:space="preserve">Produkto rodiklis </w:t>
            </w:r>
          </w:p>
        </w:tc>
        <w:tc>
          <w:tcPr>
            <w:tcW w:w="1317" w:type="dxa"/>
            <w:shd w:val="clear" w:color="auto" w:fill="auto"/>
            <w:vAlign w:val="center"/>
          </w:tcPr>
          <w:p w:rsidR="007E16ED" w:rsidRPr="00902AFC" w:rsidRDefault="007E16ED" w:rsidP="00902AFC">
            <w:pPr>
              <w:pStyle w:val="Default"/>
              <w:rPr>
                <w:sz w:val="18"/>
                <w:szCs w:val="18"/>
              </w:rPr>
            </w:pPr>
            <w:r w:rsidRPr="00902AFC">
              <w:rPr>
                <w:sz w:val="18"/>
                <w:szCs w:val="18"/>
              </w:rPr>
              <w:t xml:space="preserve">Subsidijas gaunančių įmonių skaičius </w:t>
            </w:r>
          </w:p>
        </w:tc>
        <w:tc>
          <w:tcPr>
            <w:tcW w:w="756" w:type="dxa"/>
            <w:shd w:val="clear" w:color="auto" w:fill="auto"/>
            <w:vAlign w:val="center"/>
          </w:tcPr>
          <w:p w:rsidR="007E16ED" w:rsidRPr="00902AFC" w:rsidRDefault="007E16ED" w:rsidP="00902AFC">
            <w:pPr>
              <w:pStyle w:val="Default"/>
              <w:jc w:val="center"/>
              <w:rPr>
                <w:sz w:val="18"/>
                <w:szCs w:val="18"/>
              </w:rPr>
            </w:pPr>
            <w:r w:rsidRPr="00902AFC">
              <w:rPr>
                <w:sz w:val="18"/>
                <w:szCs w:val="18"/>
              </w:rPr>
              <w:t xml:space="preserve">Įmonės </w:t>
            </w:r>
          </w:p>
        </w:tc>
        <w:tc>
          <w:tcPr>
            <w:tcW w:w="686" w:type="dxa"/>
            <w:shd w:val="clear" w:color="auto" w:fill="auto"/>
            <w:vAlign w:val="center"/>
          </w:tcPr>
          <w:p w:rsidR="007E16ED" w:rsidRPr="00902AFC" w:rsidRDefault="00902AFC" w:rsidP="00902AFC">
            <w:pPr>
              <w:pStyle w:val="Default"/>
              <w:jc w:val="center"/>
              <w:rPr>
                <w:sz w:val="18"/>
                <w:szCs w:val="18"/>
              </w:rPr>
            </w:pPr>
            <w:r>
              <w:rPr>
                <w:sz w:val="18"/>
                <w:szCs w:val="18"/>
              </w:rPr>
              <w:t>ERPF</w:t>
            </w:r>
          </w:p>
        </w:tc>
        <w:tc>
          <w:tcPr>
            <w:tcW w:w="966" w:type="dxa"/>
            <w:shd w:val="clear" w:color="auto" w:fill="auto"/>
            <w:vAlign w:val="center"/>
          </w:tcPr>
          <w:p w:rsidR="007E16ED" w:rsidRPr="00902AFC" w:rsidRDefault="00902AFC" w:rsidP="00902AFC">
            <w:pPr>
              <w:pStyle w:val="Default"/>
              <w:jc w:val="center"/>
              <w:rPr>
                <w:sz w:val="18"/>
                <w:szCs w:val="18"/>
              </w:rPr>
            </w:pPr>
            <w:r>
              <w:rPr>
                <w:sz w:val="18"/>
                <w:szCs w:val="18"/>
              </w:rPr>
              <w:t>Mažiau išsivystęs</w:t>
            </w:r>
          </w:p>
        </w:tc>
        <w:tc>
          <w:tcPr>
            <w:tcW w:w="1119" w:type="dxa"/>
            <w:shd w:val="clear" w:color="auto" w:fill="auto"/>
            <w:vAlign w:val="center"/>
          </w:tcPr>
          <w:p w:rsidR="007E16ED" w:rsidRPr="00902AFC" w:rsidRDefault="007E16ED" w:rsidP="007E16ED">
            <w:pPr>
              <w:jc w:val="center"/>
              <w:rPr>
                <w:rFonts w:ascii="Times New Roman" w:hAnsi="Times New Roman" w:cs="Times New Roman"/>
                <w:bCs/>
                <w:color w:val="000000"/>
                <w:sz w:val="18"/>
                <w:szCs w:val="18"/>
                <w:lang w:val="en-US"/>
              </w:rPr>
            </w:pPr>
            <w:r w:rsidRPr="00902AFC">
              <w:rPr>
                <w:rFonts w:ascii="Times New Roman" w:hAnsi="Times New Roman" w:cs="Times New Roman"/>
                <w:bCs/>
                <w:color w:val="000000"/>
                <w:sz w:val="18"/>
                <w:szCs w:val="18"/>
                <w:lang w:val="en-US"/>
              </w:rPr>
              <w:t>210</w:t>
            </w:r>
          </w:p>
        </w:tc>
        <w:tc>
          <w:tcPr>
            <w:tcW w:w="1204" w:type="dxa"/>
            <w:shd w:val="clear" w:color="auto" w:fill="auto"/>
            <w:vAlign w:val="center"/>
          </w:tcPr>
          <w:p w:rsidR="007E16ED" w:rsidRPr="00F22733" w:rsidRDefault="0040492D" w:rsidP="00902AFC">
            <w:pPr>
              <w:jc w:val="center"/>
              <w:rPr>
                <w:rFonts w:ascii="Times New Roman" w:hAnsi="Times New Roman" w:cs="Times New Roman"/>
                <w:color w:val="000000"/>
                <w:sz w:val="18"/>
                <w:szCs w:val="18"/>
              </w:rPr>
            </w:pPr>
            <w:r w:rsidRPr="00F22733">
              <w:rPr>
                <w:rFonts w:ascii="Times New Roman" w:hAnsi="Times New Roman" w:cs="Times New Roman"/>
                <w:color w:val="000000"/>
                <w:sz w:val="18"/>
                <w:szCs w:val="18"/>
              </w:rPr>
              <w:t>3</w:t>
            </w:r>
            <w:r w:rsidR="00400A7D" w:rsidRPr="00F22733">
              <w:rPr>
                <w:rFonts w:ascii="Times New Roman" w:hAnsi="Times New Roman" w:cs="Times New Roman"/>
                <w:color w:val="000000"/>
                <w:sz w:val="18"/>
                <w:szCs w:val="18"/>
              </w:rPr>
              <w:t xml:space="preserve"> </w:t>
            </w:r>
            <w:r w:rsidRPr="00F22733">
              <w:rPr>
                <w:rFonts w:ascii="Times New Roman" w:hAnsi="Times New Roman" w:cs="Times New Roman"/>
                <w:color w:val="000000"/>
                <w:sz w:val="18"/>
                <w:szCs w:val="18"/>
              </w:rPr>
              <w:t>355</w:t>
            </w:r>
          </w:p>
        </w:tc>
        <w:tc>
          <w:tcPr>
            <w:tcW w:w="1011" w:type="dxa"/>
            <w:shd w:val="clear" w:color="auto" w:fill="auto"/>
            <w:vAlign w:val="center"/>
          </w:tcPr>
          <w:p w:rsidR="007E16ED" w:rsidRPr="00400A7D" w:rsidRDefault="00902AFC" w:rsidP="00902AFC">
            <w:pPr>
              <w:pStyle w:val="Default"/>
              <w:jc w:val="center"/>
              <w:rPr>
                <w:sz w:val="18"/>
                <w:szCs w:val="18"/>
              </w:rPr>
            </w:pPr>
            <w:r w:rsidRPr="00400A7D">
              <w:rPr>
                <w:sz w:val="18"/>
                <w:szCs w:val="18"/>
              </w:rPr>
              <w:t>Duomenys iš projektų</w:t>
            </w:r>
          </w:p>
        </w:tc>
        <w:tc>
          <w:tcPr>
            <w:tcW w:w="1985" w:type="dxa"/>
            <w:shd w:val="clear" w:color="auto" w:fill="auto"/>
            <w:vAlign w:val="center"/>
          </w:tcPr>
          <w:p w:rsidR="007E16ED" w:rsidRPr="00902AFC" w:rsidRDefault="007E16ED" w:rsidP="00902AFC">
            <w:pPr>
              <w:pStyle w:val="Default"/>
              <w:rPr>
                <w:sz w:val="18"/>
                <w:szCs w:val="18"/>
              </w:rPr>
            </w:pPr>
            <w:r w:rsidRPr="00902AFC">
              <w:rPr>
                <w:sz w:val="18"/>
                <w:szCs w:val="18"/>
              </w:rPr>
              <w:t xml:space="preserve">Rodiklis atspindi prioriteto įgyvendinimo eigą, nes jo pasiekimui skirta </w:t>
            </w:r>
            <w:r w:rsidR="00401852" w:rsidRPr="00902AFC">
              <w:rPr>
                <w:strike/>
                <w:sz w:val="18"/>
                <w:szCs w:val="18"/>
              </w:rPr>
              <w:t>60</w:t>
            </w:r>
            <w:r w:rsidR="00401852" w:rsidRPr="00902AFC">
              <w:rPr>
                <w:sz w:val="18"/>
                <w:szCs w:val="18"/>
              </w:rPr>
              <w:t xml:space="preserve"> </w:t>
            </w:r>
            <w:r w:rsidRPr="00902AFC">
              <w:rPr>
                <w:b/>
                <w:color w:val="auto"/>
                <w:sz w:val="18"/>
                <w:szCs w:val="18"/>
              </w:rPr>
              <w:t>6</w:t>
            </w:r>
            <w:r w:rsidR="004A10BE" w:rsidRPr="00902AFC">
              <w:rPr>
                <w:b/>
                <w:color w:val="auto"/>
                <w:sz w:val="18"/>
                <w:szCs w:val="18"/>
              </w:rPr>
              <w:t>2</w:t>
            </w:r>
            <w:r w:rsidRPr="00902AFC">
              <w:rPr>
                <w:sz w:val="18"/>
                <w:szCs w:val="18"/>
              </w:rPr>
              <w:t xml:space="preserve"> proc. šio prioriteto </w:t>
            </w:r>
            <w:r w:rsidR="00902AFC">
              <w:rPr>
                <w:sz w:val="18"/>
                <w:szCs w:val="18"/>
              </w:rPr>
              <w:t>įgyvendinimui skirtų ERPF lėšų.</w:t>
            </w:r>
          </w:p>
        </w:tc>
      </w:tr>
    </w:tbl>
    <w:p w:rsidR="00F22733" w:rsidRDefault="00522D09" w:rsidP="00C32E92">
      <w:pPr>
        <w:widowControl w:val="0"/>
        <w:spacing w:before="100" w:beforeAutospacing="1" w:after="100" w:afterAutospacing="1"/>
        <w:jc w:val="both"/>
        <w:textAlignment w:val="baseline"/>
        <w:rPr>
          <w:rFonts w:ascii="Times New Roman" w:hAnsi="Times New Roman" w:cs="Times New Roman"/>
          <w:i/>
          <w:sz w:val="24"/>
          <w:szCs w:val="24"/>
          <w:u w:val="single"/>
        </w:rPr>
      </w:pPr>
      <w:r>
        <w:rPr>
          <w:rFonts w:ascii="Times New Roman" w:hAnsi="Times New Roman" w:cs="Times New Roman"/>
          <w:i/>
          <w:sz w:val="24"/>
          <w:szCs w:val="24"/>
          <w:u w:val="single"/>
        </w:rPr>
        <w:t>6</w:t>
      </w:r>
      <w:r w:rsidR="009225BE">
        <w:rPr>
          <w:rFonts w:ascii="Times New Roman" w:hAnsi="Times New Roman" w:cs="Times New Roman"/>
          <w:i/>
          <w:sz w:val="24"/>
          <w:szCs w:val="24"/>
          <w:u w:val="single"/>
        </w:rPr>
        <w:t xml:space="preserve">. </w:t>
      </w:r>
      <w:r w:rsidR="00F22733">
        <w:rPr>
          <w:rFonts w:ascii="Times New Roman" w:hAnsi="Times New Roman" w:cs="Times New Roman"/>
          <w:i/>
          <w:sz w:val="24"/>
          <w:szCs w:val="24"/>
          <w:u w:val="single"/>
        </w:rPr>
        <w:t xml:space="preserve">Pakeisti Veiksmų programos </w:t>
      </w:r>
      <w:r w:rsidR="00F22733" w:rsidRPr="00F22733">
        <w:rPr>
          <w:rFonts w:ascii="Times New Roman" w:hAnsi="Times New Roman" w:cs="Times New Roman"/>
          <w:i/>
          <w:sz w:val="24"/>
          <w:szCs w:val="24"/>
          <w:u w:val="single"/>
        </w:rPr>
        <w:t xml:space="preserve">2 skirsnio „Prioritetų aprašymas“ </w:t>
      </w:r>
      <w:r w:rsidR="00F22733">
        <w:rPr>
          <w:rFonts w:ascii="Times New Roman" w:hAnsi="Times New Roman" w:cs="Times New Roman"/>
          <w:i/>
          <w:sz w:val="24"/>
          <w:szCs w:val="24"/>
          <w:u w:val="single"/>
        </w:rPr>
        <w:t>6 prioriteto „Darnaus transporto ir pagrindinių tinklų infrastruktūros plėtra“ 6.1.1 konkretaus uždavinio Didelės apimties projektų aprašymą ir išdėstyti jį taip:</w:t>
      </w:r>
    </w:p>
    <w:p w:rsidR="00F22733" w:rsidRPr="00F22733" w:rsidRDefault="00F22733" w:rsidP="00F22733">
      <w:pPr>
        <w:widowControl w:val="0"/>
        <w:tabs>
          <w:tab w:val="left" w:pos="622"/>
        </w:tabs>
        <w:ind w:firstLine="624"/>
        <w:jc w:val="both"/>
        <w:rPr>
          <w:rFonts w:ascii="Times New Roman" w:eastAsia="Calibri" w:hAnsi="Times New Roman" w:cs="Times New Roman"/>
          <w:color w:val="000000"/>
          <w:sz w:val="24"/>
          <w:szCs w:val="24"/>
          <w:lang w:eastAsia="lt-LT"/>
        </w:rPr>
      </w:pPr>
      <w:r w:rsidRPr="00F22733">
        <w:rPr>
          <w:rFonts w:ascii="Times New Roman" w:hAnsi="Times New Roman" w:cs="Times New Roman"/>
          <w:sz w:val="24"/>
          <w:szCs w:val="24"/>
        </w:rPr>
        <w:t>„</w:t>
      </w:r>
      <w:r w:rsidRPr="00F22733">
        <w:rPr>
          <w:rFonts w:ascii="Times New Roman" w:eastAsia="Calibri" w:hAnsi="Times New Roman" w:cs="Times New Roman"/>
          <w:bCs/>
          <w:color w:val="000000"/>
          <w:sz w:val="24"/>
          <w:szCs w:val="24"/>
          <w:lang w:eastAsia="lt-LT"/>
        </w:rPr>
        <w:t>Vilniaus vakarinis aplinkkelis (III etapas) yra labai svarbus, nukreipiant automobilių transporto tranzitinius srautus nuo sostinės centrinės dalies ir suformuojant patogias Vilniaus miesto kelių transporto sistemos jungtis su TEN</w:t>
      </w:r>
      <w:proofErr w:type="gramStart"/>
      <w:r w:rsidRPr="00F22733">
        <w:rPr>
          <w:rFonts w:ascii="Times New Roman" w:eastAsia="Calibri" w:hAnsi="Times New Roman" w:cs="Times New Roman"/>
          <w:bCs/>
          <w:color w:val="000000"/>
          <w:sz w:val="24"/>
          <w:szCs w:val="24"/>
          <w:lang w:eastAsia="lt-LT"/>
        </w:rPr>
        <w:t>-</w:t>
      </w:r>
      <w:proofErr w:type="gramEnd"/>
      <w:r w:rsidRPr="00F22733">
        <w:rPr>
          <w:rFonts w:ascii="Times New Roman" w:eastAsia="Calibri" w:hAnsi="Times New Roman" w:cs="Times New Roman"/>
          <w:bCs/>
          <w:color w:val="000000"/>
          <w:sz w:val="24"/>
          <w:szCs w:val="24"/>
          <w:lang w:eastAsia="lt-LT"/>
        </w:rPr>
        <w:t>T tinklu. Šis aplinkkelis ne tik prisidės prie transporto spūsčių TEN-T tinkle mažinimo, bet ir prie eismo įvykių, triukšmo, neigiamo poveikio aplinkai maži</w:t>
      </w:r>
      <w:r>
        <w:rPr>
          <w:rFonts w:ascii="Times New Roman" w:eastAsia="Calibri" w:hAnsi="Times New Roman" w:cs="Times New Roman"/>
          <w:bCs/>
          <w:color w:val="000000"/>
          <w:sz w:val="24"/>
          <w:szCs w:val="24"/>
          <w:lang w:eastAsia="lt-LT"/>
        </w:rPr>
        <w:t>nimo ir pagerins kelių (gatvių)</w:t>
      </w:r>
      <w:r w:rsidRPr="00F22733">
        <w:rPr>
          <w:rFonts w:ascii="Times New Roman" w:eastAsia="Calibri" w:hAnsi="Times New Roman" w:cs="Times New Roman"/>
          <w:bCs/>
          <w:color w:val="000000"/>
          <w:sz w:val="24"/>
          <w:szCs w:val="24"/>
          <w:lang w:eastAsia="lt-LT"/>
        </w:rPr>
        <w:t xml:space="preserve"> infrastruktūrą šiaurės–vakarų metropolinėje Vilniaus miesto teritorijoje</w:t>
      </w:r>
      <w:r w:rsidRPr="00F22733">
        <w:rPr>
          <w:rFonts w:ascii="Times New Roman" w:eastAsia="Calibri" w:hAnsi="Times New Roman" w:cs="Times New Roman"/>
          <w:color w:val="000000"/>
          <w:sz w:val="24"/>
          <w:szCs w:val="24"/>
          <w:lang w:eastAsia="lt-LT"/>
        </w:rPr>
        <w:t>.</w:t>
      </w:r>
    </w:p>
    <w:p w:rsidR="00F22733" w:rsidRPr="00F22733" w:rsidRDefault="00F22733" w:rsidP="00F22733">
      <w:pPr>
        <w:widowControl w:val="0"/>
        <w:tabs>
          <w:tab w:val="left" w:pos="622"/>
        </w:tabs>
        <w:ind w:firstLine="624"/>
        <w:jc w:val="both"/>
        <w:rPr>
          <w:rFonts w:ascii="Times New Roman" w:eastAsia="Calibri" w:hAnsi="Times New Roman" w:cs="Times New Roman"/>
          <w:bCs/>
          <w:iCs/>
          <w:color w:val="000000"/>
          <w:sz w:val="24"/>
          <w:szCs w:val="24"/>
          <w:lang w:eastAsia="lt-LT"/>
        </w:rPr>
      </w:pPr>
      <w:r w:rsidRPr="00F22733">
        <w:rPr>
          <w:rFonts w:ascii="Times New Roman" w:eastAsia="Calibri" w:hAnsi="Times New Roman" w:cs="Times New Roman"/>
          <w:bCs/>
          <w:iCs/>
          <w:color w:val="000000"/>
          <w:sz w:val="24"/>
          <w:szCs w:val="24"/>
          <w:lang w:eastAsia="lt-LT"/>
        </w:rPr>
        <w:t>Geležinkelių ruožai Kaišiadorys–Radviliškis ir Radviliškis–Klaipėda elektrifikuojami siekiant pereiti nuo iškastinio kuro prie atsinaujinančių energijos išteklių naudojimo geležinkelių transporto sektoriuje, sumažinti neigiamą poveikį aplinkai ir padidinti geležinkelių transporto patrauklumą keleiviams, kroviniams vežti naudojant aplinką tausojančias priemones.</w:t>
      </w:r>
    </w:p>
    <w:p w:rsidR="00F22733" w:rsidRPr="00F22733" w:rsidRDefault="00F22733" w:rsidP="00F22733">
      <w:pPr>
        <w:widowControl w:val="0"/>
        <w:tabs>
          <w:tab w:val="left" w:pos="567"/>
        </w:tabs>
        <w:ind w:firstLine="567"/>
        <w:jc w:val="both"/>
        <w:textAlignment w:val="baseline"/>
        <w:rPr>
          <w:rFonts w:ascii="Times New Roman" w:hAnsi="Times New Roman" w:cs="Times New Roman"/>
          <w:sz w:val="24"/>
          <w:szCs w:val="24"/>
        </w:rPr>
      </w:pPr>
      <w:r w:rsidRPr="00F22733">
        <w:rPr>
          <w:rFonts w:ascii="Times New Roman" w:eastAsia="Calibri" w:hAnsi="Times New Roman" w:cs="Times New Roman"/>
          <w:bCs/>
          <w:iCs/>
          <w:strike/>
          <w:color w:val="000000"/>
          <w:sz w:val="24"/>
          <w:szCs w:val="24"/>
          <w:lang w:eastAsia="lt-LT"/>
        </w:rPr>
        <w:t>Klaipėdos valstybinio jūrų uosto laivybos kanalas gilinamas ir platinamas, pietiniai uosto vartai įrengiami siekiant užtikrinti saugų visų Baltijos jūroje plaukiojančių laivų eismą. Kompensuojant laivybos sąlygas pagerinančius sprendimus, kurie gali sukelti neigiamų pasekmių aplinkai, numatoma sutvirtinti dalį Kuršių Nerijos šlaito.</w:t>
      </w:r>
      <w:r>
        <w:rPr>
          <w:rFonts w:ascii="Times New Roman" w:eastAsia="Calibri" w:hAnsi="Times New Roman" w:cs="Times New Roman"/>
          <w:bCs/>
          <w:iCs/>
          <w:color w:val="000000"/>
          <w:sz w:val="24"/>
          <w:szCs w:val="24"/>
          <w:lang w:eastAsia="lt-LT"/>
        </w:rPr>
        <w:t>“.</w:t>
      </w:r>
    </w:p>
    <w:p w:rsidR="00781445" w:rsidRPr="00020EC0" w:rsidRDefault="00781445" w:rsidP="00781445">
      <w:pPr>
        <w:widowControl w:val="0"/>
        <w:shd w:val="clear" w:color="auto" w:fill="FFFFFF"/>
        <w:spacing w:before="240" w:after="240"/>
        <w:jc w:val="both"/>
        <w:textAlignment w:val="baseline"/>
        <w:rPr>
          <w:rFonts w:ascii="Times New Roman" w:hAnsi="Times New Roman" w:cs="Times New Roman"/>
          <w:i/>
          <w:color w:val="000000"/>
          <w:sz w:val="24"/>
          <w:szCs w:val="24"/>
          <w:u w:val="single"/>
        </w:rPr>
      </w:pPr>
      <w:r w:rsidRPr="00FE459A">
        <w:rPr>
          <w:rFonts w:ascii="Times New Roman" w:hAnsi="Times New Roman" w:cs="Times New Roman"/>
          <w:i/>
          <w:sz w:val="24"/>
          <w:szCs w:val="24"/>
          <w:u w:val="single"/>
        </w:rPr>
        <w:t xml:space="preserve">7. </w:t>
      </w:r>
      <w:r w:rsidRPr="00FE459A">
        <w:rPr>
          <w:rFonts w:ascii="Times New Roman" w:hAnsi="Times New Roman" w:cs="Times New Roman"/>
          <w:i/>
          <w:color w:val="000000"/>
          <w:sz w:val="24"/>
          <w:szCs w:val="24"/>
          <w:u w:val="single"/>
        </w:rPr>
        <w:t>Papildyti Veiksmų programos 2 skirsnio „Prioritetų aprašymas“ 7 prioriteto „Kokybiško užimtumo ir dalyvavimo darbo rinkoje skatinimas“ 7.3. investicinio prioriteto lentel</w:t>
      </w:r>
      <w:r w:rsidR="00814FBB" w:rsidRPr="00FE459A">
        <w:rPr>
          <w:rFonts w:ascii="Times New Roman" w:hAnsi="Times New Roman" w:cs="Times New Roman"/>
          <w:i/>
          <w:color w:val="000000"/>
          <w:sz w:val="24"/>
          <w:szCs w:val="24"/>
          <w:u w:val="single"/>
        </w:rPr>
        <w:t>ę</w:t>
      </w:r>
      <w:r w:rsidRPr="00FE459A">
        <w:rPr>
          <w:rFonts w:ascii="Times New Roman" w:hAnsi="Times New Roman" w:cs="Times New Roman"/>
          <w:i/>
          <w:color w:val="000000"/>
          <w:sz w:val="24"/>
          <w:szCs w:val="24"/>
          <w:u w:val="single"/>
        </w:rPr>
        <w:t xml:space="preserve"> „ESF bendrieji ir specialieji programos rezultato</w:t>
      </w:r>
      <w:r w:rsidR="00814FBB" w:rsidRPr="00FE459A">
        <w:rPr>
          <w:rFonts w:ascii="Times New Roman" w:hAnsi="Times New Roman" w:cs="Times New Roman"/>
          <w:i/>
          <w:color w:val="000000"/>
          <w:sz w:val="24"/>
          <w:szCs w:val="24"/>
          <w:u w:val="single"/>
        </w:rPr>
        <w:t xml:space="preserve"> rodikliai“</w:t>
      </w:r>
      <w:r w:rsidRPr="00FE459A">
        <w:rPr>
          <w:rFonts w:ascii="Times New Roman" w:hAnsi="Times New Roman" w:cs="Times New Roman"/>
          <w:i/>
          <w:color w:val="000000"/>
          <w:sz w:val="24"/>
          <w:szCs w:val="24"/>
          <w:u w:val="single"/>
        </w:rPr>
        <w:t xml:space="preserve"> </w:t>
      </w:r>
      <w:r w:rsidR="00107147" w:rsidRPr="00FE459A">
        <w:rPr>
          <w:rFonts w:ascii="Times New Roman" w:hAnsi="Times New Roman" w:cs="Times New Roman"/>
          <w:i/>
          <w:color w:val="000000"/>
          <w:sz w:val="24"/>
          <w:szCs w:val="24"/>
          <w:u w:val="single"/>
        </w:rPr>
        <w:t>6</w:t>
      </w:r>
      <w:r w:rsidRPr="00FE459A">
        <w:rPr>
          <w:rFonts w:ascii="Times New Roman" w:hAnsi="Times New Roman" w:cs="Times New Roman"/>
          <w:i/>
          <w:color w:val="000000"/>
          <w:sz w:val="24"/>
          <w:szCs w:val="24"/>
          <w:u w:val="single"/>
        </w:rPr>
        <w:t xml:space="preserve"> eilute ir išdėstyti ją taip:</w:t>
      </w:r>
    </w:p>
    <w:tbl>
      <w:tblPr>
        <w:tblW w:w="10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246"/>
        <w:gridCol w:w="1008"/>
        <w:gridCol w:w="1036"/>
        <w:gridCol w:w="1050"/>
        <w:gridCol w:w="826"/>
        <w:gridCol w:w="1021"/>
        <w:gridCol w:w="966"/>
        <w:gridCol w:w="966"/>
        <w:gridCol w:w="1044"/>
        <w:gridCol w:w="1266"/>
      </w:tblGrid>
      <w:tr w:rsidR="00781445" w:rsidTr="00046CB9">
        <w:trPr>
          <w:trHeight w:val="125"/>
        </w:trPr>
        <w:tc>
          <w:tcPr>
            <w:tcW w:w="10905" w:type="dxa"/>
            <w:gridSpan w:val="11"/>
            <w:shd w:val="clear" w:color="auto" w:fill="EEECE1" w:themeFill="background2"/>
          </w:tcPr>
          <w:p w:rsidR="00781445" w:rsidRPr="003961A7" w:rsidRDefault="00781445" w:rsidP="00781445">
            <w:pPr>
              <w:widowControl w:val="0"/>
              <w:tabs>
                <w:tab w:val="left" w:pos="622"/>
              </w:tabs>
              <w:rPr>
                <w:rFonts w:ascii="Times New Roman" w:eastAsia="AngsanaUPC" w:hAnsi="Times New Roman" w:cs="Times New Roman"/>
                <w:b/>
                <w:bCs/>
                <w:iCs/>
                <w:sz w:val="18"/>
                <w:szCs w:val="18"/>
                <w:lang w:eastAsia="lt-LT"/>
              </w:rPr>
            </w:pPr>
            <w:r w:rsidRPr="003961A7">
              <w:rPr>
                <w:rFonts w:ascii="Times New Roman" w:eastAsia="AngsanaUPC" w:hAnsi="Times New Roman"/>
                <w:b/>
                <w:bCs/>
                <w:i/>
                <w:iCs/>
                <w:sz w:val="18"/>
                <w:szCs w:val="18"/>
                <w:lang w:eastAsia="lt-LT"/>
              </w:rPr>
              <w:t>ESF bendrieji ir specialieji programos rezultato rodikliai</w:t>
            </w:r>
          </w:p>
        </w:tc>
      </w:tr>
      <w:tr w:rsidR="003961A7" w:rsidRPr="00356CFB" w:rsidTr="003961A7">
        <w:tblPrEx>
          <w:tblLook w:val="04A0" w:firstRow="1" w:lastRow="0" w:firstColumn="1" w:lastColumn="0" w:noHBand="0" w:noVBand="1"/>
        </w:tblPrEx>
        <w:trPr>
          <w:trHeight w:val="868"/>
          <w:tblHeader/>
        </w:trPr>
        <w:tc>
          <w:tcPr>
            <w:tcW w:w="476" w:type="dxa"/>
            <w:shd w:val="clear" w:color="auto" w:fill="EEECE1"/>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Nr.</w:t>
            </w:r>
          </w:p>
        </w:tc>
        <w:tc>
          <w:tcPr>
            <w:tcW w:w="1246" w:type="dxa"/>
            <w:shd w:val="clear" w:color="auto" w:fill="EEECE1"/>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Rodiklio pavadinimas</w:t>
            </w:r>
          </w:p>
        </w:tc>
        <w:tc>
          <w:tcPr>
            <w:tcW w:w="1008" w:type="dxa"/>
            <w:shd w:val="clear" w:color="auto" w:fill="EEECE1"/>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Regiono kategorija</w:t>
            </w:r>
          </w:p>
        </w:tc>
        <w:tc>
          <w:tcPr>
            <w:tcW w:w="1036" w:type="dxa"/>
            <w:shd w:val="clear" w:color="auto" w:fill="EEECE1"/>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Matavimo vienetas</w:t>
            </w:r>
          </w:p>
        </w:tc>
        <w:tc>
          <w:tcPr>
            <w:tcW w:w="1050" w:type="dxa"/>
            <w:shd w:val="clear" w:color="auto" w:fill="EEECE1"/>
            <w:vAlign w:val="center"/>
          </w:tcPr>
          <w:p w:rsidR="00781445" w:rsidRPr="003961A7" w:rsidRDefault="00781445" w:rsidP="003961A7">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Bendras produkto rodiklis, naudotas kaip pagrindas</w:t>
            </w:r>
          </w:p>
        </w:tc>
        <w:tc>
          <w:tcPr>
            <w:tcW w:w="826" w:type="dxa"/>
            <w:shd w:val="clear" w:color="auto" w:fill="EEECE1"/>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Pradinė reikšmė</w:t>
            </w:r>
          </w:p>
        </w:tc>
        <w:tc>
          <w:tcPr>
            <w:tcW w:w="1021" w:type="dxa"/>
            <w:shd w:val="clear" w:color="auto" w:fill="EEECE1"/>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Pradinės ir siektinos reikšmės matavimo vienetas</w:t>
            </w:r>
          </w:p>
        </w:tc>
        <w:tc>
          <w:tcPr>
            <w:tcW w:w="966" w:type="dxa"/>
            <w:shd w:val="clear" w:color="auto" w:fill="EEECE1"/>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Pradinės reikšmės metai)</w:t>
            </w:r>
          </w:p>
        </w:tc>
        <w:tc>
          <w:tcPr>
            <w:tcW w:w="966" w:type="dxa"/>
            <w:shd w:val="clear" w:color="auto" w:fill="EEECE1"/>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Siektina reikšmė (2023)</w:t>
            </w:r>
          </w:p>
        </w:tc>
        <w:tc>
          <w:tcPr>
            <w:tcW w:w="1044" w:type="dxa"/>
            <w:shd w:val="clear" w:color="auto" w:fill="EEECE1"/>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Duomenų šaltinis</w:t>
            </w:r>
          </w:p>
        </w:tc>
        <w:tc>
          <w:tcPr>
            <w:tcW w:w="1266" w:type="dxa"/>
            <w:shd w:val="clear" w:color="auto" w:fill="EEECE1"/>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Atsiskaitymo dažnumas</w:t>
            </w:r>
          </w:p>
        </w:tc>
      </w:tr>
      <w:tr w:rsidR="003961A7" w:rsidRPr="00356CFB" w:rsidTr="003961A7">
        <w:tblPrEx>
          <w:tblLook w:val="04A0" w:firstRow="1" w:lastRow="0" w:firstColumn="1" w:lastColumn="0" w:noHBand="0" w:noVBand="1"/>
        </w:tblPrEx>
        <w:trPr>
          <w:trHeight w:val="240"/>
        </w:trPr>
        <w:tc>
          <w:tcPr>
            <w:tcW w:w="476" w:type="dxa"/>
            <w:shd w:val="clear" w:color="auto" w:fill="auto"/>
            <w:vAlign w:val="center"/>
          </w:tcPr>
          <w:p w:rsidR="00781445" w:rsidRPr="003961A7" w:rsidRDefault="00107147" w:rsidP="00781445">
            <w:pPr>
              <w:widowControl w:val="0"/>
              <w:tabs>
                <w:tab w:val="left" w:pos="622"/>
              </w:tabs>
              <w:jc w:val="center"/>
              <w:rPr>
                <w:rFonts w:ascii="Times New Roman" w:eastAsia="AngsanaUPC" w:hAnsi="Times New Roman" w:cs="Times New Roman"/>
                <w:b/>
                <w:bCs/>
                <w:iCs/>
                <w:sz w:val="18"/>
                <w:szCs w:val="18"/>
                <w:lang w:val="en-US" w:eastAsia="lt-LT"/>
              </w:rPr>
            </w:pPr>
            <w:r w:rsidRPr="003961A7">
              <w:rPr>
                <w:rFonts w:ascii="Times New Roman" w:eastAsia="AngsanaUPC" w:hAnsi="Times New Roman" w:cs="Times New Roman"/>
                <w:b/>
                <w:bCs/>
                <w:iCs/>
                <w:sz w:val="18"/>
                <w:szCs w:val="18"/>
                <w:lang w:val="en-US" w:eastAsia="lt-LT"/>
              </w:rPr>
              <w:t>6</w:t>
            </w:r>
            <w:r w:rsidR="00781445" w:rsidRPr="003961A7">
              <w:rPr>
                <w:rFonts w:ascii="Times New Roman" w:eastAsia="AngsanaUPC" w:hAnsi="Times New Roman" w:cs="Times New Roman"/>
                <w:b/>
                <w:bCs/>
                <w:iCs/>
                <w:sz w:val="18"/>
                <w:szCs w:val="18"/>
                <w:lang w:val="en-US" w:eastAsia="lt-LT"/>
              </w:rPr>
              <w:t>.</w:t>
            </w:r>
          </w:p>
        </w:tc>
        <w:tc>
          <w:tcPr>
            <w:tcW w:w="1246" w:type="dxa"/>
            <w:shd w:val="clear" w:color="auto" w:fill="auto"/>
            <w:vAlign w:val="center"/>
          </w:tcPr>
          <w:p w:rsidR="00781445" w:rsidRPr="003961A7" w:rsidRDefault="00781445" w:rsidP="00781445">
            <w:pPr>
              <w:rPr>
                <w:rFonts w:ascii="Times New Roman" w:eastAsia="Calibri" w:hAnsi="Times New Roman" w:cs="Times New Roman"/>
                <w:b/>
                <w:sz w:val="18"/>
                <w:szCs w:val="18"/>
              </w:rPr>
            </w:pPr>
            <w:r w:rsidRPr="003961A7">
              <w:rPr>
                <w:rFonts w:ascii="Times New Roman" w:eastAsia="AngsanaUPC" w:hAnsi="Times New Roman"/>
                <w:b/>
                <w:bCs/>
                <w:iCs/>
                <w:sz w:val="18"/>
                <w:szCs w:val="18"/>
                <w:lang w:eastAsia="lt-LT"/>
              </w:rPr>
              <w:t>Dalyviai, išlaikę savo darbą praėjus 6 mėnesiams nuo paramos pabaigos</w:t>
            </w:r>
          </w:p>
        </w:tc>
        <w:tc>
          <w:tcPr>
            <w:tcW w:w="1008" w:type="dxa"/>
            <w:shd w:val="clear" w:color="auto" w:fill="auto"/>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Mažiau išsivystęs</w:t>
            </w:r>
          </w:p>
        </w:tc>
        <w:tc>
          <w:tcPr>
            <w:tcW w:w="1036" w:type="dxa"/>
            <w:shd w:val="clear" w:color="auto" w:fill="auto"/>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Asmenys</w:t>
            </w:r>
          </w:p>
        </w:tc>
        <w:tc>
          <w:tcPr>
            <w:tcW w:w="1050" w:type="dxa"/>
            <w:shd w:val="clear" w:color="auto" w:fill="auto"/>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w:t>
            </w:r>
          </w:p>
        </w:tc>
        <w:tc>
          <w:tcPr>
            <w:tcW w:w="826" w:type="dxa"/>
            <w:shd w:val="clear" w:color="auto" w:fill="auto"/>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p>
        </w:tc>
        <w:tc>
          <w:tcPr>
            <w:tcW w:w="1021" w:type="dxa"/>
            <w:shd w:val="clear" w:color="auto" w:fill="auto"/>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Proc.</w:t>
            </w:r>
          </w:p>
        </w:tc>
        <w:tc>
          <w:tcPr>
            <w:tcW w:w="966" w:type="dxa"/>
            <w:shd w:val="clear" w:color="auto" w:fill="auto"/>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p>
        </w:tc>
        <w:tc>
          <w:tcPr>
            <w:tcW w:w="966" w:type="dxa"/>
            <w:shd w:val="clear" w:color="auto" w:fill="auto"/>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50</w:t>
            </w:r>
          </w:p>
        </w:tc>
        <w:tc>
          <w:tcPr>
            <w:tcW w:w="1044" w:type="dxa"/>
            <w:shd w:val="clear" w:color="auto" w:fill="auto"/>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Duomenys iš projektų</w:t>
            </w:r>
          </w:p>
        </w:tc>
        <w:tc>
          <w:tcPr>
            <w:tcW w:w="1266" w:type="dxa"/>
            <w:shd w:val="clear" w:color="auto" w:fill="auto"/>
            <w:vAlign w:val="center"/>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Kartą per metus</w:t>
            </w:r>
          </w:p>
        </w:tc>
      </w:tr>
    </w:tbl>
    <w:p w:rsidR="00781445" w:rsidRDefault="00781445" w:rsidP="00781445">
      <w:pPr>
        <w:widowControl w:val="0"/>
        <w:shd w:val="clear" w:color="auto" w:fill="FFFFFF"/>
        <w:spacing w:before="240" w:after="240"/>
        <w:jc w:val="both"/>
        <w:textAlignment w:val="baseline"/>
        <w:rPr>
          <w:rFonts w:ascii="Times New Roman" w:hAnsi="Times New Roman" w:cs="Times New Roman"/>
          <w:i/>
          <w:color w:val="000000"/>
          <w:sz w:val="24"/>
          <w:szCs w:val="24"/>
          <w:u w:val="single"/>
        </w:rPr>
      </w:pPr>
      <w:r w:rsidRPr="0093300F">
        <w:rPr>
          <w:rFonts w:ascii="Times New Roman" w:hAnsi="Times New Roman" w:cs="Times New Roman"/>
          <w:i/>
          <w:sz w:val="24"/>
          <w:szCs w:val="24"/>
          <w:u w:val="single"/>
        </w:rPr>
        <w:lastRenderedPageBreak/>
        <w:t xml:space="preserve">8. Pakeisti Veiksmų programos </w:t>
      </w:r>
      <w:r w:rsidRPr="0093300F">
        <w:rPr>
          <w:rFonts w:ascii="Times New Roman" w:hAnsi="Times New Roman" w:cs="Times New Roman"/>
          <w:i/>
          <w:color w:val="000000"/>
          <w:sz w:val="24"/>
          <w:szCs w:val="24"/>
          <w:u w:val="single"/>
        </w:rPr>
        <w:t>2 skirsnio „Prioritetų aprašymas“ 7 prioriteto „Kokybiško užimtumo ir dalyvavimo darbo rinkoje skatinimas“ 7.3. investicinio prioriteto lentelės „ESF bendrieji ir specialieji programos produkto rodikliai“ 11 eilutę</w:t>
      </w:r>
      <w:r w:rsidR="003961A7" w:rsidRPr="0093300F">
        <w:rPr>
          <w:rFonts w:ascii="Times New Roman" w:hAnsi="Times New Roman" w:cs="Times New Roman"/>
          <w:i/>
          <w:color w:val="000000"/>
          <w:sz w:val="24"/>
          <w:szCs w:val="24"/>
          <w:u w:val="single"/>
        </w:rPr>
        <w:t>, papildyti 12 eilute</w:t>
      </w:r>
      <w:r w:rsidR="00107147" w:rsidRPr="0093300F">
        <w:rPr>
          <w:rFonts w:ascii="Times New Roman" w:hAnsi="Times New Roman" w:cs="Times New Roman"/>
          <w:i/>
          <w:color w:val="000000"/>
          <w:sz w:val="24"/>
          <w:szCs w:val="24"/>
          <w:u w:val="single"/>
        </w:rPr>
        <w:t xml:space="preserve"> ir išdėstyti jas</w:t>
      </w:r>
      <w:r w:rsidRPr="0093300F">
        <w:rPr>
          <w:rFonts w:ascii="Times New Roman" w:hAnsi="Times New Roman" w:cs="Times New Roman"/>
          <w:i/>
          <w:color w:val="000000"/>
          <w:sz w:val="24"/>
          <w:szCs w:val="24"/>
          <w:u w:val="single"/>
        </w:rPr>
        <w:t xml:space="preserve"> taip:</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8"/>
        <w:gridCol w:w="2695"/>
        <w:gridCol w:w="1276"/>
        <w:gridCol w:w="851"/>
        <w:gridCol w:w="1134"/>
        <w:gridCol w:w="1131"/>
        <w:gridCol w:w="1134"/>
        <w:gridCol w:w="1242"/>
      </w:tblGrid>
      <w:tr w:rsidR="00781445" w:rsidTr="00EB151B">
        <w:trPr>
          <w:tblHeader/>
        </w:trPr>
        <w:tc>
          <w:tcPr>
            <w:tcW w:w="10031" w:type="dxa"/>
            <w:gridSpan w:val="8"/>
            <w:tcBorders>
              <w:top w:val="single" w:sz="4" w:space="0" w:color="auto"/>
              <w:left w:val="single" w:sz="4" w:space="0" w:color="auto"/>
              <w:bottom w:val="single" w:sz="4" w:space="0" w:color="auto"/>
              <w:right w:val="single" w:sz="4" w:space="0" w:color="auto"/>
            </w:tcBorders>
            <w:shd w:val="clear" w:color="auto" w:fill="EEECE1"/>
            <w:hideMark/>
          </w:tcPr>
          <w:p w:rsidR="00781445" w:rsidRPr="003961A7" w:rsidRDefault="00781445" w:rsidP="00781445">
            <w:pPr>
              <w:widowControl w:val="0"/>
              <w:tabs>
                <w:tab w:val="left" w:pos="622"/>
              </w:tabs>
              <w:jc w:val="both"/>
              <w:rPr>
                <w:rFonts w:ascii="Times New Roman" w:eastAsia="AngsanaUPC" w:hAnsi="Times New Roman" w:cs="Times New Roman"/>
                <w:b/>
                <w:bCs/>
                <w:i/>
                <w:iCs/>
                <w:sz w:val="18"/>
                <w:szCs w:val="18"/>
                <w:lang w:eastAsia="lt-LT"/>
              </w:rPr>
            </w:pPr>
            <w:r w:rsidRPr="003961A7">
              <w:rPr>
                <w:rFonts w:ascii="Times New Roman" w:eastAsia="AngsanaUPC" w:hAnsi="Times New Roman" w:cs="Times New Roman"/>
                <w:b/>
                <w:bCs/>
                <w:i/>
                <w:iCs/>
                <w:sz w:val="18"/>
                <w:szCs w:val="18"/>
                <w:lang w:eastAsia="lt-LT"/>
              </w:rPr>
              <w:t xml:space="preserve">ESF bendrieji ir specialieji programos produkto rodikliai </w:t>
            </w:r>
          </w:p>
        </w:tc>
      </w:tr>
      <w:tr w:rsidR="00781445" w:rsidTr="00EB151B">
        <w:trPr>
          <w:tblHeader/>
        </w:trPr>
        <w:tc>
          <w:tcPr>
            <w:tcW w:w="56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81445"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Pr>
                <w:rFonts w:ascii="Times New Roman" w:eastAsia="AngsanaUPC" w:hAnsi="Times New Roman" w:cs="Times New Roman"/>
                <w:b/>
                <w:bCs/>
                <w:iCs/>
                <w:sz w:val="18"/>
                <w:szCs w:val="18"/>
                <w:lang w:eastAsia="lt-LT"/>
              </w:rPr>
              <w:t>Nr.</w:t>
            </w:r>
          </w:p>
        </w:tc>
        <w:tc>
          <w:tcPr>
            <w:tcW w:w="2695"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Rodiklio pavadinimas</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Matavimo vienetas</w:t>
            </w:r>
          </w:p>
        </w:tc>
        <w:tc>
          <w:tcPr>
            <w:tcW w:w="85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Fondas</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Regiono kategorija</w:t>
            </w:r>
          </w:p>
        </w:tc>
        <w:tc>
          <w:tcPr>
            <w:tcW w:w="113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Siektina reikšmė (2023)</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Duomenų šaltinis</w:t>
            </w:r>
          </w:p>
        </w:tc>
        <w:tc>
          <w:tcPr>
            <w:tcW w:w="124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781445" w:rsidRPr="003961A7" w:rsidRDefault="00781445" w:rsidP="00781445">
            <w:pPr>
              <w:widowControl w:val="0"/>
              <w:tabs>
                <w:tab w:val="left" w:pos="622"/>
              </w:tabs>
              <w:jc w:val="center"/>
              <w:rPr>
                <w:rFonts w:ascii="Times New Roman" w:eastAsia="AngsanaUPC" w:hAnsi="Times New Roman" w:cs="Times New Roman"/>
                <w:b/>
                <w:bCs/>
                <w:iCs/>
                <w:sz w:val="18"/>
                <w:szCs w:val="18"/>
                <w:lang w:eastAsia="lt-LT"/>
              </w:rPr>
            </w:pPr>
            <w:r w:rsidRPr="003961A7">
              <w:rPr>
                <w:rFonts w:ascii="Times New Roman" w:eastAsia="AngsanaUPC" w:hAnsi="Times New Roman" w:cs="Times New Roman"/>
                <w:b/>
                <w:bCs/>
                <w:iCs/>
                <w:sz w:val="18"/>
                <w:szCs w:val="18"/>
                <w:lang w:eastAsia="lt-LT"/>
              </w:rPr>
              <w:t>Atsiskaitymo dažnumas</w:t>
            </w:r>
          </w:p>
        </w:tc>
      </w:tr>
      <w:tr w:rsidR="00781445" w:rsidTr="00EB151B">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Cs/>
                <w:iCs/>
                <w:sz w:val="18"/>
                <w:szCs w:val="18"/>
                <w:lang w:eastAsia="lt-LT"/>
              </w:rPr>
            </w:pPr>
            <w:r>
              <w:rPr>
                <w:rFonts w:ascii="Times New Roman" w:eastAsia="Calibri" w:hAnsi="Times New Roman" w:cs="Times New Roman"/>
                <w:bCs/>
                <w:iCs/>
                <w:sz w:val="18"/>
                <w:szCs w:val="18"/>
                <w:lang w:eastAsia="lt-LT"/>
              </w:rPr>
              <w:t>11.</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1A7" w:rsidRDefault="003961A7" w:rsidP="00781445">
            <w:pPr>
              <w:widowControl w:val="0"/>
              <w:tabs>
                <w:tab w:val="left" w:pos="622"/>
              </w:tabs>
              <w:rPr>
                <w:rFonts w:ascii="Times New Roman" w:hAnsi="Times New Roman"/>
                <w:strike/>
                <w:sz w:val="18"/>
                <w:szCs w:val="18"/>
              </w:rPr>
            </w:pPr>
            <w:r>
              <w:rPr>
                <w:rFonts w:ascii="Times New Roman" w:hAnsi="Times New Roman"/>
                <w:b/>
                <w:sz w:val="18"/>
                <w:szCs w:val="18"/>
              </w:rPr>
              <w:t>Dalyviai, pasinaudoję parama sutrumpinto darbo laiko schemoms</w:t>
            </w:r>
          </w:p>
          <w:p w:rsidR="00781445" w:rsidRPr="003961A7" w:rsidRDefault="00781445" w:rsidP="00781445">
            <w:pPr>
              <w:widowControl w:val="0"/>
              <w:tabs>
                <w:tab w:val="left" w:pos="622"/>
              </w:tabs>
              <w:rPr>
                <w:rFonts w:ascii="Times New Roman" w:hAnsi="Times New Roman"/>
                <w:strike/>
                <w:sz w:val="18"/>
                <w:szCs w:val="18"/>
              </w:rPr>
            </w:pPr>
            <w:r>
              <w:rPr>
                <w:rFonts w:ascii="Times New Roman" w:hAnsi="Times New Roman"/>
                <w:strike/>
                <w:sz w:val="18"/>
                <w:szCs w:val="18"/>
              </w:rPr>
              <w:t>Užimtieji, kuriems paskelbta prastova, dalyvavę įdarbinimo subsidijuojant priemonėje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Cs/>
                <w:iCs/>
                <w:sz w:val="18"/>
                <w:szCs w:val="18"/>
                <w:lang w:eastAsia="lt-LT"/>
              </w:rPr>
            </w:pPr>
            <w:r>
              <w:rPr>
                <w:rFonts w:ascii="Times New Roman" w:eastAsia="Calibri" w:hAnsi="Times New Roman" w:cs="Times New Roman"/>
                <w:bCs/>
                <w:iCs/>
                <w:sz w:val="18"/>
                <w:szCs w:val="18"/>
                <w:lang w:eastAsia="lt-LT"/>
              </w:rPr>
              <w:t>Skaičius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Cs/>
                <w:iCs/>
                <w:sz w:val="18"/>
                <w:szCs w:val="18"/>
                <w:lang w:eastAsia="lt-LT"/>
              </w:rPr>
            </w:pPr>
            <w:r>
              <w:rPr>
                <w:rFonts w:ascii="Times New Roman" w:eastAsia="Calibri" w:hAnsi="Times New Roman" w:cs="Times New Roman"/>
                <w:bCs/>
                <w:iCs/>
                <w:sz w:val="18"/>
                <w:szCs w:val="18"/>
                <w:lang w:eastAsia="lt-LT"/>
              </w:rPr>
              <w:t>ESF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Cs/>
                <w:iCs/>
                <w:sz w:val="18"/>
                <w:szCs w:val="18"/>
                <w:lang w:eastAsia="lt-LT"/>
              </w:rPr>
            </w:pPr>
            <w:r>
              <w:rPr>
                <w:rFonts w:ascii="Times New Roman" w:eastAsia="Calibri" w:hAnsi="Times New Roman" w:cs="Times New Roman"/>
                <w:bCs/>
                <w:iCs/>
                <w:sz w:val="18"/>
                <w:szCs w:val="18"/>
                <w:lang w:eastAsia="lt-LT"/>
              </w:rPr>
              <w:t>Mažiau išsivystęs</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61A7" w:rsidRDefault="003961A7" w:rsidP="00781445">
            <w:pPr>
              <w:widowControl w:val="0"/>
              <w:tabs>
                <w:tab w:val="left" w:pos="622"/>
              </w:tabs>
              <w:jc w:val="center"/>
              <w:rPr>
                <w:rFonts w:ascii="Times New Roman" w:eastAsia="AngsanaUPC" w:hAnsi="Times New Roman"/>
                <w:b/>
                <w:bCs/>
                <w:iCs/>
                <w:sz w:val="18"/>
                <w:szCs w:val="18"/>
                <w:lang w:val="en-US" w:eastAsia="lt-LT"/>
              </w:rPr>
            </w:pPr>
            <w:r>
              <w:rPr>
                <w:rFonts w:ascii="Times New Roman" w:eastAsia="AngsanaUPC" w:hAnsi="Times New Roman"/>
                <w:b/>
                <w:bCs/>
                <w:iCs/>
                <w:sz w:val="18"/>
                <w:szCs w:val="18"/>
                <w:lang w:val="en-US" w:eastAsia="lt-LT"/>
              </w:rPr>
              <w:t>150.000</w:t>
            </w:r>
          </w:p>
          <w:p w:rsidR="00781445" w:rsidRPr="003961A7" w:rsidRDefault="00781445" w:rsidP="003961A7">
            <w:pPr>
              <w:widowControl w:val="0"/>
              <w:tabs>
                <w:tab w:val="left" w:pos="622"/>
              </w:tabs>
              <w:jc w:val="center"/>
              <w:rPr>
                <w:rFonts w:ascii="Times New Roman" w:eastAsia="AngsanaUPC" w:hAnsi="Times New Roman"/>
                <w:bCs/>
                <w:iCs/>
                <w:strike/>
                <w:sz w:val="18"/>
                <w:szCs w:val="18"/>
                <w:lang w:val="en-US" w:eastAsia="lt-LT"/>
              </w:rPr>
            </w:pPr>
            <w:r>
              <w:rPr>
                <w:rFonts w:ascii="Times New Roman" w:eastAsia="AngsanaUPC" w:hAnsi="Times New Roman"/>
                <w:bCs/>
                <w:iCs/>
                <w:strike/>
                <w:sz w:val="18"/>
                <w:szCs w:val="18"/>
                <w:lang w:val="en-US" w:eastAsia="lt-LT"/>
              </w:rPr>
              <w:t>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Cs/>
                <w:iCs/>
                <w:sz w:val="18"/>
                <w:szCs w:val="18"/>
                <w:lang w:eastAsia="lt-LT"/>
              </w:rPr>
            </w:pPr>
            <w:r>
              <w:rPr>
                <w:rFonts w:ascii="Times New Roman" w:eastAsia="Calibri" w:hAnsi="Times New Roman" w:cs="Times New Roman"/>
                <w:bCs/>
                <w:iCs/>
                <w:sz w:val="18"/>
                <w:szCs w:val="18"/>
                <w:lang w:eastAsia="lt-LT"/>
              </w:rPr>
              <w:t>Duomenys iš projektų</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Cs/>
                <w:iCs/>
                <w:sz w:val="18"/>
                <w:szCs w:val="18"/>
                <w:lang w:eastAsia="lt-LT"/>
              </w:rPr>
            </w:pPr>
            <w:r>
              <w:rPr>
                <w:rFonts w:ascii="Times New Roman" w:eastAsia="Calibri" w:hAnsi="Times New Roman" w:cs="Times New Roman"/>
                <w:bCs/>
                <w:iCs/>
                <w:sz w:val="18"/>
                <w:szCs w:val="18"/>
                <w:lang w:eastAsia="lt-LT"/>
              </w:rPr>
              <w:t>Kartą per metus</w:t>
            </w:r>
          </w:p>
        </w:tc>
      </w:tr>
      <w:tr w:rsidR="00781445" w:rsidTr="00EB151B">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 xml:space="preserve">12. </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rPr>
                <w:rFonts w:ascii="Times New Roman" w:hAnsi="Times New Roman" w:cs="Times New Roman"/>
                <w:b/>
                <w:strike/>
                <w:sz w:val="18"/>
                <w:szCs w:val="18"/>
              </w:rPr>
            </w:pPr>
            <w:r>
              <w:rPr>
                <w:rFonts w:ascii="Times New Roman" w:hAnsi="Times New Roman" w:cs="Times New Roman"/>
                <w:b/>
                <w:color w:val="000000"/>
                <w:sz w:val="18"/>
                <w:szCs w:val="18"/>
                <w:lang w:eastAsia="lt-LT"/>
              </w:rPr>
              <w:t xml:space="preserve">ESF </w:t>
            </w:r>
            <w:r w:rsidR="00F70F43">
              <w:rPr>
                <w:rFonts w:ascii="Times New Roman" w:hAnsi="Times New Roman" w:cs="Times New Roman"/>
                <w:b/>
                <w:color w:val="000000"/>
                <w:sz w:val="18"/>
                <w:szCs w:val="18"/>
                <w:lang w:eastAsia="lt-LT"/>
              </w:rPr>
              <w:t>veiksmų, skirtų sumažinti COVID-19 pandemijos padarinius</w:t>
            </w:r>
            <w:r>
              <w:rPr>
                <w:rFonts w:ascii="Times New Roman" w:hAnsi="Times New Roman" w:cs="Times New Roman"/>
                <w:b/>
                <w:color w:val="000000"/>
                <w:sz w:val="18"/>
                <w:szCs w:val="18"/>
                <w:lang w:eastAsia="lt-LT"/>
              </w:rPr>
              <w:t>, vertė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Eurai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ESF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Mažiau išsivystęs</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AngsanaUPC" w:hAnsi="Times New Roman" w:cs="Times New Roman"/>
                <w:b/>
                <w:bCs/>
                <w:iCs/>
                <w:strike/>
                <w:sz w:val="18"/>
                <w:szCs w:val="18"/>
                <w:lang w:val="en-US" w:eastAsia="lt-LT"/>
              </w:rPr>
            </w:pPr>
            <w:r>
              <w:rPr>
                <w:rFonts w:ascii="Times New Roman" w:hAnsi="Times New Roman" w:cs="Times New Roman"/>
                <w:b/>
                <w:color w:val="000000"/>
                <w:sz w:val="18"/>
                <w:szCs w:val="18"/>
                <w:lang w:eastAsia="lt-LT"/>
              </w:rPr>
              <w:t>169.565.601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Duomenys iš projektų</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445" w:rsidRDefault="00781445" w:rsidP="00781445">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Kartą per metus</w:t>
            </w:r>
          </w:p>
        </w:tc>
      </w:tr>
    </w:tbl>
    <w:p w:rsidR="00107147" w:rsidRPr="001F4C4B" w:rsidRDefault="00107147" w:rsidP="001F4C4B">
      <w:pPr>
        <w:autoSpaceDE w:val="0"/>
        <w:autoSpaceDN w:val="0"/>
        <w:adjustRightInd w:val="0"/>
        <w:spacing w:before="240" w:after="240"/>
        <w:jc w:val="both"/>
        <w:rPr>
          <w:rFonts w:ascii="Times New Roman" w:hAnsi="Times New Roman" w:cs="Times New Roman"/>
          <w:i/>
          <w:color w:val="000000"/>
          <w:sz w:val="24"/>
          <w:szCs w:val="24"/>
          <w:u w:val="single"/>
        </w:rPr>
      </w:pPr>
      <w:r>
        <w:rPr>
          <w:rFonts w:ascii="Times New Roman" w:hAnsi="Times New Roman" w:cs="Times New Roman"/>
          <w:i/>
          <w:sz w:val="24"/>
          <w:szCs w:val="24"/>
          <w:u w:val="single"/>
        </w:rPr>
        <w:t xml:space="preserve">9. </w:t>
      </w:r>
      <w:r>
        <w:rPr>
          <w:rFonts w:ascii="Times New Roman" w:hAnsi="Times New Roman" w:cs="Times New Roman"/>
          <w:i/>
          <w:color w:val="000000"/>
          <w:sz w:val="24"/>
          <w:szCs w:val="24"/>
          <w:u w:val="single"/>
        </w:rPr>
        <w:t>Papildyti</w:t>
      </w:r>
      <w:r w:rsidRPr="0029044F">
        <w:rPr>
          <w:rFonts w:ascii="Times New Roman" w:hAnsi="Times New Roman" w:cs="Times New Roman"/>
          <w:i/>
          <w:color w:val="000000"/>
          <w:sz w:val="24"/>
          <w:szCs w:val="24"/>
          <w:u w:val="single"/>
        </w:rPr>
        <w:t xml:space="preserve"> Veiksmų programos 2 skirsnio „Prioritetų aprašymas</w:t>
      </w:r>
      <w:r w:rsidRPr="00392BB1">
        <w:rPr>
          <w:rFonts w:ascii="Times New Roman" w:hAnsi="Times New Roman" w:cs="Times New Roman"/>
          <w:i/>
          <w:color w:val="000000"/>
          <w:sz w:val="24"/>
          <w:szCs w:val="24"/>
          <w:u w:val="single"/>
        </w:rPr>
        <w:t xml:space="preserve">“ </w:t>
      </w:r>
      <w:r>
        <w:rPr>
          <w:rFonts w:ascii="Times New Roman" w:hAnsi="Times New Roman" w:cs="Times New Roman"/>
          <w:i/>
          <w:color w:val="000000"/>
          <w:sz w:val="24"/>
          <w:szCs w:val="24"/>
          <w:u w:val="single"/>
        </w:rPr>
        <w:t>8</w:t>
      </w:r>
      <w:r w:rsidRPr="00392BB1">
        <w:rPr>
          <w:rFonts w:ascii="Times New Roman" w:hAnsi="Times New Roman" w:cs="Times New Roman"/>
          <w:i/>
          <w:color w:val="000000"/>
          <w:sz w:val="24"/>
          <w:szCs w:val="24"/>
          <w:u w:val="single"/>
        </w:rPr>
        <w:t xml:space="preserve"> prioriteto </w:t>
      </w:r>
      <w:r w:rsidRPr="00A25945">
        <w:rPr>
          <w:rFonts w:ascii="Times New Roman" w:hAnsi="Times New Roman" w:cs="Times New Roman"/>
          <w:i/>
          <w:color w:val="000000"/>
          <w:sz w:val="24"/>
          <w:szCs w:val="24"/>
          <w:u w:val="single"/>
        </w:rPr>
        <w:t>„</w:t>
      </w:r>
      <w:r w:rsidRPr="00A25945">
        <w:rPr>
          <w:rFonts w:ascii="Times New Roman" w:hAnsi="Times New Roman" w:cs="Times New Roman"/>
          <w:bCs/>
          <w:i/>
          <w:sz w:val="24"/>
          <w:szCs w:val="24"/>
          <w:u w:val="single"/>
          <w:lang w:eastAsia="lt-LT"/>
        </w:rPr>
        <w:t>Investicijos į sveikatos ir socialinę infrastruktūrą, kuria prisidedama prie nacionalinės, regionų ir vietos plėtros, su sveikatos būkle susijusios nelygybės mažinimo, socialinės įtraukties skatinimo, suteikiant geresnę prieigą prie socialinių, kultūrinių ir rekreacinių paslaugų, ir perėjimo nuo institucinių prie bendruomeninių paslaugų</w:t>
      </w:r>
      <w:r w:rsidRPr="00A25945">
        <w:rPr>
          <w:rFonts w:ascii="Times New Roman" w:hAnsi="Times New Roman" w:cs="Times New Roman"/>
          <w:i/>
          <w:color w:val="000000"/>
          <w:sz w:val="24"/>
          <w:szCs w:val="24"/>
          <w:u w:val="single"/>
        </w:rPr>
        <w:t>“ .8.1 investicinio prioriteto lentel</w:t>
      </w:r>
      <w:r w:rsidR="00814FBB">
        <w:rPr>
          <w:rFonts w:ascii="Times New Roman" w:hAnsi="Times New Roman" w:cs="Times New Roman"/>
          <w:i/>
          <w:color w:val="000000"/>
          <w:sz w:val="24"/>
          <w:szCs w:val="24"/>
          <w:u w:val="single"/>
        </w:rPr>
        <w:t>ę</w:t>
      </w:r>
      <w:r w:rsidRPr="00A25945">
        <w:rPr>
          <w:rFonts w:ascii="Times New Roman" w:hAnsi="Times New Roman" w:cs="Times New Roman"/>
          <w:i/>
          <w:color w:val="000000"/>
          <w:sz w:val="24"/>
          <w:szCs w:val="24"/>
          <w:u w:val="single"/>
        </w:rPr>
        <w:t xml:space="preserve"> „ERPF bendrieji ir specialieji programos </w:t>
      </w:r>
      <w:r>
        <w:rPr>
          <w:rFonts w:ascii="Times New Roman" w:hAnsi="Times New Roman" w:cs="Times New Roman"/>
          <w:i/>
          <w:color w:val="000000"/>
          <w:sz w:val="24"/>
          <w:szCs w:val="24"/>
          <w:u w:val="single"/>
        </w:rPr>
        <w:t>produkto</w:t>
      </w:r>
      <w:r w:rsidRPr="00A25945">
        <w:rPr>
          <w:rFonts w:ascii="Times New Roman" w:hAnsi="Times New Roman" w:cs="Times New Roman"/>
          <w:i/>
          <w:color w:val="000000"/>
          <w:sz w:val="24"/>
          <w:szCs w:val="24"/>
          <w:u w:val="single"/>
        </w:rPr>
        <w:t xml:space="preserve"> rodikliai“ 5-</w:t>
      </w:r>
      <w:r w:rsidR="0093300F">
        <w:rPr>
          <w:rFonts w:ascii="Times New Roman" w:hAnsi="Times New Roman" w:cs="Times New Roman"/>
          <w:i/>
          <w:color w:val="000000"/>
          <w:sz w:val="24"/>
          <w:szCs w:val="24"/>
          <w:u w:val="single"/>
        </w:rPr>
        <w:t>10</w:t>
      </w:r>
      <w:r w:rsidRPr="00A25945">
        <w:rPr>
          <w:rFonts w:ascii="Times New Roman" w:hAnsi="Times New Roman" w:cs="Times New Roman"/>
          <w:i/>
          <w:color w:val="000000"/>
          <w:sz w:val="24"/>
          <w:szCs w:val="24"/>
          <w:u w:val="single"/>
        </w:rPr>
        <w:t xml:space="preserve"> eilut</w:t>
      </w:r>
      <w:r>
        <w:rPr>
          <w:rFonts w:ascii="Times New Roman" w:hAnsi="Times New Roman" w:cs="Times New Roman"/>
          <w:i/>
          <w:color w:val="000000"/>
          <w:sz w:val="24"/>
          <w:szCs w:val="24"/>
          <w:u w:val="single"/>
        </w:rPr>
        <w:t>ėmis</w:t>
      </w:r>
      <w:r w:rsidRPr="00A25945">
        <w:rPr>
          <w:rFonts w:ascii="Times New Roman" w:hAnsi="Times New Roman" w:cs="Times New Roman"/>
          <w:i/>
          <w:color w:val="000000"/>
          <w:sz w:val="24"/>
          <w:szCs w:val="24"/>
          <w:u w:val="single"/>
        </w:rPr>
        <w:t xml:space="preserve"> ir išdėstyti j</w:t>
      </w:r>
      <w:r>
        <w:rPr>
          <w:rFonts w:ascii="Times New Roman" w:hAnsi="Times New Roman" w:cs="Times New Roman"/>
          <w:i/>
          <w:color w:val="000000"/>
          <w:sz w:val="24"/>
          <w:szCs w:val="24"/>
          <w:u w:val="single"/>
        </w:rPr>
        <w:t>as</w:t>
      </w:r>
      <w:r w:rsidRPr="00A25945">
        <w:rPr>
          <w:rFonts w:ascii="Times New Roman" w:hAnsi="Times New Roman" w:cs="Times New Roman"/>
          <w:i/>
          <w:color w:val="000000"/>
          <w:sz w:val="24"/>
          <w:szCs w:val="24"/>
          <w:u w:val="single"/>
        </w:rPr>
        <w:t xml:space="preserve"> tai</w:t>
      </w:r>
      <w:r w:rsidR="001F4C4B">
        <w:rPr>
          <w:rFonts w:ascii="Times New Roman" w:hAnsi="Times New Roman" w:cs="Times New Roman"/>
          <w:i/>
          <w:color w:val="000000"/>
          <w:sz w:val="24"/>
          <w:szCs w:val="24"/>
          <w:u w:val="single"/>
        </w:rPr>
        <w:t>p:</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992"/>
        <w:gridCol w:w="850"/>
        <w:gridCol w:w="1134"/>
        <w:gridCol w:w="1134"/>
        <w:gridCol w:w="1134"/>
        <w:gridCol w:w="1241"/>
      </w:tblGrid>
      <w:tr w:rsidR="00107147" w:rsidRPr="0042440E" w:rsidTr="00107147">
        <w:trPr>
          <w:tblHeader/>
        </w:trPr>
        <w:tc>
          <w:tcPr>
            <w:tcW w:w="9746" w:type="dxa"/>
            <w:gridSpan w:val="8"/>
            <w:shd w:val="clear" w:color="auto" w:fill="EEECE1"/>
          </w:tcPr>
          <w:p w:rsidR="00107147" w:rsidRPr="00B01FA1" w:rsidRDefault="00107147" w:rsidP="00107147">
            <w:pPr>
              <w:widowControl w:val="0"/>
              <w:tabs>
                <w:tab w:val="left" w:pos="622"/>
              </w:tabs>
              <w:jc w:val="both"/>
              <w:rPr>
                <w:rFonts w:ascii="Times New Roman" w:eastAsia="AngsanaUPC" w:hAnsi="Times New Roman" w:cs="Times New Roman"/>
                <w:b/>
                <w:bCs/>
                <w:i/>
                <w:iCs/>
                <w:sz w:val="18"/>
                <w:szCs w:val="18"/>
                <w:lang w:eastAsia="lt-LT"/>
              </w:rPr>
            </w:pPr>
            <w:r w:rsidRPr="00B01FA1">
              <w:rPr>
                <w:rFonts w:ascii="Times New Roman" w:eastAsia="AngsanaUPC" w:hAnsi="Times New Roman" w:cs="Times New Roman"/>
                <w:b/>
                <w:bCs/>
                <w:i/>
                <w:iCs/>
                <w:sz w:val="18"/>
                <w:szCs w:val="18"/>
                <w:lang w:eastAsia="lt-LT"/>
              </w:rPr>
              <w:t xml:space="preserve">ERPF bendrieji ir specialieji programos produkto rodikliai </w:t>
            </w:r>
          </w:p>
        </w:tc>
      </w:tr>
      <w:tr w:rsidR="00107147" w:rsidRPr="0042440E" w:rsidTr="00107147">
        <w:tblPrEx>
          <w:shd w:val="clear" w:color="auto" w:fill="auto"/>
        </w:tblPrEx>
        <w:trPr>
          <w:tblHeader/>
        </w:trPr>
        <w:tc>
          <w:tcPr>
            <w:tcW w:w="567" w:type="dxa"/>
            <w:shd w:val="clear" w:color="auto" w:fill="EEECE1"/>
            <w:vAlign w:val="center"/>
          </w:tcPr>
          <w:p w:rsidR="00107147" w:rsidRPr="0042440E"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42440E">
              <w:rPr>
                <w:rFonts w:ascii="Times New Roman" w:eastAsia="AngsanaUPC" w:hAnsi="Times New Roman" w:cs="Times New Roman"/>
                <w:b/>
                <w:bCs/>
                <w:iCs/>
                <w:sz w:val="18"/>
                <w:szCs w:val="18"/>
                <w:lang w:eastAsia="lt-LT"/>
              </w:rPr>
              <w:t>Nr.</w:t>
            </w:r>
          </w:p>
        </w:tc>
        <w:tc>
          <w:tcPr>
            <w:tcW w:w="2694" w:type="dxa"/>
            <w:shd w:val="clear" w:color="auto" w:fill="EEECE1"/>
            <w:vAlign w:val="center"/>
          </w:tcPr>
          <w:p w:rsidR="00107147" w:rsidRPr="00B01FA1"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B01FA1">
              <w:rPr>
                <w:rFonts w:ascii="Times New Roman" w:eastAsia="AngsanaUPC" w:hAnsi="Times New Roman" w:cs="Times New Roman"/>
                <w:b/>
                <w:bCs/>
                <w:iCs/>
                <w:sz w:val="18"/>
                <w:szCs w:val="18"/>
                <w:lang w:eastAsia="lt-LT"/>
              </w:rPr>
              <w:t>Rodiklio pavadinimas</w:t>
            </w:r>
          </w:p>
        </w:tc>
        <w:tc>
          <w:tcPr>
            <w:tcW w:w="992" w:type="dxa"/>
            <w:shd w:val="clear" w:color="auto" w:fill="EEECE1"/>
            <w:vAlign w:val="center"/>
          </w:tcPr>
          <w:p w:rsidR="00107147" w:rsidRPr="00B01FA1"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B01FA1">
              <w:rPr>
                <w:rFonts w:ascii="Times New Roman" w:eastAsia="AngsanaUPC" w:hAnsi="Times New Roman" w:cs="Times New Roman"/>
                <w:b/>
                <w:bCs/>
                <w:iCs/>
                <w:sz w:val="18"/>
                <w:szCs w:val="18"/>
                <w:lang w:eastAsia="lt-LT"/>
              </w:rPr>
              <w:t>Matavimo vienetas</w:t>
            </w:r>
          </w:p>
        </w:tc>
        <w:tc>
          <w:tcPr>
            <w:tcW w:w="850" w:type="dxa"/>
            <w:shd w:val="clear" w:color="auto" w:fill="EEECE1"/>
            <w:vAlign w:val="center"/>
          </w:tcPr>
          <w:p w:rsidR="00107147" w:rsidRPr="00B01FA1"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B01FA1">
              <w:rPr>
                <w:rFonts w:ascii="Times New Roman" w:eastAsia="AngsanaUPC" w:hAnsi="Times New Roman" w:cs="Times New Roman"/>
                <w:b/>
                <w:bCs/>
                <w:iCs/>
                <w:sz w:val="18"/>
                <w:szCs w:val="18"/>
                <w:lang w:eastAsia="lt-LT"/>
              </w:rPr>
              <w:t>Fondas</w:t>
            </w:r>
          </w:p>
        </w:tc>
        <w:tc>
          <w:tcPr>
            <w:tcW w:w="1134" w:type="dxa"/>
            <w:shd w:val="clear" w:color="auto" w:fill="EEECE1"/>
            <w:vAlign w:val="center"/>
          </w:tcPr>
          <w:p w:rsidR="00107147" w:rsidRPr="00B01FA1"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B01FA1">
              <w:rPr>
                <w:rFonts w:ascii="Times New Roman" w:eastAsia="AngsanaUPC" w:hAnsi="Times New Roman" w:cs="Times New Roman"/>
                <w:b/>
                <w:bCs/>
                <w:iCs/>
                <w:sz w:val="18"/>
                <w:szCs w:val="18"/>
                <w:lang w:eastAsia="lt-LT"/>
              </w:rPr>
              <w:t>Regiono kategorija</w:t>
            </w:r>
          </w:p>
        </w:tc>
        <w:tc>
          <w:tcPr>
            <w:tcW w:w="1134" w:type="dxa"/>
            <w:shd w:val="clear" w:color="auto" w:fill="EEECE1"/>
            <w:vAlign w:val="center"/>
          </w:tcPr>
          <w:p w:rsidR="00107147" w:rsidRPr="00B01FA1"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B01FA1">
              <w:rPr>
                <w:rFonts w:ascii="Times New Roman" w:eastAsia="AngsanaUPC" w:hAnsi="Times New Roman" w:cs="Times New Roman"/>
                <w:b/>
                <w:bCs/>
                <w:iCs/>
                <w:sz w:val="18"/>
                <w:szCs w:val="18"/>
                <w:lang w:eastAsia="lt-LT"/>
              </w:rPr>
              <w:t>Siektina reikšmė (2023 m.)</w:t>
            </w:r>
          </w:p>
        </w:tc>
        <w:tc>
          <w:tcPr>
            <w:tcW w:w="1134" w:type="dxa"/>
            <w:shd w:val="clear" w:color="auto" w:fill="EEECE1"/>
            <w:vAlign w:val="center"/>
          </w:tcPr>
          <w:p w:rsidR="00107147" w:rsidRPr="00B01FA1"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B01FA1">
              <w:rPr>
                <w:rFonts w:ascii="Times New Roman" w:eastAsia="AngsanaUPC" w:hAnsi="Times New Roman" w:cs="Times New Roman"/>
                <w:b/>
                <w:bCs/>
                <w:iCs/>
                <w:sz w:val="18"/>
                <w:szCs w:val="18"/>
                <w:lang w:eastAsia="lt-LT"/>
              </w:rPr>
              <w:t>Duomenų šaltinis</w:t>
            </w:r>
          </w:p>
        </w:tc>
        <w:tc>
          <w:tcPr>
            <w:tcW w:w="1241" w:type="dxa"/>
            <w:shd w:val="clear" w:color="auto" w:fill="EEECE1"/>
            <w:vAlign w:val="center"/>
          </w:tcPr>
          <w:p w:rsidR="00107147" w:rsidRPr="00B01FA1"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B01FA1">
              <w:rPr>
                <w:rFonts w:ascii="Times New Roman" w:eastAsia="AngsanaUPC" w:hAnsi="Times New Roman" w:cs="Times New Roman"/>
                <w:b/>
                <w:bCs/>
                <w:iCs/>
                <w:sz w:val="18"/>
                <w:szCs w:val="18"/>
                <w:lang w:eastAsia="lt-LT"/>
              </w:rPr>
              <w:t>Atsiskaitymo dažnumas</w:t>
            </w:r>
          </w:p>
        </w:tc>
      </w:tr>
      <w:tr w:rsidR="00107147" w:rsidRPr="00A4540B" w:rsidTr="00107147">
        <w:tblPrEx>
          <w:shd w:val="clear" w:color="auto" w:fill="auto"/>
        </w:tblPrEx>
        <w:tc>
          <w:tcPr>
            <w:tcW w:w="567"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5.</w:t>
            </w:r>
          </w:p>
        </w:tc>
        <w:tc>
          <w:tcPr>
            <w:tcW w:w="2694" w:type="dxa"/>
            <w:shd w:val="clear" w:color="auto" w:fill="auto"/>
            <w:vAlign w:val="center"/>
          </w:tcPr>
          <w:p w:rsidR="00107147" w:rsidRPr="009819F0" w:rsidRDefault="00107147" w:rsidP="00107147">
            <w:pPr>
              <w:widowControl w:val="0"/>
              <w:tabs>
                <w:tab w:val="left" w:pos="622"/>
              </w:tabs>
              <w:rPr>
                <w:rFonts w:ascii="Times New Roman" w:hAnsi="Times New Roman" w:cs="Times New Roman"/>
                <w:b/>
                <w:strike/>
                <w:sz w:val="18"/>
                <w:szCs w:val="18"/>
              </w:rPr>
            </w:pPr>
            <w:r>
              <w:rPr>
                <w:rFonts w:ascii="Times New Roman" w:hAnsi="Times New Roman" w:cs="Times New Roman"/>
                <w:b/>
                <w:color w:val="000000"/>
                <w:sz w:val="18"/>
                <w:szCs w:val="18"/>
                <w:lang w:eastAsia="lt-LT"/>
              </w:rPr>
              <w:t xml:space="preserve">Įsigytos medicininės įrangos </w:t>
            </w:r>
            <w:r w:rsidRPr="009819F0">
              <w:rPr>
                <w:rFonts w:ascii="Times New Roman" w:hAnsi="Times New Roman" w:cs="Times New Roman"/>
                <w:b/>
                <w:color w:val="000000"/>
                <w:sz w:val="18"/>
                <w:szCs w:val="18"/>
                <w:lang w:eastAsia="lt-LT"/>
              </w:rPr>
              <w:t>vertė</w:t>
            </w:r>
          </w:p>
        </w:tc>
        <w:tc>
          <w:tcPr>
            <w:tcW w:w="992"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Eur</w:t>
            </w:r>
            <w:r>
              <w:rPr>
                <w:rFonts w:ascii="Times New Roman" w:eastAsia="Calibri" w:hAnsi="Times New Roman" w:cs="Times New Roman"/>
                <w:b/>
                <w:bCs/>
                <w:iCs/>
                <w:sz w:val="18"/>
                <w:szCs w:val="18"/>
                <w:lang w:eastAsia="lt-LT"/>
              </w:rPr>
              <w:t>ai</w:t>
            </w:r>
          </w:p>
        </w:tc>
        <w:tc>
          <w:tcPr>
            <w:tcW w:w="850"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ERPF</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AngsanaUPC" w:hAnsi="Times New Roman" w:cs="Times New Roman"/>
                <w:b/>
                <w:bCs/>
                <w:iCs/>
                <w:strike/>
                <w:sz w:val="18"/>
                <w:szCs w:val="18"/>
                <w:lang w:val="en-US" w:eastAsia="lt-LT"/>
              </w:rPr>
            </w:pPr>
            <w:r w:rsidRPr="00757DE0">
              <w:rPr>
                <w:rFonts w:ascii="Times New Roman" w:hAnsi="Times New Roman" w:cs="Times New Roman"/>
                <w:b/>
                <w:bCs/>
                <w:sz w:val="18"/>
                <w:szCs w:val="18"/>
                <w:lang w:eastAsia="lt-LT"/>
              </w:rPr>
              <w:t>26</w:t>
            </w:r>
            <w:r>
              <w:rPr>
                <w:rFonts w:ascii="Times New Roman" w:hAnsi="Times New Roman" w:cs="Times New Roman"/>
                <w:b/>
                <w:bCs/>
                <w:sz w:val="18"/>
                <w:szCs w:val="18"/>
                <w:lang w:eastAsia="lt-LT"/>
              </w:rPr>
              <w:t>.</w:t>
            </w:r>
            <w:r w:rsidRPr="00757DE0">
              <w:rPr>
                <w:rFonts w:ascii="Times New Roman" w:hAnsi="Times New Roman" w:cs="Times New Roman"/>
                <w:b/>
                <w:bCs/>
                <w:sz w:val="18"/>
                <w:szCs w:val="18"/>
                <w:lang w:eastAsia="lt-LT"/>
              </w:rPr>
              <w:t>592</w:t>
            </w:r>
            <w:r>
              <w:rPr>
                <w:rFonts w:ascii="Times New Roman" w:hAnsi="Times New Roman" w:cs="Times New Roman"/>
                <w:b/>
                <w:bCs/>
                <w:sz w:val="18"/>
                <w:szCs w:val="18"/>
                <w:lang w:eastAsia="lt-LT"/>
              </w:rPr>
              <w:t>.</w:t>
            </w:r>
            <w:r w:rsidRPr="00874AA3">
              <w:rPr>
                <w:rFonts w:ascii="Times New Roman" w:hAnsi="Times New Roman" w:cs="Times New Roman"/>
                <w:b/>
                <w:bCs/>
                <w:sz w:val="18"/>
                <w:szCs w:val="18"/>
                <w:lang w:eastAsia="lt-LT"/>
              </w:rPr>
              <w:t>700</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Kartą per metus</w:t>
            </w:r>
          </w:p>
        </w:tc>
      </w:tr>
      <w:tr w:rsidR="00B015AE" w:rsidRPr="00A4540B" w:rsidTr="00107147">
        <w:tblPrEx>
          <w:shd w:val="clear" w:color="auto" w:fill="auto"/>
        </w:tblPrEx>
        <w:tc>
          <w:tcPr>
            <w:tcW w:w="567" w:type="dxa"/>
            <w:shd w:val="clear" w:color="auto" w:fill="auto"/>
            <w:vAlign w:val="center"/>
          </w:tcPr>
          <w:p w:rsidR="00B015AE" w:rsidRPr="0093300F" w:rsidRDefault="00B015AE" w:rsidP="00107147">
            <w:pPr>
              <w:widowControl w:val="0"/>
              <w:tabs>
                <w:tab w:val="left" w:pos="622"/>
              </w:tabs>
              <w:jc w:val="center"/>
              <w:rPr>
                <w:rFonts w:ascii="Times New Roman" w:eastAsia="Calibri" w:hAnsi="Times New Roman" w:cs="Times New Roman"/>
                <w:b/>
                <w:bCs/>
                <w:iCs/>
                <w:sz w:val="18"/>
                <w:szCs w:val="18"/>
                <w:lang w:eastAsia="lt-LT"/>
              </w:rPr>
            </w:pPr>
            <w:r w:rsidRPr="0093300F">
              <w:rPr>
                <w:rFonts w:ascii="Times New Roman" w:eastAsia="Calibri" w:hAnsi="Times New Roman" w:cs="Times New Roman"/>
                <w:b/>
                <w:bCs/>
                <w:iCs/>
                <w:sz w:val="18"/>
                <w:szCs w:val="18"/>
                <w:lang w:eastAsia="lt-LT"/>
              </w:rPr>
              <w:t>6.</w:t>
            </w:r>
          </w:p>
        </w:tc>
        <w:tc>
          <w:tcPr>
            <w:tcW w:w="2694" w:type="dxa"/>
            <w:shd w:val="clear" w:color="auto" w:fill="auto"/>
            <w:vAlign w:val="center"/>
          </w:tcPr>
          <w:p w:rsidR="00B015AE" w:rsidRPr="0093300F" w:rsidRDefault="00B015AE" w:rsidP="002C482C">
            <w:pPr>
              <w:widowControl w:val="0"/>
              <w:tabs>
                <w:tab w:val="left" w:pos="622"/>
              </w:tabs>
              <w:rPr>
                <w:rFonts w:ascii="Times New Roman" w:hAnsi="Times New Roman" w:cs="Times New Roman"/>
                <w:b/>
                <w:color w:val="000000"/>
                <w:sz w:val="18"/>
                <w:szCs w:val="18"/>
                <w:lang w:eastAsia="lt-LT"/>
              </w:rPr>
            </w:pPr>
            <w:r w:rsidRPr="0093300F">
              <w:rPr>
                <w:rFonts w:ascii="Times New Roman" w:hAnsi="Times New Roman" w:cs="Times New Roman"/>
                <w:b/>
                <w:sz w:val="18"/>
                <w:szCs w:val="18"/>
              </w:rPr>
              <w:t>Informacinių technologijų</w:t>
            </w:r>
            <w:r w:rsidR="0093300F">
              <w:rPr>
                <w:rFonts w:ascii="Times New Roman" w:hAnsi="Times New Roman" w:cs="Times New Roman"/>
                <w:b/>
                <w:sz w:val="18"/>
                <w:szCs w:val="18"/>
              </w:rPr>
              <w:t>,</w:t>
            </w:r>
            <w:r w:rsidRPr="0093300F">
              <w:rPr>
                <w:rFonts w:ascii="Times New Roman" w:hAnsi="Times New Roman" w:cs="Times New Roman"/>
                <w:b/>
                <w:sz w:val="18"/>
                <w:szCs w:val="18"/>
              </w:rPr>
              <w:t xml:space="preserve"> </w:t>
            </w:r>
            <w:r w:rsidRPr="0093300F">
              <w:rPr>
                <w:rFonts w:ascii="Times New Roman" w:hAnsi="Times New Roman" w:cs="Times New Roman"/>
                <w:b/>
                <w:color w:val="000000"/>
                <w:sz w:val="18"/>
                <w:szCs w:val="18"/>
                <w:lang w:eastAsia="lt-LT"/>
              </w:rPr>
              <w:t xml:space="preserve">susijusių su COVID-19, vertė </w:t>
            </w:r>
          </w:p>
        </w:tc>
        <w:tc>
          <w:tcPr>
            <w:tcW w:w="992" w:type="dxa"/>
            <w:shd w:val="clear" w:color="auto" w:fill="auto"/>
            <w:vAlign w:val="center"/>
          </w:tcPr>
          <w:p w:rsidR="00B015AE" w:rsidRPr="0093300F" w:rsidRDefault="00B015AE" w:rsidP="002C482C">
            <w:pPr>
              <w:widowControl w:val="0"/>
              <w:tabs>
                <w:tab w:val="left" w:pos="622"/>
              </w:tabs>
              <w:jc w:val="center"/>
              <w:rPr>
                <w:rFonts w:ascii="Times New Roman" w:eastAsia="Calibri" w:hAnsi="Times New Roman" w:cs="Times New Roman"/>
                <w:b/>
                <w:bCs/>
                <w:iCs/>
                <w:sz w:val="18"/>
                <w:szCs w:val="18"/>
                <w:lang w:eastAsia="lt-LT"/>
              </w:rPr>
            </w:pPr>
            <w:r w:rsidRPr="0093300F">
              <w:rPr>
                <w:rFonts w:ascii="Times New Roman" w:eastAsia="Calibri" w:hAnsi="Times New Roman" w:cs="Times New Roman"/>
                <w:b/>
                <w:bCs/>
                <w:iCs/>
                <w:sz w:val="18"/>
                <w:szCs w:val="18"/>
                <w:lang w:eastAsia="lt-LT"/>
              </w:rPr>
              <w:t>Eurai</w:t>
            </w:r>
          </w:p>
        </w:tc>
        <w:tc>
          <w:tcPr>
            <w:tcW w:w="850" w:type="dxa"/>
            <w:shd w:val="clear" w:color="auto" w:fill="auto"/>
            <w:vAlign w:val="center"/>
          </w:tcPr>
          <w:p w:rsidR="00B015AE" w:rsidRPr="0093300F" w:rsidRDefault="00B015AE" w:rsidP="002C482C">
            <w:pPr>
              <w:widowControl w:val="0"/>
              <w:tabs>
                <w:tab w:val="left" w:pos="622"/>
              </w:tabs>
              <w:jc w:val="center"/>
              <w:rPr>
                <w:rFonts w:ascii="Times New Roman" w:eastAsia="Calibri" w:hAnsi="Times New Roman" w:cs="Times New Roman"/>
                <w:b/>
                <w:bCs/>
                <w:iCs/>
                <w:sz w:val="18"/>
                <w:szCs w:val="18"/>
                <w:lang w:eastAsia="lt-LT"/>
              </w:rPr>
            </w:pPr>
            <w:r w:rsidRPr="0093300F">
              <w:rPr>
                <w:rFonts w:ascii="Times New Roman" w:eastAsia="Calibri" w:hAnsi="Times New Roman" w:cs="Times New Roman"/>
                <w:b/>
                <w:bCs/>
                <w:iCs/>
                <w:sz w:val="18"/>
                <w:szCs w:val="18"/>
                <w:lang w:eastAsia="lt-LT"/>
              </w:rPr>
              <w:t>ERPF</w:t>
            </w:r>
          </w:p>
        </w:tc>
        <w:tc>
          <w:tcPr>
            <w:tcW w:w="1134" w:type="dxa"/>
            <w:shd w:val="clear" w:color="auto" w:fill="auto"/>
            <w:vAlign w:val="center"/>
          </w:tcPr>
          <w:p w:rsidR="00B015AE" w:rsidRPr="0093300F" w:rsidRDefault="00B015AE" w:rsidP="002C482C">
            <w:pPr>
              <w:widowControl w:val="0"/>
              <w:tabs>
                <w:tab w:val="left" w:pos="622"/>
              </w:tabs>
              <w:jc w:val="center"/>
              <w:rPr>
                <w:rFonts w:ascii="Times New Roman" w:eastAsia="Calibri" w:hAnsi="Times New Roman" w:cs="Times New Roman"/>
                <w:b/>
                <w:bCs/>
                <w:iCs/>
                <w:sz w:val="18"/>
                <w:szCs w:val="18"/>
                <w:lang w:eastAsia="lt-LT"/>
              </w:rPr>
            </w:pPr>
            <w:r w:rsidRPr="0093300F">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B015AE" w:rsidRPr="0093300F" w:rsidRDefault="00B015AE" w:rsidP="002C482C">
            <w:pPr>
              <w:widowControl w:val="0"/>
              <w:tabs>
                <w:tab w:val="left" w:pos="622"/>
              </w:tabs>
              <w:jc w:val="center"/>
              <w:rPr>
                <w:rFonts w:ascii="Times New Roman" w:hAnsi="Times New Roman" w:cs="Times New Roman"/>
                <w:b/>
                <w:bCs/>
                <w:sz w:val="18"/>
                <w:szCs w:val="18"/>
                <w:lang w:eastAsia="lt-LT"/>
              </w:rPr>
            </w:pPr>
            <w:r w:rsidRPr="0093300F">
              <w:rPr>
                <w:rFonts w:ascii="Times New Roman" w:hAnsi="Times New Roman" w:cs="Times New Roman"/>
                <w:b/>
                <w:bCs/>
                <w:sz w:val="18"/>
                <w:szCs w:val="18"/>
                <w:lang w:eastAsia="lt-LT"/>
              </w:rPr>
              <w:t>873.580</w:t>
            </w:r>
          </w:p>
        </w:tc>
        <w:tc>
          <w:tcPr>
            <w:tcW w:w="1134" w:type="dxa"/>
            <w:shd w:val="clear" w:color="auto" w:fill="auto"/>
            <w:vAlign w:val="center"/>
          </w:tcPr>
          <w:p w:rsidR="00B015AE" w:rsidRPr="0093300F" w:rsidRDefault="00B015AE" w:rsidP="002C482C">
            <w:pPr>
              <w:widowControl w:val="0"/>
              <w:tabs>
                <w:tab w:val="left" w:pos="622"/>
              </w:tabs>
              <w:jc w:val="center"/>
              <w:rPr>
                <w:rFonts w:ascii="Times New Roman" w:eastAsia="Calibri" w:hAnsi="Times New Roman" w:cs="Times New Roman"/>
                <w:b/>
                <w:bCs/>
                <w:iCs/>
                <w:sz w:val="18"/>
                <w:szCs w:val="18"/>
                <w:lang w:eastAsia="lt-LT"/>
              </w:rPr>
            </w:pPr>
            <w:r w:rsidRPr="0093300F">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015AE" w:rsidRPr="0093300F" w:rsidRDefault="00B015AE" w:rsidP="002C482C">
            <w:pPr>
              <w:widowControl w:val="0"/>
              <w:tabs>
                <w:tab w:val="left" w:pos="622"/>
              </w:tabs>
              <w:jc w:val="center"/>
              <w:rPr>
                <w:rFonts w:ascii="Times New Roman" w:eastAsia="Calibri" w:hAnsi="Times New Roman" w:cs="Times New Roman"/>
                <w:b/>
                <w:bCs/>
                <w:iCs/>
                <w:sz w:val="18"/>
                <w:szCs w:val="18"/>
                <w:lang w:eastAsia="lt-LT"/>
              </w:rPr>
            </w:pPr>
            <w:r w:rsidRPr="0093300F">
              <w:rPr>
                <w:rFonts w:ascii="Times New Roman" w:eastAsia="Calibri" w:hAnsi="Times New Roman" w:cs="Times New Roman"/>
                <w:b/>
                <w:bCs/>
                <w:iCs/>
                <w:sz w:val="18"/>
                <w:szCs w:val="18"/>
                <w:lang w:eastAsia="lt-LT"/>
              </w:rPr>
              <w:t>Kartą per metus</w:t>
            </w:r>
          </w:p>
        </w:tc>
      </w:tr>
      <w:tr w:rsidR="00107147" w:rsidRPr="00A4540B" w:rsidTr="00107147">
        <w:tblPrEx>
          <w:shd w:val="clear" w:color="auto" w:fill="auto"/>
        </w:tblPrEx>
        <w:tc>
          <w:tcPr>
            <w:tcW w:w="567" w:type="dxa"/>
            <w:shd w:val="clear" w:color="auto" w:fill="auto"/>
            <w:vAlign w:val="center"/>
          </w:tcPr>
          <w:p w:rsidR="00107147" w:rsidRDefault="00B015AE"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7</w:t>
            </w:r>
            <w:r w:rsidR="00107147">
              <w:rPr>
                <w:rFonts w:ascii="Times New Roman" w:eastAsia="Calibri" w:hAnsi="Times New Roman" w:cs="Times New Roman"/>
                <w:b/>
                <w:bCs/>
                <w:iCs/>
                <w:sz w:val="18"/>
                <w:szCs w:val="18"/>
                <w:lang w:eastAsia="lt-LT"/>
              </w:rPr>
              <w:t>.</w:t>
            </w:r>
          </w:p>
        </w:tc>
        <w:tc>
          <w:tcPr>
            <w:tcW w:w="2694" w:type="dxa"/>
            <w:shd w:val="clear" w:color="auto" w:fill="auto"/>
            <w:vAlign w:val="center"/>
          </w:tcPr>
          <w:p w:rsidR="00107147" w:rsidRPr="00536832" w:rsidRDefault="00107147" w:rsidP="00107147">
            <w:pPr>
              <w:widowControl w:val="0"/>
              <w:tabs>
                <w:tab w:val="left" w:pos="622"/>
              </w:tabs>
              <w:rPr>
                <w:rFonts w:ascii="Times New Roman" w:hAnsi="Times New Roman" w:cs="Times New Roman"/>
                <w:b/>
                <w:color w:val="000000"/>
                <w:sz w:val="18"/>
                <w:szCs w:val="18"/>
                <w:lang w:val="en-GB" w:eastAsia="lt-LT"/>
              </w:rPr>
            </w:pPr>
            <w:r>
              <w:rPr>
                <w:rFonts w:ascii="Times New Roman" w:hAnsi="Times New Roman" w:cs="Times New Roman"/>
                <w:b/>
                <w:color w:val="000000"/>
                <w:sz w:val="18"/>
                <w:szCs w:val="18"/>
                <w:lang w:eastAsia="lt-LT"/>
              </w:rPr>
              <w:t>Sveikatos apsaugos sektoriuje naudojamų informacinių technologijų susijusių su COVID-19, vertė</w:t>
            </w:r>
          </w:p>
        </w:tc>
        <w:tc>
          <w:tcPr>
            <w:tcW w:w="992"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Eur</w:t>
            </w:r>
            <w:r>
              <w:rPr>
                <w:rFonts w:ascii="Times New Roman" w:eastAsia="Calibri" w:hAnsi="Times New Roman" w:cs="Times New Roman"/>
                <w:b/>
                <w:bCs/>
                <w:iCs/>
                <w:sz w:val="18"/>
                <w:szCs w:val="18"/>
                <w:lang w:eastAsia="lt-LT"/>
              </w:rPr>
              <w:t>ai</w:t>
            </w:r>
          </w:p>
        </w:tc>
        <w:tc>
          <w:tcPr>
            <w:tcW w:w="850"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ERPF</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107147" w:rsidRPr="00757DE0" w:rsidRDefault="00107147" w:rsidP="00107147">
            <w:pPr>
              <w:widowControl w:val="0"/>
              <w:tabs>
                <w:tab w:val="left" w:pos="622"/>
              </w:tabs>
              <w:jc w:val="center"/>
              <w:rPr>
                <w:rFonts w:ascii="Times New Roman" w:eastAsia="AngsanaUPC" w:hAnsi="Times New Roman" w:cs="Times New Roman"/>
                <w:b/>
                <w:bCs/>
                <w:iCs/>
                <w:strike/>
                <w:sz w:val="18"/>
                <w:szCs w:val="18"/>
                <w:lang w:val="en-US" w:eastAsia="lt-LT"/>
              </w:rPr>
            </w:pPr>
            <w:r w:rsidRPr="00874AA3">
              <w:rPr>
                <w:rFonts w:ascii="Times New Roman" w:hAnsi="Times New Roman" w:cs="Times New Roman"/>
                <w:b/>
                <w:bCs/>
                <w:sz w:val="18"/>
                <w:szCs w:val="18"/>
                <w:lang w:eastAsia="lt-LT"/>
              </w:rPr>
              <w:t>873.580</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Kartą per metu</w:t>
            </w:r>
            <w:r>
              <w:rPr>
                <w:rFonts w:ascii="Times New Roman" w:eastAsia="Calibri" w:hAnsi="Times New Roman" w:cs="Times New Roman"/>
                <w:b/>
                <w:bCs/>
                <w:iCs/>
                <w:sz w:val="18"/>
                <w:szCs w:val="18"/>
                <w:lang w:eastAsia="lt-LT"/>
              </w:rPr>
              <w:t>s</w:t>
            </w:r>
          </w:p>
        </w:tc>
      </w:tr>
      <w:tr w:rsidR="00107147" w:rsidRPr="00A4540B" w:rsidTr="00107147">
        <w:tblPrEx>
          <w:shd w:val="clear" w:color="auto" w:fill="auto"/>
        </w:tblPrEx>
        <w:tc>
          <w:tcPr>
            <w:tcW w:w="567" w:type="dxa"/>
            <w:shd w:val="clear" w:color="auto" w:fill="auto"/>
            <w:vAlign w:val="center"/>
          </w:tcPr>
          <w:p w:rsidR="00107147" w:rsidRDefault="00B015AE"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val="en-US" w:eastAsia="lt-LT"/>
              </w:rPr>
              <w:t>8</w:t>
            </w:r>
            <w:r w:rsidR="00107147">
              <w:rPr>
                <w:rFonts w:ascii="Times New Roman" w:eastAsia="Calibri" w:hAnsi="Times New Roman" w:cs="Times New Roman"/>
                <w:b/>
                <w:bCs/>
                <w:iCs/>
                <w:sz w:val="18"/>
                <w:szCs w:val="18"/>
                <w:lang w:val="en-US" w:eastAsia="lt-LT"/>
              </w:rPr>
              <w:t>.</w:t>
            </w:r>
          </w:p>
        </w:tc>
        <w:tc>
          <w:tcPr>
            <w:tcW w:w="2694" w:type="dxa"/>
            <w:shd w:val="clear" w:color="auto" w:fill="auto"/>
            <w:vAlign w:val="center"/>
          </w:tcPr>
          <w:p w:rsidR="00107147" w:rsidRDefault="00107147" w:rsidP="00107147">
            <w:pPr>
              <w:widowControl w:val="0"/>
              <w:tabs>
                <w:tab w:val="left" w:pos="622"/>
              </w:tabs>
              <w:rPr>
                <w:rFonts w:ascii="Times New Roman" w:hAnsi="Times New Roman" w:cs="Times New Roman"/>
                <w:b/>
                <w:color w:val="000000"/>
                <w:sz w:val="18"/>
                <w:szCs w:val="18"/>
                <w:lang w:eastAsia="lt-LT"/>
              </w:rPr>
            </w:pPr>
            <w:r>
              <w:rPr>
                <w:rFonts w:ascii="Times New Roman" w:hAnsi="Times New Roman" w:cs="Times New Roman"/>
                <w:b/>
                <w:color w:val="000000"/>
                <w:sz w:val="18"/>
                <w:szCs w:val="18"/>
                <w:lang w:eastAsia="lt-LT"/>
              </w:rPr>
              <w:t>Ventiliatoriai COVID-19 gydyti</w:t>
            </w:r>
          </w:p>
        </w:tc>
        <w:tc>
          <w:tcPr>
            <w:tcW w:w="992"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Skaičius</w:t>
            </w:r>
          </w:p>
        </w:tc>
        <w:tc>
          <w:tcPr>
            <w:tcW w:w="850"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ERPF</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107147" w:rsidRPr="00211525" w:rsidRDefault="00107147" w:rsidP="00923DA7">
            <w:pPr>
              <w:widowControl w:val="0"/>
              <w:tabs>
                <w:tab w:val="left" w:pos="622"/>
              </w:tabs>
              <w:jc w:val="center"/>
              <w:rPr>
                <w:rFonts w:ascii="Times New Roman" w:eastAsia="AngsanaUPC" w:hAnsi="Times New Roman" w:cs="Times New Roman"/>
                <w:b/>
                <w:bCs/>
                <w:iCs/>
                <w:strike/>
                <w:sz w:val="18"/>
                <w:szCs w:val="18"/>
                <w:lang w:val="en-US" w:eastAsia="lt-LT"/>
              </w:rPr>
            </w:pPr>
            <w:r w:rsidRPr="00211525">
              <w:rPr>
                <w:rFonts w:ascii="Times New Roman" w:hAnsi="Times New Roman" w:cs="Times New Roman"/>
                <w:b/>
                <w:bCs/>
                <w:sz w:val="18"/>
                <w:szCs w:val="18"/>
                <w:lang w:eastAsia="lt-LT"/>
              </w:rPr>
              <w:t>24</w:t>
            </w:r>
            <w:r w:rsidR="00923DA7" w:rsidRPr="00211525">
              <w:rPr>
                <w:rFonts w:ascii="Times New Roman" w:hAnsi="Times New Roman" w:cs="Times New Roman"/>
                <w:b/>
                <w:bCs/>
                <w:sz w:val="18"/>
                <w:szCs w:val="18"/>
                <w:lang w:eastAsia="lt-LT"/>
              </w:rPr>
              <w:t>6</w:t>
            </w:r>
          </w:p>
        </w:tc>
        <w:tc>
          <w:tcPr>
            <w:tcW w:w="1134" w:type="dxa"/>
            <w:shd w:val="clear" w:color="auto" w:fill="auto"/>
            <w:vAlign w:val="center"/>
          </w:tcPr>
          <w:p w:rsidR="00107147" w:rsidRPr="00211525"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211525">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Kartą per metus</w:t>
            </w:r>
          </w:p>
        </w:tc>
      </w:tr>
      <w:tr w:rsidR="00107147" w:rsidRPr="00A4540B" w:rsidTr="00107147">
        <w:tblPrEx>
          <w:shd w:val="clear" w:color="auto" w:fill="auto"/>
        </w:tblPrEx>
        <w:tc>
          <w:tcPr>
            <w:tcW w:w="567" w:type="dxa"/>
            <w:shd w:val="clear" w:color="auto" w:fill="auto"/>
            <w:vAlign w:val="center"/>
          </w:tcPr>
          <w:p w:rsidR="00107147" w:rsidRDefault="00B015AE" w:rsidP="00107147">
            <w:pPr>
              <w:widowControl w:val="0"/>
              <w:tabs>
                <w:tab w:val="left" w:pos="622"/>
              </w:tabs>
              <w:jc w:val="center"/>
              <w:rPr>
                <w:rFonts w:ascii="Times New Roman" w:eastAsia="Calibri" w:hAnsi="Times New Roman" w:cs="Times New Roman"/>
                <w:b/>
                <w:bCs/>
                <w:iCs/>
                <w:sz w:val="18"/>
                <w:szCs w:val="18"/>
                <w:lang w:val="en-US" w:eastAsia="lt-LT"/>
              </w:rPr>
            </w:pPr>
            <w:r>
              <w:rPr>
                <w:rFonts w:ascii="Times New Roman" w:eastAsia="Calibri" w:hAnsi="Times New Roman" w:cs="Times New Roman"/>
                <w:b/>
                <w:bCs/>
                <w:iCs/>
                <w:sz w:val="18"/>
                <w:szCs w:val="18"/>
                <w:lang w:val="en-US" w:eastAsia="lt-LT"/>
              </w:rPr>
              <w:t>9.</w:t>
            </w:r>
          </w:p>
        </w:tc>
        <w:tc>
          <w:tcPr>
            <w:tcW w:w="2694" w:type="dxa"/>
            <w:shd w:val="clear" w:color="auto" w:fill="auto"/>
            <w:vAlign w:val="center"/>
          </w:tcPr>
          <w:p w:rsidR="00107147" w:rsidRPr="00192379" w:rsidRDefault="00046CB9" w:rsidP="00107147">
            <w:pPr>
              <w:widowControl w:val="0"/>
              <w:tabs>
                <w:tab w:val="left" w:pos="622"/>
              </w:tabs>
              <w:rPr>
                <w:rFonts w:ascii="Times New Roman" w:hAnsi="Times New Roman" w:cs="Times New Roman"/>
                <w:b/>
                <w:color w:val="000000"/>
                <w:sz w:val="18"/>
                <w:szCs w:val="18"/>
                <w:lang w:eastAsia="lt-LT"/>
              </w:rPr>
            </w:pPr>
            <w:r>
              <w:rPr>
                <w:rFonts w:ascii="Times New Roman" w:hAnsi="Times New Roman" w:cs="Times New Roman"/>
                <w:b/>
                <w:color w:val="000000"/>
                <w:sz w:val="18"/>
                <w:szCs w:val="18"/>
                <w:lang w:eastAsia="lt-LT"/>
              </w:rPr>
              <w:t>Labo</w:t>
            </w:r>
            <w:r w:rsidR="00107147">
              <w:rPr>
                <w:rFonts w:ascii="Times New Roman" w:hAnsi="Times New Roman" w:cs="Times New Roman"/>
                <w:b/>
                <w:color w:val="000000"/>
                <w:sz w:val="18"/>
                <w:szCs w:val="18"/>
                <w:lang w:eastAsia="lt-LT"/>
              </w:rPr>
              <w:t>ratorijų, gavusių paramą COVID-</w:t>
            </w:r>
            <w:r w:rsidR="00107147">
              <w:rPr>
                <w:rFonts w:ascii="Times New Roman" w:hAnsi="Times New Roman" w:cs="Times New Roman"/>
                <w:b/>
                <w:color w:val="000000"/>
                <w:sz w:val="18"/>
                <w:szCs w:val="18"/>
                <w:lang w:val="en-US" w:eastAsia="lt-LT"/>
              </w:rPr>
              <w:t xml:space="preserve">19 </w:t>
            </w:r>
            <w:r w:rsidR="00107147" w:rsidRPr="007543F7">
              <w:rPr>
                <w:rFonts w:ascii="Times New Roman" w:hAnsi="Times New Roman" w:cs="Times New Roman"/>
                <w:b/>
                <w:sz w:val="18"/>
                <w:szCs w:val="18"/>
              </w:rPr>
              <w:t>tyrimams</w:t>
            </w:r>
            <w:r w:rsidR="00107147">
              <w:rPr>
                <w:rFonts w:ascii="Times New Roman" w:hAnsi="Times New Roman" w:cs="Times New Roman"/>
                <w:b/>
                <w:color w:val="000000"/>
                <w:sz w:val="18"/>
                <w:szCs w:val="18"/>
                <w:lang w:val="en-US" w:eastAsia="lt-LT"/>
              </w:rPr>
              <w:t xml:space="preserve"> </w:t>
            </w:r>
            <w:r w:rsidR="00107147" w:rsidRPr="002A71D7">
              <w:rPr>
                <w:rFonts w:ascii="Times New Roman" w:hAnsi="Times New Roman" w:cs="Times New Roman"/>
                <w:b/>
                <w:color w:val="000000"/>
                <w:sz w:val="18"/>
                <w:szCs w:val="18"/>
                <w:lang w:eastAsia="lt-LT"/>
              </w:rPr>
              <w:t>atlikti, skaičius</w:t>
            </w:r>
          </w:p>
        </w:tc>
        <w:tc>
          <w:tcPr>
            <w:tcW w:w="992"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Skaičius</w:t>
            </w:r>
          </w:p>
        </w:tc>
        <w:tc>
          <w:tcPr>
            <w:tcW w:w="850"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ERPF</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107147" w:rsidRPr="00757DE0" w:rsidRDefault="00107147" w:rsidP="00107147">
            <w:pPr>
              <w:widowControl w:val="0"/>
              <w:tabs>
                <w:tab w:val="left" w:pos="622"/>
              </w:tabs>
              <w:jc w:val="center"/>
              <w:rPr>
                <w:rFonts w:ascii="Times New Roman" w:eastAsia="AngsanaUPC" w:hAnsi="Times New Roman" w:cs="Times New Roman"/>
                <w:b/>
                <w:bCs/>
                <w:iCs/>
                <w:strike/>
                <w:sz w:val="18"/>
                <w:szCs w:val="18"/>
                <w:lang w:val="en-US" w:eastAsia="lt-LT"/>
              </w:rPr>
            </w:pPr>
            <w:r w:rsidRPr="00874AA3">
              <w:rPr>
                <w:rFonts w:ascii="Times New Roman" w:hAnsi="Times New Roman" w:cs="Times New Roman"/>
                <w:b/>
                <w:bCs/>
                <w:sz w:val="18"/>
                <w:szCs w:val="18"/>
                <w:lang w:eastAsia="lt-LT"/>
              </w:rPr>
              <w:t>6</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Kartą per metus</w:t>
            </w:r>
          </w:p>
        </w:tc>
      </w:tr>
      <w:tr w:rsidR="00107147" w:rsidRPr="00A4540B" w:rsidTr="00107147">
        <w:tblPrEx>
          <w:shd w:val="clear" w:color="auto" w:fill="auto"/>
        </w:tblPrEx>
        <w:tc>
          <w:tcPr>
            <w:tcW w:w="567" w:type="dxa"/>
            <w:shd w:val="clear" w:color="auto" w:fill="auto"/>
            <w:vAlign w:val="center"/>
          </w:tcPr>
          <w:p w:rsidR="00107147" w:rsidRDefault="00B015AE" w:rsidP="00107147">
            <w:pPr>
              <w:widowControl w:val="0"/>
              <w:tabs>
                <w:tab w:val="left" w:pos="622"/>
              </w:tabs>
              <w:jc w:val="center"/>
              <w:rPr>
                <w:rFonts w:ascii="Times New Roman" w:eastAsia="Calibri" w:hAnsi="Times New Roman" w:cs="Times New Roman"/>
                <w:b/>
                <w:bCs/>
                <w:iCs/>
                <w:sz w:val="18"/>
                <w:szCs w:val="18"/>
                <w:lang w:val="en-US" w:eastAsia="lt-LT"/>
              </w:rPr>
            </w:pPr>
            <w:r>
              <w:rPr>
                <w:rFonts w:ascii="Times New Roman" w:eastAsia="Calibri" w:hAnsi="Times New Roman" w:cs="Times New Roman"/>
                <w:b/>
                <w:bCs/>
                <w:iCs/>
                <w:sz w:val="18"/>
                <w:szCs w:val="18"/>
                <w:lang w:val="en-US" w:eastAsia="lt-LT"/>
              </w:rPr>
              <w:t>10.</w:t>
            </w:r>
          </w:p>
        </w:tc>
        <w:tc>
          <w:tcPr>
            <w:tcW w:w="2694" w:type="dxa"/>
            <w:shd w:val="clear" w:color="auto" w:fill="auto"/>
            <w:vAlign w:val="center"/>
          </w:tcPr>
          <w:p w:rsidR="00107147" w:rsidRDefault="00107147" w:rsidP="00107147">
            <w:pPr>
              <w:widowControl w:val="0"/>
              <w:tabs>
                <w:tab w:val="left" w:pos="622"/>
              </w:tabs>
              <w:rPr>
                <w:rFonts w:ascii="Times New Roman" w:hAnsi="Times New Roman" w:cs="Times New Roman"/>
                <w:b/>
                <w:color w:val="000000"/>
                <w:sz w:val="18"/>
                <w:szCs w:val="18"/>
                <w:lang w:eastAsia="lt-LT"/>
              </w:rPr>
            </w:pPr>
            <w:r>
              <w:rPr>
                <w:rFonts w:ascii="Times New Roman" w:hAnsi="Times New Roman" w:cs="Times New Roman"/>
                <w:b/>
                <w:sz w:val="18"/>
                <w:szCs w:val="18"/>
              </w:rPr>
              <w:t>L</w:t>
            </w:r>
            <w:r w:rsidR="00046CB9">
              <w:rPr>
                <w:rFonts w:ascii="Times New Roman" w:hAnsi="Times New Roman" w:cs="Times New Roman"/>
                <w:b/>
                <w:sz w:val="18"/>
                <w:szCs w:val="18"/>
              </w:rPr>
              <w:t>abo</w:t>
            </w:r>
            <w:r w:rsidRPr="00874AA3">
              <w:rPr>
                <w:rFonts w:ascii="Times New Roman" w:hAnsi="Times New Roman" w:cs="Times New Roman"/>
                <w:b/>
                <w:sz w:val="18"/>
                <w:szCs w:val="18"/>
              </w:rPr>
              <w:t>ratorij</w:t>
            </w:r>
            <w:r>
              <w:rPr>
                <w:rFonts w:ascii="Times New Roman" w:hAnsi="Times New Roman" w:cs="Times New Roman"/>
                <w:b/>
                <w:sz w:val="18"/>
                <w:szCs w:val="18"/>
              </w:rPr>
              <w:t>oms</w:t>
            </w:r>
            <w:r w:rsidRPr="00874AA3">
              <w:rPr>
                <w:rFonts w:ascii="Times New Roman" w:hAnsi="Times New Roman" w:cs="Times New Roman"/>
                <w:b/>
                <w:sz w:val="18"/>
                <w:szCs w:val="18"/>
              </w:rPr>
              <w:t xml:space="preserve">, </w:t>
            </w:r>
            <w:r>
              <w:rPr>
                <w:rFonts w:ascii="Times New Roman" w:hAnsi="Times New Roman" w:cs="Times New Roman"/>
                <w:b/>
                <w:sz w:val="18"/>
                <w:szCs w:val="18"/>
              </w:rPr>
              <w:t xml:space="preserve">gavusioms paramą </w:t>
            </w:r>
            <w:r w:rsidRPr="00874AA3">
              <w:rPr>
                <w:rFonts w:ascii="Times New Roman" w:hAnsi="Times New Roman" w:cs="Times New Roman"/>
                <w:b/>
                <w:sz w:val="18"/>
                <w:szCs w:val="18"/>
              </w:rPr>
              <w:t xml:space="preserve">testuoti </w:t>
            </w:r>
            <w:r w:rsidRPr="00874AA3">
              <w:rPr>
                <w:rFonts w:ascii="Times New Roman" w:hAnsi="Times New Roman" w:cs="Times New Roman"/>
                <w:b/>
                <w:color w:val="000000"/>
                <w:sz w:val="18"/>
                <w:szCs w:val="18"/>
                <w:lang w:eastAsia="lt-LT"/>
              </w:rPr>
              <w:t>COVID-</w:t>
            </w:r>
            <w:r w:rsidRPr="00874AA3">
              <w:rPr>
                <w:rFonts w:ascii="Times New Roman" w:hAnsi="Times New Roman" w:cs="Times New Roman"/>
                <w:b/>
                <w:color w:val="000000"/>
                <w:sz w:val="18"/>
                <w:szCs w:val="18"/>
                <w:lang w:val="en-US" w:eastAsia="lt-LT"/>
              </w:rPr>
              <w:t xml:space="preserve">19, </w:t>
            </w:r>
            <w:r w:rsidRPr="002A71D7">
              <w:rPr>
                <w:rFonts w:ascii="Times New Roman" w:hAnsi="Times New Roman" w:cs="Times New Roman"/>
                <w:b/>
                <w:color w:val="000000"/>
                <w:sz w:val="18"/>
                <w:szCs w:val="18"/>
                <w:lang w:eastAsia="lt-LT"/>
              </w:rPr>
              <w:t>skirtų investicijų vertė</w:t>
            </w:r>
          </w:p>
        </w:tc>
        <w:tc>
          <w:tcPr>
            <w:tcW w:w="992"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Eur</w:t>
            </w:r>
            <w:r>
              <w:rPr>
                <w:rFonts w:ascii="Times New Roman" w:eastAsia="Calibri" w:hAnsi="Times New Roman" w:cs="Times New Roman"/>
                <w:b/>
                <w:bCs/>
                <w:iCs/>
                <w:sz w:val="18"/>
                <w:szCs w:val="18"/>
                <w:lang w:eastAsia="lt-LT"/>
              </w:rPr>
              <w:t>ai</w:t>
            </w:r>
          </w:p>
        </w:tc>
        <w:tc>
          <w:tcPr>
            <w:tcW w:w="850"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ERPF</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107147" w:rsidRPr="00757DE0" w:rsidRDefault="00107147" w:rsidP="00107147">
            <w:pPr>
              <w:widowControl w:val="0"/>
              <w:tabs>
                <w:tab w:val="left" w:pos="622"/>
              </w:tabs>
              <w:jc w:val="center"/>
              <w:rPr>
                <w:rFonts w:ascii="Times New Roman" w:hAnsi="Times New Roman" w:cs="Times New Roman"/>
                <w:b/>
                <w:bCs/>
                <w:sz w:val="18"/>
                <w:szCs w:val="18"/>
                <w:lang w:eastAsia="lt-LT"/>
              </w:rPr>
            </w:pPr>
            <w:r w:rsidRPr="00757DE0">
              <w:rPr>
                <w:rFonts w:ascii="Times New Roman" w:hAnsi="Times New Roman" w:cs="Times New Roman"/>
                <w:b/>
                <w:bCs/>
                <w:sz w:val="18"/>
                <w:szCs w:val="18"/>
                <w:lang w:eastAsia="lt-LT"/>
              </w:rPr>
              <w:t>2</w:t>
            </w:r>
            <w:r>
              <w:rPr>
                <w:rFonts w:ascii="Times New Roman" w:hAnsi="Times New Roman" w:cs="Times New Roman"/>
                <w:b/>
                <w:bCs/>
                <w:sz w:val="18"/>
                <w:szCs w:val="18"/>
                <w:lang w:eastAsia="lt-LT"/>
              </w:rPr>
              <w:t>.</w:t>
            </w:r>
            <w:r w:rsidRPr="00757DE0">
              <w:rPr>
                <w:rFonts w:ascii="Times New Roman" w:hAnsi="Times New Roman" w:cs="Times New Roman"/>
                <w:b/>
                <w:bCs/>
                <w:sz w:val="18"/>
                <w:szCs w:val="18"/>
                <w:lang w:eastAsia="lt-LT"/>
              </w:rPr>
              <w:t>818</w:t>
            </w:r>
            <w:r>
              <w:rPr>
                <w:rFonts w:ascii="Times New Roman" w:hAnsi="Times New Roman" w:cs="Times New Roman"/>
                <w:b/>
                <w:bCs/>
                <w:sz w:val="18"/>
                <w:szCs w:val="18"/>
                <w:lang w:eastAsia="lt-LT"/>
              </w:rPr>
              <w:t>.</w:t>
            </w:r>
            <w:r w:rsidRPr="00874AA3">
              <w:rPr>
                <w:rFonts w:ascii="Times New Roman" w:hAnsi="Times New Roman" w:cs="Times New Roman"/>
                <w:b/>
                <w:bCs/>
                <w:sz w:val="18"/>
                <w:szCs w:val="18"/>
                <w:lang w:eastAsia="lt-LT"/>
              </w:rPr>
              <w:t>700</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Kartą per metu</w:t>
            </w:r>
            <w:r>
              <w:rPr>
                <w:rFonts w:ascii="Times New Roman" w:eastAsia="Calibri" w:hAnsi="Times New Roman" w:cs="Times New Roman"/>
                <w:b/>
                <w:bCs/>
                <w:iCs/>
                <w:sz w:val="18"/>
                <w:szCs w:val="18"/>
                <w:lang w:eastAsia="lt-LT"/>
              </w:rPr>
              <w:t>s</w:t>
            </w:r>
          </w:p>
        </w:tc>
      </w:tr>
    </w:tbl>
    <w:p w:rsidR="00107147" w:rsidRDefault="00107147" w:rsidP="001F4C4B">
      <w:pPr>
        <w:autoSpaceDE w:val="0"/>
        <w:autoSpaceDN w:val="0"/>
        <w:adjustRightInd w:val="0"/>
        <w:spacing w:before="240" w:after="240"/>
        <w:jc w:val="both"/>
        <w:rPr>
          <w:rFonts w:ascii="Times New Roman" w:hAnsi="Times New Roman" w:cs="Times New Roman"/>
          <w:i/>
          <w:color w:val="000000"/>
          <w:sz w:val="24"/>
          <w:szCs w:val="24"/>
          <w:u w:val="single"/>
        </w:rPr>
      </w:pPr>
      <w:r w:rsidRPr="00EB151B">
        <w:rPr>
          <w:rFonts w:ascii="Times New Roman" w:hAnsi="Times New Roman" w:cs="Times New Roman"/>
          <w:i/>
          <w:sz w:val="24"/>
          <w:szCs w:val="24"/>
          <w:u w:val="single"/>
          <w:lang w:val="en-US"/>
        </w:rPr>
        <w:t xml:space="preserve">10. </w:t>
      </w:r>
      <w:r w:rsidR="005243DE">
        <w:rPr>
          <w:rFonts w:ascii="Times New Roman" w:hAnsi="Times New Roman" w:cs="Times New Roman"/>
          <w:i/>
          <w:sz w:val="24"/>
          <w:szCs w:val="24"/>
          <w:u w:val="single"/>
        </w:rPr>
        <w:t>Patikslinti</w:t>
      </w:r>
      <w:r w:rsidRPr="00EB151B">
        <w:rPr>
          <w:rFonts w:ascii="Times New Roman" w:hAnsi="Times New Roman" w:cs="Times New Roman"/>
          <w:i/>
          <w:sz w:val="24"/>
          <w:szCs w:val="24"/>
          <w:u w:val="single"/>
        </w:rPr>
        <w:t xml:space="preserve"> </w:t>
      </w:r>
      <w:r w:rsidRPr="00EB151B">
        <w:rPr>
          <w:rFonts w:ascii="Times New Roman" w:hAnsi="Times New Roman" w:cs="Times New Roman"/>
          <w:i/>
          <w:color w:val="000000"/>
          <w:sz w:val="24"/>
          <w:szCs w:val="24"/>
          <w:u w:val="single"/>
        </w:rPr>
        <w:t>Veiksmų programos 2 skirsnio „Prioritetų aprašymas“ 8 prioriteto „</w:t>
      </w:r>
      <w:r w:rsidRPr="00EB151B">
        <w:rPr>
          <w:rFonts w:ascii="Times New Roman" w:hAnsi="Times New Roman" w:cs="Times New Roman"/>
          <w:bCs/>
          <w:i/>
          <w:sz w:val="24"/>
          <w:szCs w:val="24"/>
          <w:u w:val="single"/>
          <w:lang w:eastAsia="lt-LT"/>
        </w:rPr>
        <w:t>Investicijos į sveikatos ir socialinę infrastruktūrą, kuria prisidedama prie nacionalinės, regionų ir vietos plėtros, su sveikatos būkle susijusios nelygybės mažinimo, socialinės įtraukties skatinimo, suteikiant geresnę prieigą prie socialinių, kultūrinių ir rekreacinių paslaugų, ir perėjimo nuo institucinių prie bendruomeninių paslaugų</w:t>
      </w:r>
      <w:r w:rsidRPr="00EB151B">
        <w:rPr>
          <w:rFonts w:ascii="Times New Roman" w:hAnsi="Times New Roman" w:cs="Times New Roman"/>
          <w:i/>
          <w:color w:val="000000"/>
          <w:sz w:val="24"/>
          <w:szCs w:val="24"/>
          <w:u w:val="single"/>
        </w:rPr>
        <w:t>“ 8.4 investicinio prioriteto lentelės „ESF bendrieji ir specialieji programos produkto rodikliai“ 4 eilutę bei papildyti 6-9 e</w:t>
      </w:r>
      <w:r w:rsidR="001F4C4B">
        <w:rPr>
          <w:rFonts w:ascii="Times New Roman" w:hAnsi="Times New Roman" w:cs="Times New Roman"/>
          <w:i/>
          <w:color w:val="000000"/>
          <w:sz w:val="24"/>
          <w:szCs w:val="24"/>
          <w:u w:val="single"/>
        </w:rPr>
        <w:t>ilutėmis ir išdėstyti jas taip:</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410"/>
        <w:gridCol w:w="992"/>
        <w:gridCol w:w="993"/>
        <w:gridCol w:w="1134"/>
        <w:gridCol w:w="1275"/>
        <w:gridCol w:w="1134"/>
        <w:gridCol w:w="1241"/>
      </w:tblGrid>
      <w:tr w:rsidR="00107147" w:rsidRPr="0042440E" w:rsidTr="00107147">
        <w:trPr>
          <w:tblHeader/>
        </w:trPr>
        <w:tc>
          <w:tcPr>
            <w:tcW w:w="9746" w:type="dxa"/>
            <w:gridSpan w:val="8"/>
            <w:shd w:val="clear" w:color="auto" w:fill="EEECE1"/>
          </w:tcPr>
          <w:p w:rsidR="00107147" w:rsidRPr="00046CB9" w:rsidRDefault="00107147" w:rsidP="00107147">
            <w:pPr>
              <w:widowControl w:val="0"/>
              <w:tabs>
                <w:tab w:val="left" w:pos="622"/>
              </w:tabs>
              <w:jc w:val="both"/>
              <w:rPr>
                <w:rFonts w:ascii="Times New Roman" w:eastAsia="AngsanaUPC" w:hAnsi="Times New Roman" w:cs="Times New Roman"/>
                <w:b/>
                <w:bCs/>
                <w:i/>
                <w:iCs/>
                <w:sz w:val="18"/>
                <w:szCs w:val="18"/>
                <w:lang w:eastAsia="lt-LT"/>
              </w:rPr>
            </w:pPr>
            <w:r w:rsidRPr="00046CB9">
              <w:rPr>
                <w:rFonts w:ascii="Times New Roman" w:eastAsia="AngsanaUPC" w:hAnsi="Times New Roman" w:cs="Times New Roman"/>
                <w:b/>
                <w:bCs/>
                <w:i/>
                <w:iCs/>
                <w:sz w:val="18"/>
                <w:szCs w:val="18"/>
                <w:lang w:eastAsia="lt-LT"/>
              </w:rPr>
              <w:t>ESF bendrieji ir specialie</w:t>
            </w:r>
            <w:r w:rsidR="00046CB9" w:rsidRPr="00046CB9">
              <w:rPr>
                <w:rFonts w:ascii="Times New Roman" w:eastAsia="AngsanaUPC" w:hAnsi="Times New Roman" w:cs="Times New Roman"/>
                <w:b/>
                <w:bCs/>
                <w:i/>
                <w:iCs/>
                <w:sz w:val="18"/>
                <w:szCs w:val="18"/>
                <w:lang w:eastAsia="lt-LT"/>
              </w:rPr>
              <w:t>ji programos produkto rodikliai</w:t>
            </w:r>
          </w:p>
        </w:tc>
      </w:tr>
      <w:tr w:rsidR="00107147" w:rsidRPr="0042440E" w:rsidTr="00107147">
        <w:tblPrEx>
          <w:shd w:val="clear" w:color="auto" w:fill="auto"/>
        </w:tblPrEx>
        <w:trPr>
          <w:tblHeader/>
        </w:trPr>
        <w:tc>
          <w:tcPr>
            <w:tcW w:w="567" w:type="dxa"/>
            <w:shd w:val="clear" w:color="auto" w:fill="EEECE1"/>
            <w:vAlign w:val="center"/>
          </w:tcPr>
          <w:p w:rsidR="00107147" w:rsidRPr="0042440E"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42440E">
              <w:rPr>
                <w:rFonts w:ascii="Times New Roman" w:eastAsia="AngsanaUPC" w:hAnsi="Times New Roman" w:cs="Times New Roman"/>
                <w:b/>
                <w:bCs/>
                <w:iCs/>
                <w:sz w:val="18"/>
                <w:szCs w:val="18"/>
                <w:lang w:eastAsia="lt-LT"/>
              </w:rPr>
              <w:t>Nr.</w:t>
            </w:r>
          </w:p>
        </w:tc>
        <w:tc>
          <w:tcPr>
            <w:tcW w:w="2410" w:type="dxa"/>
            <w:shd w:val="clear" w:color="auto" w:fill="EEECE1"/>
            <w:vAlign w:val="center"/>
          </w:tcPr>
          <w:p w:rsidR="00107147" w:rsidRPr="0042440E"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42440E">
              <w:rPr>
                <w:rFonts w:ascii="Times New Roman" w:eastAsia="AngsanaUPC" w:hAnsi="Times New Roman" w:cs="Times New Roman"/>
                <w:b/>
                <w:bCs/>
                <w:iCs/>
                <w:sz w:val="18"/>
                <w:szCs w:val="18"/>
                <w:lang w:eastAsia="lt-LT"/>
              </w:rPr>
              <w:t>Rodiklio pavadinimas</w:t>
            </w:r>
          </w:p>
        </w:tc>
        <w:tc>
          <w:tcPr>
            <w:tcW w:w="992" w:type="dxa"/>
            <w:shd w:val="clear" w:color="auto" w:fill="EEECE1"/>
            <w:vAlign w:val="center"/>
          </w:tcPr>
          <w:p w:rsidR="00107147" w:rsidRPr="0042440E"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42440E">
              <w:rPr>
                <w:rFonts w:ascii="Times New Roman" w:eastAsia="AngsanaUPC" w:hAnsi="Times New Roman" w:cs="Times New Roman"/>
                <w:b/>
                <w:bCs/>
                <w:iCs/>
                <w:sz w:val="18"/>
                <w:szCs w:val="18"/>
                <w:lang w:eastAsia="lt-LT"/>
              </w:rPr>
              <w:t>Matavimo vienetas</w:t>
            </w:r>
          </w:p>
        </w:tc>
        <w:tc>
          <w:tcPr>
            <w:tcW w:w="993" w:type="dxa"/>
            <w:shd w:val="clear" w:color="auto" w:fill="EEECE1"/>
            <w:vAlign w:val="center"/>
          </w:tcPr>
          <w:p w:rsidR="00107147" w:rsidRPr="0042440E"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42440E">
              <w:rPr>
                <w:rFonts w:ascii="Times New Roman" w:eastAsia="AngsanaUPC" w:hAnsi="Times New Roman" w:cs="Times New Roman"/>
                <w:b/>
                <w:bCs/>
                <w:iCs/>
                <w:sz w:val="18"/>
                <w:szCs w:val="18"/>
                <w:lang w:eastAsia="lt-LT"/>
              </w:rPr>
              <w:t>Fondas</w:t>
            </w:r>
          </w:p>
        </w:tc>
        <w:tc>
          <w:tcPr>
            <w:tcW w:w="1134" w:type="dxa"/>
            <w:shd w:val="clear" w:color="auto" w:fill="EEECE1"/>
            <w:vAlign w:val="center"/>
          </w:tcPr>
          <w:p w:rsidR="00107147" w:rsidRPr="0042440E"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42440E">
              <w:rPr>
                <w:rFonts w:ascii="Times New Roman" w:eastAsia="AngsanaUPC" w:hAnsi="Times New Roman" w:cs="Times New Roman"/>
                <w:b/>
                <w:bCs/>
                <w:iCs/>
                <w:sz w:val="18"/>
                <w:szCs w:val="18"/>
                <w:lang w:eastAsia="lt-LT"/>
              </w:rPr>
              <w:t>Regiono kategorija</w:t>
            </w:r>
          </w:p>
        </w:tc>
        <w:tc>
          <w:tcPr>
            <w:tcW w:w="1275" w:type="dxa"/>
            <w:shd w:val="clear" w:color="auto" w:fill="EEECE1"/>
            <w:vAlign w:val="center"/>
          </w:tcPr>
          <w:p w:rsidR="00107147" w:rsidRPr="0042440E"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42440E">
              <w:rPr>
                <w:rFonts w:ascii="Times New Roman" w:eastAsia="AngsanaUPC" w:hAnsi="Times New Roman" w:cs="Times New Roman"/>
                <w:b/>
                <w:bCs/>
                <w:iCs/>
                <w:sz w:val="18"/>
                <w:szCs w:val="18"/>
                <w:lang w:eastAsia="lt-LT"/>
              </w:rPr>
              <w:t>Siektina reikšmė (2023)</w:t>
            </w:r>
          </w:p>
        </w:tc>
        <w:tc>
          <w:tcPr>
            <w:tcW w:w="1134" w:type="dxa"/>
            <w:shd w:val="clear" w:color="auto" w:fill="EEECE1"/>
            <w:vAlign w:val="center"/>
          </w:tcPr>
          <w:p w:rsidR="00107147" w:rsidRPr="0042440E"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42440E">
              <w:rPr>
                <w:rFonts w:ascii="Times New Roman" w:eastAsia="AngsanaUPC" w:hAnsi="Times New Roman" w:cs="Times New Roman"/>
                <w:b/>
                <w:bCs/>
                <w:iCs/>
                <w:sz w:val="18"/>
                <w:szCs w:val="18"/>
                <w:lang w:eastAsia="lt-LT"/>
              </w:rPr>
              <w:t>Duomenų šaltinis</w:t>
            </w:r>
          </w:p>
        </w:tc>
        <w:tc>
          <w:tcPr>
            <w:tcW w:w="1241" w:type="dxa"/>
            <w:shd w:val="clear" w:color="auto" w:fill="EEECE1"/>
            <w:vAlign w:val="center"/>
          </w:tcPr>
          <w:p w:rsidR="00107147" w:rsidRPr="0042440E" w:rsidRDefault="00107147" w:rsidP="00107147">
            <w:pPr>
              <w:widowControl w:val="0"/>
              <w:tabs>
                <w:tab w:val="left" w:pos="622"/>
              </w:tabs>
              <w:jc w:val="center"/>
              <w:rPr>
                <w:rFonts w:ascii="Times New Roman" w:eastAsia="AngsanaUPC" w:hAnsi="Times New Roman" w:cs="Times New Roman"/>
                <w:b/>
                <w:bCs/>
                <w:iCs/>
                <w:sz w:val="18"/>
                <w:szCs w:val="18"/>
                <w:lang w:eastAsia="lt-LT"/>
              </w:rPr>
            </w:pPr>
            <w:r w:rsidRPr="0042440E">
              <w:rPr>
                <w:rFonts w:ascii="Times New Roman" w:eastAsia="AngsanaUPC" w:hAnsi="Times New Roman" w:cs="Times New Roman"/>
                <w:b/>
                <w:bCs/>
                <w:iCs/>
                <w:sz w:val="18"/>
                <w:szCs w:val="18"/>
                <w:lang w:eastAsia="lt-LT"/>
              </w:rPr>
              <w:t>Atsiskaitymo dažnumas</w:t>
            </w:r>
          </w:p>
        </w:tc>
      </w:tr>
      <w:tr w:rsidR="00107147" w:rsidRPr="00A4540B" w:rsidTr="00EB151B">
        <w:tblPrEx>
          <w:shd w:val="clear" w:color="auto" w:fill="auto"/>
        </w:tblPrEx>
        <w:tc>
          <w:tcPr>
            <w:tcW w:w="567" w:type="dxa"/>
            <w:shd w:val="clear" w:color="auto" w:fill="auto"/>
            <w:vAlign w:val="center"/>
          </w:tcPr>
          <w:p w:rsidR="00107147" w:rsidRPr="005243DE" w:rsidRDefault="00107147" w:rsidP="00107147">
            <w:pPr>
              <w:widowControl w:val="0"/>
              <w:tabs>
                <w:tab w:val="left" w:pos="622"/>
              </w:tabs>
              <w:jc w:val="center"/>
              <w:rPr>
                <w:rFonts w:ascii="Times New Roman" w:eastAsia="Calibri" w:hAnsi="Times New Roman" w:cs="Times New Roman"/>
                <w:bCs/>
                <w:iCs/>
                <w:sz w:val="18"/>
                <w:szCs w:val="18"/>
                <w:lang w:eastAsia="lt-LT"/>
              </w:rPr>
            </w:pPr>
            <w:r w:rsidRPr="005243DE">
              <w:rPr>
                <w:rFonts w:ascii="Times New Roman" w:eastAsia="Calibri" w:hAnsi="Times New Roman" w:cs="Times New Roman"/>
                <w:bCs/>
                <w:iCs/>
                <w:sz w:val="18"/>
                <w:szCs w:val="18"/>
                <w:lang w:eastAsia="lt-LT"/>
              </w:rPr>
              <w:t>4.</w:t>
            </w:r>
          </w:p>
        </w:tc>
        <w:tc>
          <w:tcPr>
            <w:tcW w:w="2410" w:type="dxa"/>
            <w:shd w:val="clear" w:color="auto" w:fill="auto"/>
            <w:vAlign w:val="center"/>
          </w:tcPr>
          <w:p w:rsidR="00107147" w:rsidRPr="005243DE" w:rsidRDefault="00107147" w:rsidP="00107147">
            <w:pPr>
              <w:autoSpaceDE w:val="0"/>
              <w:autoSpaceDN w:val="0"/>
              <w:adjustRightInd w:val="0"/>
              <w:rPr>
                <w:rFonts w:ascii="Times New Roman" w:hAnsi="Times New Roman" w:cs="Times New Roman"/>
                <w:sz w:val="18"/>
                <w:szCs w:val="18"/>
                <w:lang w:eastAsia="lt-LT"/>
              </w:rPr>
            </w:pPr>
            <w:r w:rsidRPr="005243DE">
              <w:rPr>
                <w:rFonts w:ascii="Times New Roman" w:hAnsi="Times New Roman" w:cs="Times New Roman"/>
                <w:sz w:val="18"/>
                <w:szCs w:val="18"/>
                <w:lang w:eastAsia="lt-LT"/>
              </w:rPr>
              <w:t xml:space="preserve">Savivaldybės, kuriose </w:t>
            </w:r>
            <w:r w:rsidRPr="00AB760D">
              <w:rPr>
                <w:rFonts w:ascii="Times New Roman" w:hAnsi="Times New Roman" w:cs="Times New Roman"/>
                <w:strike/>
                <w:sz w:val="18"/>
                <w:szCs w:val="18"/>
                <w:lang w:eastAsia="lt-LT"/>
              </w:rPr>
              <w:t>įdiegti</w:t>
            </w:r>
            <w:r w:rsidR="00AB760D">
              <w:rPr>
                <w:rFonts w:ascii="Times New Roman" w:hAnsi="Times New Roman" w:cs="Times New Roman"/>
                <w:strike/>
                <w:sz w:val="18"/>
                <w:szCs w:val="18"/>
                <w:lang w:eastAsia="lt-LT"/>
              </w:rPr>
              <w:t xml:space="preserve"> </w:t>
            </w:r>
            <w:r w:rsidR="00AB760D" w:rsidRPr="00AB760D">
              <w:rPr>
                <w:rFonts w:ascii="Times New Roman" w:hAnsi="Times New Roman" w:cs="Times New Roman"/>
                <w:b/>
                <w:sz w:val="18"/>
                <w:szCs w:val="18"/>
                <w:lang w:eastAsia="lt-LT"/>
              </w:rPr>
              <w:t>įgyvendinti</w:t>
            </w:r>
            <w:r w:rsidR="00AB760D">
              <w:rPr>
                <w:rFonts w:ascii="Times New Roman" w:hAnsi="Times New Roman" w:cs="Times New Roman"/>
                <w:sz w:val="18"/>
                <w:szCs w:val="18"/>
                <w:lang w:eastAsia="lt-LT"/>
              </w:rPr>
              <w:t xml:space="preserve"> </w:t>
            </w:r>
            <w:r w:rsidRPr="005243DE">
              <w:rPr>
                <w:rFonts w:ascii="Times New Roman" w:hAnsi="Times New Roman" w:cs="Times New Roman"/>
                <w:sz w:val="18"/>
                <w:szCs w:val="18"/>
                <w:lang w:eastAsia="lt-LT"/>
              </w:rPr>
              <w:t>inovatyvūs viešųjų asmens ir</w:t>
            </w:r>
          </w:p>
          <w:p w:rsidR="00107147" w:rsidRPr="005243DE" w:rsidRDefault="005243DE" w:rsidP="00107147">
            <w:pPr>
              <w:autoSpaceDE w:val="0"/>
              <w:autoSpaceDN w:val="0"/>
              <w:adjustRightInd w:val="0"/>
              <w:rPr>
                <w:rFonts w:ascii="Times New Roman" w:hAnsi="Times New Roman" w:cs="Times New Roman"/>
                <w:sz w:val="18"/>
                <w:szCs w:val="18"/>
                <w:lang w:eastAsia="lt-LT"/>
              </w:rPr>
            </w:pPr>
            <w:r>
              <w:rPr>
                <w:rFonts w:ascii="Times New Roman" w:hAnsi="Times New Roman" w:cs="Times New Roman"/>
                <w:sz w:val="18"/>
                <w:szCs w:val="18"/>
                <w:lang w:eastAsia="lt-LT"/>
              </w:rPr>
              <w:t xml:space="preserve">visuomenės sveikatos priežiūros </w:t>
            </w:r>
            <w:r w:rsidR="00107147" w:rsidRPr="005243DE">
              <w:rPr>
                <w:rFonts w:ascii="Times New Roman" w:hAnsi="Times New Roman" w:cs="Times New Roman"/>
                <w:sz w:val="18"/>
                <w:szCs w:val="18"/>
                <w:lang w:eastAsia="lt-LT"/>
              </w:rPr>
              <w:t>paslaugų teikimo modeliai,</w:t>
            </w:r>
            <w:r>
              <w:rPr>
                <w:rFonts w:ascii="Times New Roman" w:hAnsi="Times New Roman" w:cs="Times New Roman"/>
                <w:sz w:val="18"/>
                <w:szCs w:val="18"/>
                <w:lang w:eastAsia="lt-LT"/>
              </w:rPr>
              <w:t xml:space="preserve"> </w:t>
            </w:r>
            <w:r w:rsidR="00107147" w:rsidRPr="005243DE">
              <w:rPr>
                <w:rFonts w:ascii="Times New Roman" w:hAnsi="Times New Roman" w:cs="Times New Roman"/>
                <w:sz w:val="18"/>
                <w:szCs w:val="18"/>
                <w:lang w:eastAsia="lt-LT"/>
              </w:rPr>
              <w:t xml:space="preserve">pagerinantys </w:t>
            </w:r>
            <w:r w:rsidR="00107147" w:rsidRPr="005243DE">
              <w:rPr>
                <w:rFonts w:ascii="Times New Roman" w:hAnsi="Times New Roman" w:cs="Times New Roman"/>
                <w:sz w:val="18"/>
                <w:szCs w:val="18"/>
                <w:lang w:eastAsia="lt-LT"/>
              </w:rPr>
              <w:lastRenderedPageBreak/>
              <w:t>sveikatos priežiūros</w:t>
            </w:r>
          </w:p>
          <w:p w:rsidR="00107147" w:rsidRPr="005243DE" w:rsidRDefault="005243DE" w:rsidP="005243DE">
            <w:pPr>
              <w:autoSpaceDE w:val="0"/>
              <w:autoSpaceDN w:val="0"/>
              <w:adjustRightInd w:val="0"/>
              <w:rPr>
                <w:rFonts w:ascii="Times New Roman" w:hAnsi="Times New Roman" w:cs="Times New Roman"/>
                <w:sz w:val="18"/>
                <w:szCs w:val="18"/>
                <w:lang w:eastAsia="lt-LT"/>
              </w:rPr>
            </w:pPr>
            <w:r>
              <w:rPr>
                <w:rFonts w:ascii="Times New Roman" w:hAnsi="Times New Roman" w:cs="Times New Roman"/>
                <w:sz w:val="18"/>
                <w:szCs w:val="18"/>
                <w:lang w:eastAsia="lt-LT"/>
              </w:rPr>
              <w:t xml:space="preserve">paslaugų prieinamumą tikslinėms </w:t>
            </w:r>
            <w:r w:rsidR="00107147" w:rsidRPr="005243DE">
              <w:rPr>
                <w:rFonts w:ascii="Times New Roman" w:hAnsi="Times New Roman" w:cs="Times New Roman"/>
                <w:sz w:val="18"/>
                <w:szCs w:val="18"/>
                <w:lang w:eastAsia="lt-LT"/>
              </w:rPr>
              <w:t>gyventojų grupėms</w:t>
            </w:r>
          </w:p>
        </w:tc>
        <w:tc>
          <w:tcPr>
            <w:tcW w:w="992" w:type="dxa"/>
            <w:shd w:val="clear" w:color="auto" w:fill="auto"/>
            <w:vAlign w:val="center"/>
          </w:tcPr>
          <w:p w:rsidR="00107147" w:rsidRPr="005243DE"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5243DE">
              <w:rPr>
                <w:rFonts w:ascii="Times New Roman" w:eastAsia="Calibri" w:hAnsi="Times New Roman" w:cs="Times New Roman"/>
                <w:bCs/>
                <w:iCs/>
                <w:sz w:val="18"/>
                <w:szCs w:val="18"/>
                <w:lang w:eastAsia="lt-LT"/>
              </w:rPr>
              <w:lastRenderedPageBreak/>
              <w:t>Skaičius</w:t>
            </w:r>
          </w:p>
        </w:tc>
        <w:tc>
          <w:tcPr>
            <w:tcW w:w="993" w:type="dxa"/>
            <w:shd w:val="clear" w:color="auto" w:fill="auto"/>
            <w:vAlign w:val="center"/>
          </w:tcPr>
          <w:p w:rsidR="00107147" w:rsidRPr="005243DE"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5243DE">
              <w:rPr>
                <w:rFonts w:ascii="Times New Roman" w:eastAsia="Calibri" w:hAnsi="Times New Roman" w:cs="Times New Roman"/>
                <w:bCs/>
                <w:iCs/>
                <w:sz w:val="18"/>
                <w:szCs w:val="18"/>
                <w:lang w:eastAsia="lt-LT"/>
              </w:rPr>
              <w:t>ESF</w:t>
            </w:r>
          </w:p>
        </w:tc>
        <w:tc>
          <w:tcPr>
            <w:tcW w:w="1134" w:type="dxa"/>
            <w:shd w:val="clear" w:color="auto" w:fill="auto"/>
            <w:vAlign w:val="center"/>
          </w:tcPr>
          <w:p w:rsidR="00107147" w:rsidRPr="005243DE"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5243DE">
              <w:rPr>
                <w:rFonts w:ascii="Times New Roman" w:eastAsia="Calibri" w:hAnsi="Times New Roman" w:cs="Times New Roman"/>
                <w:bCs/>
                <w:iCs/>
                <w:sz w:val="18"/>
                <w:szCs w:val="18"/>
                <w:lang w:eastAsia="lt-LT"/>
              </w:rPr>
              <w:t>Mažiau išsivystę</w:t>
            </w:r>
            <w:r w:rsidR="00CF34B4">
              <w:rPr>
                <w:rFonts w:ascii="Times New Roman" w:eastAsia="Calibri" w:hAnsi="Times New Roman" w:cs="Times New Roman"/>
                <w:bCs/>
                <w:iCs/>
                <w:sz w:val="18"/>
                <w:szCs w:val="18"/>
                <w:lang w:eastAsia="lt-LT"/>
              </w:rPr>
              <w:t>s</w:t>
            </w:r>
          </w:p>
        </w:tc>
        <w:tc>
          <w:tcPr>
            <w:tcW w:w="1275" w:type="dxa"/>
            <w:shd w:val="clear" w:color="auto" w:fill="auto"/>
            <w:vAlign w:val="center"/>
          </w:tcPr>
          <w:p w:rsidR="005243DE" w:rsidRPr="005243DE" w:rsidRDefault="00FA0E23" w:rsidP="00EB151B">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23</w:t>
            </w:r>
          </w:p>
          <w:p w:rsidR="00107147" w:rsidRPr="005243DE" w:rsidRDefault="00107147" w:rsidP="00EB151B">
            <w:pPr>
              <w:widowControl w:val="0"/>
              <w:tabs>
                <w:tab w:val="left" w:pos="622"/>
              </w:tabs>
              <w:jc w:val="center"/>
              <w:rPr>
                <w:rFonts w:ascii="Times New Roman" w:eastAsia="Calibri" w:hAnsi="Times New Roman" w:cs="Times New Roman"/>
                <w:b/>
                <w:bCs/>
                <w:iCs/>
                <w:strike/>
                <w:sz w:val="18"/>
                <w:szCs w:val="18"/>
                <w:lang w:eastAsia="lt-LT"/>
              </w:rPr>
            </w:pPr>
            <w:r w:rsidRPr="005243DE">
              <w:rPr>
                <w:rFonts w:ascii="Times New Roman" w:eastAsia="Calibri" w:hAnsi="Times New Roman" w:cs="Times New Roman"/>
                <w:bCs/>
                <w:iCs/>
                <w:strike/>
                <w:sz w:val="18"/>
                <w:szCs w:val="18"/>
                <w:lang w:eastAsia="lt-LT"/>
              </w:rPr>
              <w:t>30</w:t>
            </w:r>
          </w:p>
        </w:tc>
        <w:tc>
          <w:tcPr>
            <w:tcW w:w="1134" w:type="dxa"/>
            <w:shd w:val="clear" w:color="auto" w:fill="auto"/>
            <w:vAlign w:val="center"/>
          </w:tcPr>
          <w:p w:rsidR="00107147" w:rsidRPr="005243DE" w:rsidRDefault="00107147" w:rsidP="00EB151B">
            <w:pPr>
              <w:widowControl w:val="0"/>
              <w:tabs>
                <w:tab w:val="left" w:pos="622"/>
              </w:tabs>
              <w:jc w:val="center"/>
              <w:rPr>
                <w:rFonts w:ascii="Times New Roman" w:eastAsia="Calibri" w:hAnsi="Times New Roman" w:cs="Times New Roman"/>
                <w:b/>
                <w:bCs/>
                <w:iCs/>
                <w:sz w:val="18"/>
                <w:szCs w:val="18"/>
                <w:lang w:eastAsia="lt-LT"/>
              </w:rPr>
            </w:pPr>
            <w:r w:rsidRPr="005243DE">
              <w:rPr>
                <w:rFonts w:ascii="Times New Roman" w:hAnsi="Times New Roman" w:cs="Times New Roman"/>
                <w:sz w:val="18"/>
                <w:szCs w:val="18"/>
              </w:rPr>
              <w:t>Duomenys iš projektų</w:t>
            </w:r>
          </w:p>
        </w:tc>
        <w:tc>
          <w:tcPr>
            <w:tcW w:w="1241" w:type="dxa"/>
            <w:shd w:val="clear" w:color="auto" w:fill="auto"/>
            <w:vAlign w:val="center"/>
          </w:tcPr>
          <w:p w:rsidR="00107147" w:rsidRPr="005243DE" w:rsidRDefault="00107147" w:rsidP="00EB151B">
            <w:pPr>
              <w:widowControl w:val="0"/>
              <w:tabs>
                <w:tab w:val="left" w:pos="622"/>
              </w:tabs>
              <w:jc w:val="center"/>
              <w:rPr>
                <w:rFonts w:ascii="Times New Roman" w:eastAsia="Calibri" w:hAnsi="Times New Roman" w:cs="Times New Roman"/>
                <w:b/>
                <w:bCs/>
                <w:iCs/>
                <w:sz w:val="18"/>
                <w:szCs w:val="18"/>
                <w:lang w:eastAsia="lt-LT"/>
              </w:rPr>
            </w:pPr>
            <w:r w:rsidRPr="005243DE">
              <w:rPr>
                <w:rFonts w:ascii="Times New Roman" w:hAnsi="Times New Roman" w:cs="Times New Roman"/>
                <w:sz w:val="18"/>
                <w:szCs w:val="18"/>
              </w:rPr>
              <w:t>Kartą per metus</w:t>
            </w:r>
          </w:p>
        </w:tc>
      </w:tr>
      <w:tr w:rsidR="00107147" w:rsidRPr="00A4540B" w:rsidTr="00107147">
        <w:tblPrEx>
          <w:shd w:val="clear" w:color="auto" w:fill="auto"/>
        </w:tblPrEx>
        <w:tc>
          <w:tcPr>
            <w:tcW w:w="567"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lastRenderedPageBreak/>
              <w:t>6</w:t>
            </w:r>
            <w:r w:rsidR="00EB151B">
              <w:rPr>
                <w:rFonts w:ascii="Times New Roman" w:eastAsia="Calibri" w:hAnsi="Times New Roman" w:cs="Times New Roman"/>
                <w:b/>
                <w:bCs/>
                <w:iCs/>
                <w:sz w:val="18"/>
                <w:szCs w:val="18"/>
                <w:lang w:eastAsia="lt-LT"/>
              </w:rPr>
              <w:t>.</w:t>
            </w:r>
          </w:p>
        </w:tc>
        <w:tc>
          <w:tcPr>
            <w:tcW w:w="2410" w:type="dxa"/>
            <w:shd w:val="clear" w:color="auto" w:fill="auto"/>
            <w:vAlign w:val="center"/>
          </w:tcPr>
          <w:p w:rsidR="00107147" w:rsidRPr="009819F0" w:rsidRDefault="00107147" w:rsidP="00107147">
            <w:pPr>
              <w:widowControl w:val="0"/>
              <w:tabs>
                <w:tab w:val="left" w:pos="622"/>
              </w:tabs>
              <w:rPr>
                <w:rFonts w:ascii="Times New Roman" w:hAnsi="Times New Roman"/>
                <w:b/>
                <w:sz w:val="18"/>
                <w:szCs w:val="18"/>
              </w:rPr>
            </w:pPr>
            <w:r w:rsidRPr="009819F0">
              <w:rPr>
                <w:rFonts w:ascii="Times New Roman" w:hAnsi="Times New Roman"/>
                <w:b/>
                <w:sz w:val="18"/>
                <w:szCs w:val="18"/>
              </w:rPr>
              <w:t>Įsigytų asmenin</w:t>
            </w:r>
            <w:r>
              <w:rPr>
                <w:rFonts w:ascii="Times New Roman" w:hAnsi="Times New Roman"/>
                <w:b/>
                <w:sz w:val="18"/>
                <w:szCs w:val="18"/>
              </w:rPr>
              <w:t>ės</w:t>
            </w:r>
            <w:r w:rsidRPr="009819F0">
              <w:rPr>
                <w:rFonts w:ascii="Times New Roman" w:hAnsi="Times New Roman"/>
                <w:b/>
                <w:sz w:val="18"/>
                <w:szCs w:val="18"/>
              </w:rPr>
              <w:t xml:space="preserve"> apsaugos priemonių</w:t>
            </w:r>
            <w:r>
              <w:rPr>
                <w:rFonts w:ascii="Times New Roman" w:hAnsi="Times New Roman"/>
                <w:b/>
                <w:sz w:val="18"/>
                <w:szCs w:val="18"/>
              </w:rPr>
              <w:t>,</w:t>
            </w:r>
            <w:r w:rsidRPr="009819F0">
              <w:rPr>
                <w:rFonts w:ascii="Times New Roman" w:hAnsi="Times New Roman"/>
                <w:b/>
                <w:sz w:val="18"/>
                <w:szCs w:val="18"/>
              </w:rPr>
              <w:t xml:space="preserve"> vertė</w:t>
            </w:r>
          </w:p>
        </w:tc>
        <w:tc>
          <w:tcPr>
            <w:tcW w:w="992"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Eurai</w:t>
            </w:r>
          </w:p>
        </w:tc>
        <w:tc>
          <w:tcPr>
            <w:tcW w:w="993"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ESF</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Mažiau išsivystęs</w:t>
            </w:r>
          </w:p>
        </w:tc>
        <w:tc>
          <w:tcPr>
            <w:tcW w:w="1275" w:type="dxa"/>
            <w:shd w:val="clear" w:color="auto" w:fill="auto"/>
            <w:vAlign w:val="center"/>
          </w:tcPr>
          <w:p w:rsidR="00107147" w:rsidRPr="00874AA3" w:rsidRDefault="00107147" w:rsidP="00107147">
            <w:pPr>
              <w:widowControl w:val="0"/>
              <w:tabs>
                <w:tab w:val="left" w:pos="622"/>
              </w:tabs>
              <w:jc w:val="center"/>
              <w:rPr>
                <w:rFonts w:ascii="Times New Roman" w:hAnsi="Times New Roman" w:cs="Times New Roman"/>
                <w:b/>
                <w:bCs/>
                <w:sz w:val="18"/>
                <w:szCs w:val="18"/>
                <w:lang w:val="en-US" w:eastAsia="lt-LT"/>
              </w:rPr>
            </w:pPr>
            <w:r w:rsidRPr="00874AA3">
              <w:rPr>
                <w:rFonts w:ascii="Times New Roman" w:hAnsi="Times New Roman" w:cs="Times New Roman"/>
                <w:b/>
                <w:bCs/>
                <w:sz w:val="18"/>
                <w:szCs w:val="18"/>
                <w:lang w:val="en-US" w:eastAsia="lt-LT"/>
              </w:rPr>
              <w:t>15</w:t>
            </w:r>
            <w:r>
              <w:rPr>
                <w:rFonts w:ascii="Times New Roman" w:hAnsi="Times New Roman" w:cs="Times New Roman"/>
                <w:b/>
                <w:bCs/>
                <w:sz w:val="18"/>
                <w:szCs w:val="18"/>
                <w:lang w:val="en-US" w:eastAsia="lt-LT"/>
              </w:rPr>
              <w:t>.</w:t>
            </w:r>
            <w:r w:rsidRPr="00874AA3">
              <w:rPr>
                <w:rFonts w:ascii="Times New Roman" w:hAnsi="Times New Roman" w:cs="Times New Roman"/>
                <w:b/>
                <w:bCs/>
                <w:sz w:val="18"/>
                <w:szCs w:val="18"/>
                <w:lang w:val="en-US" w:eastAsia="lt-LT"/>
              </w:rPr>
              <w:t>502</w:t>
            </w:r>
            <w:r>
              <w:rPr>
                <w:rFonts w:ascii="Times New Roman" w:hAnsi="Times New Roman" w:cs="Times New Roman"/>
                <w:b/>
                <w:bCs/>
                <w:sz w:val="18"/>
                <w:szCs w:val="18"/>
                <w:lang w:val="en-US" w:eastAsia="lt-LT"/>
              </w:rPr>
              <w:t>.</w:t>
            </w:r>
            <w:r w:rsidRPr="00AE5A44">
              <w:rPr>
                <w:rFonts w:ascii="Times New Roman" w:hAnsi="Times New Roman" w:cs="Times New Roman"/>
                <w:b/>
                <w:bCs/>
                <w:sz w:val="18"/>
                <w:szCs w:val="18"/>
                <w:lang w:val="en-US" w:eastAsia="lt-LT"/>
              </w:rPr>
              <w:t>180</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Kartą per metus</w:t>
            </w:r>
          </w:p>
        </w:tc>
      </w:tr>
      <w:tr w:rsidR="00107147" w:rsidRPr="00A4540B" w:rsidTr="00107147">
        <w:tblPrEx>
          <w:shd w:val="clear" w:color="auto" w:fill="auto"/>
        </w:tblPrEx>
        <w:tc>
          <w:tcPr>
            <w:tcW w:w="567"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val="en-US" w:eastAsia="lt-LT"/>
              </w:rPr>
              <w:t>7</w:t>
            </w:r>
            <w:r w:rsidR="00EB151B">
              <w:rPr>
                <w:rFonts w:ascii="Times New Roman" w:eastAsia="Calibri" w:hAnsi="Times New Roman" w:cs="Times New Roman"/>
                <w:b/>
                <w:bCs/>
                <w:iCs/>
                <w:sz w:val="18"/>
                <w:szCs w:val="18"/>
                <w:lang w:eastAsia="lt-LT"/>
              </w:rPr>
              <w:t>.</w:t>
            </w:r>
          </w:p>
        </w:tc>
        <w:tc>
          <w:tcPr>
            <w:tcW w:w="2410" w:type="dxa"/>
            <w:shd w:val="clear" w:color="auto" w:fill="auto"/>
            <w:vAlign w:val="center"/>
          </w:tcPr>
          <w:p w:rsidR="00107147" w:rsidRPr="009819F0" w:rsidRDefault="00107147" w:rsidP="00107147">
            <w:pPr>
              <w:widowControl w:val="0"/>
              <w:tabs>
                <w:tab w:val="left" w:pos="622"/>
              </w:tabs>
              <w:rPr>
                <w:rFonts w:ascii="Times New Roman" w:hAnsi="Times New Roman" w:cs="Times New Roman"/>
                <w:b/>
                <w:strike/>
                <w:sz w:val="18"/>
                <w:szCs w:val="18"/>
              </w:rPr>
            </w:pPr>
            <w:r w:rsidRPr="00B56A9D">
              <w:rPr>
                <w:rFonts w:ascii="Times New Roman" w:hAnsi="Times New Roman" w:cs="Times New Roman"/>
                <w:b/>
                <w:color w:val="000000"/>
                <w:sz w:val="18"/>
                <w:szCs w:val="18"/>
                <w:lang w:eastAsia="lt-LT"/>
              </w:rPr>
              <w:t xml:space="preserve">ESF veiksmų, skirtų </w:t>
            </w:r>
            <w:r w:rsidR="00211525" w:rsidRPr="00B56A9D">
              <w:rPr>
                <w:rFonts w:ascii="Times New Roman" w:hAnsi="Times New Roman" w:cs="Times New Roman"/>
                <w:b/>
                <w:color w:val="000000"/>
                <w:sz w:val="18"/>
                <w:szCs w:val="18"/>
                <w:lang w:eastAsia="lt-LT"/>
              </w:rPr>
              <w:t>sumažinti</w:t>
            </w:r>
            <w:r w:rsidRPr="00B56A9D">
              <w:rPr>
                <w:rFonts w:ascii="Times New Roman" w:hAnsi="Times New Roman" w:cs="Times New Roman"/>
                <w:b/>
                <w:color w:val="000000"/>
                <w:sz w:val="18"/>
                <w:szCs w:val="18"/>
                <w:lang w:eastAsia="lt-LT"/>
              </w:rPr>
              <w:t xml:space="preserve"> COVID-19 pandemijos padarinius, vertė</w:t>
            </w:r>
          </w:p>
        </w:tc>
        <w:tc>
          <w:tcPr>
            <w:tcW w:w="992"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Eur</w:t>
            </w:r>
            <w:r>
              <w:rPr>
                <w:rFonts w:ascii="Times New Roman" w:eastAsia="Calibri" w:hAnsi="Times New Roman" w:cs="Times New Roman"/>
                <w:b/>
                <w:bCs/>
                <w:iCs/>
                <w:sz w:val="18"/>
                <w:szCs w:val="18"/>
                <w:lang w:eastAsia="lt-LT"/>
              </w:rPr>
              <w:t>ai</w:t>
            </w:r>
          </w:p>
        </w:tc>
        <w:tc>
          <w:tcPr>
            <w:tcW w:w="993"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ESF</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Mažiau išsivystęs</w:t>
            </w:r>
          </w:p>
        </w:tc>
        <w:tc>
          <w:tcPr>
            <w:tcW w:w="1275" w:type="dxa"/>
            <w:shd w:val="clear" w:color="auto" w:fill="auto"/>
            <w:vAlign w:val="center"/>
          </w:tcPr>
          <w:p w:rsidR="00107147" w:rsidRPr="00440175" w:rsidRDefault="00107147" w:rsidP="00107147">
            <w:pPr>
              <w:widowControl w:val="0"/>
              <w:tabs>
                <w:tab w:val="left" w:pos="622"/>
              </w:tabs>
              <w:jc w:val="center"/>
              <w:rPr>
                <w:rFonts w:ascii="Times New Roman" w:eastAsia="AngsanaUPC" w:hAnsi="Times New Roman" w:cs="Times New Roman"/>
                <w:b/>
                <w:bCs/>
                <w:iCs/>
                <w:strike/>
                <w:sz w:val="18"/>
                <w:szCs w:val="18"/>
                <w:lang w:val="en-US" w:eastAsia="lt-LT"/>
              </w:rPr>
            </w:pPr>
            <w:r w:rsidRPr="00B56A9D">
              <w:rPr>
                <w:rFonts w:ascii="Times New Roman" w:hAnsi="Times New Roman" w:cs="Times New Roman"/>
                <w:b/>
                <w:bCs/>
                <w:sz w:val="18"/>
                <w:szCs w:val="18"/>
              </w:rPr>
              <w:t>19.122.055</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Kartą per metus</w:t>
            </w:r>
          </w:p>
        </w:tc>
      </w:tr>
      <w:tr w:rsidR="00107147" w:rsidRPr="00A4540B" w:rsidTr="00107147">
        <w:tblPrEx>
          <w:shd w:val="clear" w:color="auto" w:fill="auto"/>
        </w:tblPrEx>
        <w:tc>
          <w:tcPr>
            <w:tcW w:w="567"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val="en-US" w:eastAsia="lt-LT"/>
              </w:rPr>
            </w:pPr>
            <w:r>
              <w:rPr>
                <w:rFonts w:ascii="Times New Roman" w:eastAsia="Calibri" w:hAnsi="Times New Roman" w:cs="Times New Roman"/>
                <w:b/>
                <w:bCs/>
                <w:iCs/>
                <w:sz w:val="18"/>
                <w:szCs w:val="18"/>
                <w:lang w:val="en-US" w:eastAsia="lt-LT"/>
              </w:rPr>
              <w:t>8.</w:t>
            </w:r>
          </w:p>
        </w:tc>
        <w:tc>
          <w:tcPr>
            <w:tcW w:w="2410" w:type="dxa"/>
            <w:shd w:val="clear" w:color="auto" w:fill="auto"/>
            <w:vAlign w:val="center"/>
          </w:tcPr>
          <w:p w:rsidR="00107147" w:rsidRPr="0034494E" w:rsidRDefault="00107147" w:rsidP="00107147">
            <w:pPr>
              <w:widowControl w:val="0"/>
              <w:tabs>
                <w:tab w:val="left" w:pos="622"/>
              </w:tabs>
              <w:rPr>
                <w:rFonts w:ascii="Times New Roman" w:hAnsi="Times New Roman" w:cs="Times New Roman"/>
                <w:b/>
                <w:color w:val="000000"/>
                <w:sz w:val="18"/>
                <w:szCs w:val="18"/>
                <w:lang w:eastAsia="lt-LT"/>
              </w:rPr>
            </w:pPr>
            <w:r>
              <w:rPr>
                <w:rFonts w:ascii="Times New Roman" w:hAnsi="Times New Roman" w:cs="Times New Roman"/>
                <w:b/>
                <w:color w:val="000000"/>
                <w:sz w:val="18"/>
                <w:szCs w:val="18"/>
                <w:lang w:eastAsia="lt-LT"/>
              </w:rPr>
              <w:t>Asmeninės apsaugos priemonės</w:t>
            </w:r>
          </w:p>
        </w:tc>
        <w:tc>
          <w:tcPr>
            <w:tcW w:w="992"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Skaičius</w:t>
            </w:r>
          </w:p>
        </w:tc>
        <w:tc>
          <w:tcPr>
            <w:tcW w:w="993"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ESF</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Mažiau išsivystęs</w:t>
            </w:r>
          </w:p>
        </w:tc>
        <w:tc>
          <w:tcPr>
            <w:tcW w:w="1275" w:type="dxa"/>
            <w:shd w:val="clear" w:color="auto" w:fill="auto"/>
            <w:vAlign w:val="center"/>
          </w:tcPr>
          <w:p w:rsidR="00107147" w:rsidRPr="00BD4470" w:rsidRDefault="00107147" w:rsidP="00107147">
            <w:pPr>
              <w:widowControl w:val="0"/>
              <w:tabs>
                <w:tab w:val="left" w:pos="622"/>
              </w:tabs>
              <w:jc w:val="center"/>
              <w:rPr>
                <w:rFonts w:ascii="Times New Roman" w:hAnsi="Times New Roman" w:cs="Times New Roman"/>
                <w:b/>
                <w:color w:val="000000"/>
                <w:sz w:val="18"/>
                <w:szCs w:val="18"/>
                <w:lang w:eastAsia="lt-LT"/>
              </w:rPr>
            </w:pPr>
            <w:r w:rsidRPr="00AE5A44">
              <w:rPr>
                <w:rFonts w:ascii="Times New Roman" w:hAnsi="Times New Roman" w:cs="Times New Roman"/>
                <w:b/>
                <w:bCs/>
                <w:sz w:val="18"/>
                <w:szCs w:val="18"/>
                <w:lang w:val="en-US" w:eastAsia="lt-LT"/>
              </w:rPr>
              <w:t>29</w:t>
            </w:r>
            <w:r>
              <w:rPr>
                <w:rFonts w:ascii="Times New Roman" w:hAnsi="Times New Roman" w:cs="Times New Roman"/>
                <w:b/>
                <w:bCs/>
                <w:sz w:val="18"/>
                <w:szCs w:val="18"/>
                <w:lang w:val="en-US" w:eastAsia="lt-LT"/>
              </w:rPr>
              <w:t>.</w:t>
            </w:r>
            <w:r w:rsidRPr="00AE5A44">
              <w:rPr>
                <w:rFonts w:ascii="Times New Roman" w:hAnsi="Times New Roman" w:cs="Times New Roman"/>
                <w:b/>
                <w:bCs/>
                <w:sz w:val="18"/>
                <w:szCs w:val="18"/>
                <w:lang w:val="en-US" w:eastAsia="lt-LT"/>
              </w:rPr>
              <w:t>777</w:t>
            </w:r>
            <w:r>
              <w:rPr>
                <w:rFonts w:ascii="Times New Roman" w:hAnsi="Times New Roman" w:cs="Times New Roman"/>
                <w:b/>
                <w:bCs/>
                <w:sz w:val="18"/>
                <w:szCs w:val="18"/>
                <w:lang w:val="en-US" w:eastAsia="lt-LT"/>
              </w:rPr>
              <w:t>.</w:t>
            </w:r>
            <w:r w:rsidRPr="00AE5A44">
              <w:rPr>
                <w:rFonts w:ascii="Times New Roman" w:hAnsi="Times New Roman" w:cs="Times New Roman"/>
                <w:b/>
                <w:bCs/>
                <w:sz w:val="18"/>
                <w:szCs w:val="18"/>
                <w:lang w:val="en-US" w:eastAsia="lt-LT"/>
              </w:rPr>
              <w:t>000</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Kartą per metus</w:t>
            </w:r>
          </w:p>
        </w:tc>
      </w:tr>
      <w:tr w:rsidR="00107147" w:rsidRPr="00A4540B" w:rsidTr="00107147">
        <w:tblPrEx>
          <w:shd w:val="clear" w:color="auto" w:fill="auto"/>
        </w:tblPrEx>
        <w:tc>
          <w:tcPr>
            <w:tcW w:w="567"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val="en-US" w:eastAsia="lt-LT"/>
              </w:rPr>
            </w:pPr>
            <w:r>
              <w:rPr>
                <w:rFonts w:ascii="Times New Roman" w:eastAsia="Calibri" w:hAnsi="Times New Roman" w:cs="Times New Roman"/>
                <w:b/>
                <w:bCs/>
                <w:iCs/>
                <w:sz w:val="18"/>
                <w:szCs w:val="18"/>
                <w:lang w:val="en-US" w:eastAsia="lt-LT"/>
              </w:rPr>
              <w:t>9.</w:t>
            </w:r>
          </w:p>
        </w:tc>
        <w:tc>
          <w:tcPr>
            <w:tcW w:w="2410" w:type="dxa"/>
            <w:shd w:val="clear" w:color="auto" w:fill="auto"/>
            <w:vAlign w:val="center"/>
          </w:tcPr>
          <w:p w:rsidR="00107147" w:rsidRPr="00536832" w:rsidRDefault="00107147" w:rsidP="00107147">
            <w:pPr>
              <w:widowControl w:val="0"/>
              <w:tabs>
                <w:tab w:val="left" w:pos="622"/>
              </w:tabs>
              <w:rPr>
                <w:rFonts w:ascii="Times New Roman" w:hAnsi="Times New Roman" w:cs="Times New Roman"/>
                <w:b/>
                <w:color w:val="000000"/>
                <w:sz w:val="18"/>
                <w:szCs w:val="18"/>
                <w:lang w:val="en-GB" w:eastAsia="lt-LT"/>
              </w:rPr>
            </w:pPr>
            <w:r>
              <w:rPr>
                <w:rFonts w:ascii="Times New Roman" w:hAnsi="Times New Roman" w:cs="Times New Roman"/>
                <w:b/>
                <w:color w:val="000000"/>
                <w:sz w:val="18"/>
                <w:szCs w:val="18"/>
                <w:lang w:eastAsia="lt-LT"/>
              </w:rPr>
              <w:t>Sveikatos priežiūros personalas, kuriam skirta ESF parama</w:t>
            </w:r>
          </w:p>
        </w:tc>
        <w:tc>
          <w:tcPr>
            <w:tcW w:w="992"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Skaičius</w:t>
            </w:r>
          </w:p>
        </w:tc>
        <w:tc>
          <w:tcPr>
            <w:tcW w:w="993" w:type="dxa"/>
            <w:shd w:val="clear" w:color="auto" w:fill="auto"/>
            <w:vAlign w:val="center"/>
          </w:tcPr>
          <w:p w:rsidR="00107147" w:rsidRDefault="00107147" w:rsidP="00107147">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ESF</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Mažiau išsivystęs</w:t>
            </w:r>
          </w:p>
        </w:tc>
        <w:tc>
          <w:tcPr>
            <w:tcW w:w="1275" w:type="dxa"/>
            <w:shd w:val="clear" w:color="auto" w:fill="auto"/>
            <w:vAlign w:val="center"/>
          </w:tcPr>
          <w:p w:rsidR="00107147" w:rsidRPr="002139E8" w:rsidRDefault="00107147" w:rsidP="00107147">
            <w:pPr>
              <w:widowControl w:val="0"/>
              <w:tabs>
                <w:tab w:val="left" w:pos="622"/>
              </w:tabs>
              <w:jc w:val="center"/>
              <w:rPr>
                <w:rFonts w:ascii="Times New Roman" w:hAnsi="Times New Roman" w:cs="Times New Roman"/>
                <w:b/>
                <w:color w:val="000000"/>
                <w:sz w:val="18"/>
                <w:szCs w:val="18"/>
                <w:lang w:eastAsia="lt-LT"/>
              </w:rPr>
            </w:pPr>
            <w:r>
              <w:rPr>
                <w:rFonts w:ascii="Times New Roman" w:hAnsi="Times New Roman" w:cs="Times New Roman"/>
                <w:b/>
                <w:sz w:val="18"/>
                <w:szCs w:val="18"/>
                <w:lang w:eastAsia="lt-LT"/>
              </w:rPr>
              <w:t>1.600</w:t>
            </w:r>
          </w:p>
        </w:tc>
        <w:tc>
          <w:tcPr>
            <w:tcW w:w="1134"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107147" w:rsidRPr="009819F0" w:rsidRDefault="00107147" w:rsidP="00107147">
            <w:pPr>
              <w:widowControl w:val="0"/>
              <w:tabs>
                <w:tab w:val="left" w:pos="622"/>
              </w:tabs>
              <w:jc w:val="center"/>
              <w:rPr>
                <w:rFonts w:ascii="Times New Roman" w:eastAsia="Calibri" w:hAnsi="Times New Roman" w:cs="Times New Roman"/>
                <w:b/>
                <w:bCs/>
                <w:iCs/>
                <w:sz w:val="18"/>
                <w:szCs w:val="18"/>
                <w:lang w:eastAsia="lt-LT"/>
              </w:rPr>
            </w:pPr>
            <w:r w:rsidRPr="009819F0">
              <w:rPr>
                <w:rFonts w:ascii="Times New Roman" w:eastAsia="Calibri" w:hAnsi="Times New Roman" w:cs="Times New Roman"/>
                <w:b/>
                <w:bCs/>
                <w:iCs/>
                <w:sz w:val="18"/>
                <w:szCs w:val="18"/>
                <w:lang w:eastAsia="lt-LT"/>
              </w:rPr>
              <w:t>Kartą per metus</w:t>
            </w:r>
          </w:p>
        </w:tc>
      </w:tr>
    </w:tbl>
    <w:p w:rsidR="00C92FBA" w:rsidRDefault="00107147" w:rsidP="00F22733">
      <w:pPr>
        <w:widowControl w:val="0"/>
        <w:spacing w:before="100" w:beforeAutospacing="1" w:after="100" w:afterAutospacing="1"/>
        <w:jc w:val="both"/>
        <w:textAlignment w:val="baseline"/>
        <w:rPr>
          <w:rFonts w:ascii="Times New Roman" w:hAnsi="Times New Roman" w:cs="Times New Roman"/>
          <w:i/>
          <w:color w:val="000000"/>
          <w:sz w:val="24"/>
          <w:szCs w:val="24"/>
          <w:u w:val="single"/>
        </w:rPr>
      </w:pPr>
      <w:r>
        <w:rPr>
          <w:rFonts w:ascii="Times New Roman" w:hAnsi="Times New Roman" w:cs="Times New Roman"/>
          <w:i/>
          <w:sz w:val="24"/>
          <w:szCs w:val="24"/>
          <w:u w:val="single"/>
        </w:rPr>
        <w:t>11</w:t>
      </w:r>
      <w:r w:rsidR="00F22733">
        <w:rPr>
          <w:rFonts w:ascii="Times New Roman" w:hAnsi="Times New Roman" w:cs="Times New Roman"/>
          <w:i/>
          <w:sz w:val="24"/>
          <w:szCs w:val="24"/>
          <w:u w:val="single"/>
        </w:rPr>
        <w:t xml:space="preserve">. </w:t>
      </w:r>
      <w:r w:rsidR="0053656E">
        <w:rPr>
          <w:rFonts w:ascii="Times New Roman" w:hAnsi="Times New Roman" w:cs="Times New Roman"/>
          <w:i/>
          <w:sz w:val="24"/>
          <w:szCs w:val="24"/>
          <w:u w:val="single"/>
        </w:rPr>
        <w:t>Papildyti</w:t>
      </w:r>
      <w:r w:rsidR="003874E2" w:rsidRPr="00697AD2">
        <w:rPr>
          <w:rFonts w:ascii="Times New Roman" w:hAnsi="Times New Roman" w:cs="Times New Roman"/>
          <w:i/>
          <w:sz w:val="24"/>
          <w:szCs w:val="24"/>
          <w:u w:val="single"/>
        </w:rPr>
        <w:t xml:space="preserve"> Veiksmų programos </w:t>
      </w:r>
      <w:r w:rsidR="00946084" w:rsidRPr="00697AD2">
        <w:rPr>
          <w:rFonts w:ascii="Times New Roman" w:hAnsi="Times New Roman" w:cs="Times New Roman"/>
          <w:i/>
          <w:sz w:val="24"/>
          <w:szCs w:val="24"/>
          <w:u w:val="single"/>
        </w:rPr>
        <w:t>2</w:t>
      </w:r>
      <w:r w:rsidR="00FE02B7" w:rsidRPr="00697AD2">
        <w:rPr>
          <w:rFonts w:ascii="Times New Roman" w:hAnsi="Times New Roman" w:cs="Times New Roman"/>
          <w:i/>
          <w:sz w:val="24"/>
          <w:szCs w:val="24"/>
          <w:u w:val="single"/>
        </w:rPr>
        <w:t xml:space="preserve"> skirsnio „Prioritetų aprašymas“ </w:t>
      </w:r>
      <w:r w:rsidR="0053656E">
        <w:rPr>
          <w:rFonts w:ascii="Times New Roman" w:hAnsi="Times New Roman" w:cs="Times New Roman"/>
          <w:i/>
          <w:sz w:val="24"/>
          <w:szCs w:val="24"/>
          <w:u w:val="single"/>
        </w:rPr>
        <w:t>nauju 13 prioritetu</w:t>
      </w:r>
      <w:r w:rsidR="00FE02B7" w:rsidRPr="00D1015C">
        <w:rPr>
          <w:rFonts w:ascii="Times New Roman" w:hAnsi="Times New Roman" w:cs="Times New Roman"/>
          <w:i/>
          <w:sz w:val="24"/>
          <w:szCs w:val="24"/>
          <w:u w:val="single"/>
        </w:rPr>
        <w:t xml:space="preserve"> „</w:t>
      </w:r>
      <w:r w:rsidR="006C4F1E" w:rsidRPr="006C4F1E">
        <w:rPr>
          <w:rFonts w:ascii="Times New Roman" w:hAnsi="Times New Roman" w:cs="Times New Roman"/>
          <w:i/>
          <w:sz w:val="24"/>
          <w:szCs w:val="24"/>
          <w:u w:val="single"/>
        </w:rPr>
        <w:t xml:space="preserve">Veiksmų, skirtų COVID-19 pandemijos sukeltai krizei įveikti, skatinimas ir pasirengimas </w:t>
      </w:r>
      <w:r w:rsidR="00EE6C7D">
        <w:rPr>
          <w:rFonts w:ascii="Times New Roman" w:hAnsi="Times New Roman" w:cs="Times New Roman"/>
          <w:i/>
          <w:sz w:val="24"/>
          <w:szCs w:val="24"/>
          <w:u w:val="single"/>
        </w:rPr>
        <w:t>aplinką tausojančiam, skaitmenint</w:t>
      </w:r>
      <w:r w:rsidR="006C4F1E" w:rsidRPr="006C4F1E">
        <w:rPr>
          <w:rFonts w:ascii="Times New Roman" w:hAnsi="Times New Roman" w:cs="Times New Roman"/>
          <w:i/>
          <w:sz w:val="24"/>
          <w:szCs w:val="24"/>
          <w:u w:val="single"/>
        </w:rPr>
        <w:t xml:space="preserve">am ir </w:t>
      </w:r>
      <w:r w:rsidR="00EE6C7D">
        <w:rPr>
          <w:rFonts w:ascii="Times New Roman" w:hAnsi="Times New Roman" w:cs="Times New Roman"/>
          <w:i/>
          <w:sz w:val="24"/>
          <w:szCs w:val="24"/>
          <w:u w:val="single"/>
        </w:rPr>
        <w:t>tvariam</w:t>
      </w:r>
      <w:r w:rsidR="006C4F1E" w:rsidRPr="006C4F1E">
        <w:rPr>
          <w:rFonts w:ascii="Times New Roman" w:hAnsi="Times New Roman" w:cs="Times New Roman"/>
          <w:i/>
          <w:sz w:val="24"/>
          <w:szCs w:val="24"/>
          <w:u w:val="single"/>
        </w:rPr>
        <w:t xml:space="preserve"> ekonomikos atgaivinimui</w:t>
      </w:r>
      <w:r w:rsidR="0053656E">
        <w:rPr>
          <w:rFonts w:ascii="Times New Roman" w:hAnsi="Times New Roman" w:cs="Times New Roman"/>
          <w:i/>
          <w:sz w:val="24"/>
          <w:szCs w:val="24"/>
          <w:u w:val="single"/>
        </w:rPr>
        <w:t>“ ir</w:t>
      </w:r>
      <w:r w:rsidR="00CB5C8A" w:rsidRPr="00697AD2">
        <w:rPr>
          <w:rFonts w:ascii="Times New Roman" w:hAnsi="Times New Roman" w:cs="Times New Roman"/>
          <w:i/>
          <w:color w:val="000000"/>
          <w:sz w:val="24"/>
          <w:szCs w:val="24"/>
          <w:u w:val="single"/>
        </w:rPr>
        <w:t xml:space="preserve"> </w:t>
      </w:r>
      <w:r w:rsidR="00C92FBA" w:rsidRPr="00697AD2">
        <w:rPr>
          <w:rFonts w:ascii="Times New Roman" w:hAnsi="Times New Roman" w:cs="Times New Roman"/>
          <w:i/>
          <w:color w:val="000000"/>
          <w:sz w:val="24"/>
          <w:szCs w:val="24"/>
          <w:u w:val="single"/>
        </w:rPr>
        <w:t>išdėstyti j</w:t>
      </w:r>
      <w:r w:rsidR="0053656E">
        <w:rPr>
          <w:rFonts w:ascii="Times New Roman" w:hAnsi="Times New Roman" w:cs="Times New Roman"/>
          <w:i/>
          <w:color w:val="000000"/>
          <w:sz w:val="24"/>
          <w:szCs w:val="24"/>
          <w:u w:val="single"/>
        </w:rPr>
        <w:t>į</w:t>
      </w:r>
      <w:r w:rsidR="00C92FBA" w:rsidRPr="00697AD2">
        <w:rPr>
          <w:rFonts w:ascii="Times New Roman" w:hAnsi="Times New Roman" w:cs="Times New Roman"/>
          <w:i/>
          <w:color w:val="000000"/>
          <w:sz w:val="24"/>
          <w:szCs w:val="24"/>
          <w:u w:val="single"/>
        </w:rPr>
        <w:t xml:space="preserve"> taip: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D55ED2" w:rsidRPr="00D55ED2" w:rsidTr="00D55ED2">
        <w:trPr>
          <w:trHeight w:val="416"/>
        </w:trPr>
        <w:tc>
          <w:tcPr>
            <w:tcW w:w="9746" w:type="dxa"/>
            <w:shd w:val="clear" w:color="auto" w:fill="EEECE1"/>
            <w:vAlign w:val="center"/>
          </w:tcPr>
          <w:p w:rsidR="00D55ED2" w:rsidRPr="00D55ED2" w:rsidRDefault="00086B53" w:rsidP="00D55ED2">
            <w:pPr>
              <w:keepNext/>
              <w:jc w:val="both"/>
              <w:outlineLvl w:val="1"/>
              <w:rPr>
                <w:rFonts w:ascii="Times New Roman" w:eastAsia="AngsanaUPC" w:hAnsi="Times New Roman" w:cs="Times New Roman"/>
                <w:b/>
                <w:bCs/>
                <w:iCs/>
                <w:sz w:val="24"/>
                <w:szCs w:val="28"/>
                <w:lang w:eastAsia="lt-LT"/>
              </w:rPr>
            </w:pPr>
            <w:bookmarkStart w:id="2" w:name="_Toc397069603"/>
            <w:r>
              <w:rPr>
                <w:rFonts w:ascii="Times New Roman" w:eastAsia="AngsanaUPC" w:hAnsi="Times New Roman" w:cs="Times New Roman"/>
                <w:b/>
                <w:bCs/>
                <w:iCs/>
                <w:sz w:val="24"/>
                <w:szCs w:val="28"/>
                <w:lang w:eastAsia="lt-LT"/>
              </w:rPr>
              <w:t>13</w:t>
            </w:r>
            <w:r w:rsidR="00D55ED2" w:rsidRPr="00D55ED2">
              <w:rPr>
                <w:rFonts w:ascii="Times New Roman" w:eastAsia="AngsanaUPC" w:hAnsi="Times New Roman" w:cs="Times New Roman"/>
                <w:b/>
                <w:bCs/>
                <w:iCs/>
                <w:sz w:val="24"/>
                <w:szCs w:val="28"/>
                <w:lang w:eastAsia="lt-LT"/>
              </w:rPr>
              <w:t xml:space="preserve"> PRIORITETAS. </w:t>
            </w:r>
            <w:r w:rsidR="00E5740B" w:rsidRPr="00E5740B">
              <w:rPr>
                <w:rFonts w:ascii="Times New Roman" w:eastAsia="AngsanaUPC" w:hAnsi="Times New Roman" w:cs="Times New Roman"/>
                <w:b/>
                <w:bCs/>
                <w:iCs/>
                <w:sz w:val="24"/>
                <w:szCs w:val="28"/>
                <w:lang w:eastAsia="lt-LT"/>
              </w:rPr>
              <w:t xml:space="preserve">VEIKSMŲ, SKIRTŲ COVID-19 PANDEMIJOS SUKELTAI KRIZEI ĮVEIKTI, SKATINIMAS IR PASIRENGIMAS </w:t>
            </w:r>
            <w:r w:rsidR="002F705A">
              <w:rPr>
                <w:rFonts w:ascii="Times New Roman" w:eastAsia="AngsanaUPC" w:hAnsi="Times New Roman" w:cs="Times New Roman"/>
                <w:b/>
                <w:bCs/>
                <w:iCs/>
                <w:sz w:val="24"/>
                <w:szCs w:val="28"/>
                <w:lang w:eastAsia="lt-LT"/>
              </w:rPr>
              <w:t>APLINKĄ TAUSOJANČIAM</w:t>
            </w:r>
            <w:r w:rsidR="00E5740B" w:rsidRPr="00E5740B">
              <w:rPr>
                <w:rFonts w:ascii="Times New Roman" w:eastAsia="AngsanaUPC" w:hAnsi="Times New Roman" w:cs="Times New Roman"/>
                <w:b/>
                <w:bCs/>
                <w:iCs/>
                <w:sz w:val="24"/>
                <w:szCs w:val="28"/>
                <w:lang w:eastAsia="lt-LT"/>
              </w:rPr>
              <w:t>, SKAITMENIN</w:t>
            </w:r>
            <w:r w:rsidR="002F705A">
              <w:rPr>
                <w:rFonts w:ascii="Times New Roman" w:eastAsia="AngsanaUPC" w:hAnsi="Times New Roman" w:cs="Times New Roman"/>
                <w:b/>
                <w:bCs/>
                <w:iCs/>
                <w:sz w:val="24"/>
                <w:szCs w:val="28"/>
                <w:lang w:eastAsia="lt-LT"/>
              </w:rPr>
              <w:t>T</w:t>
            </w:r>
            <w:r w:rsidR="00E5740B" w:rsidRPr="00E5740B">
              <w:rPr>
                <w:rFonts w:ascii="Times New Roman" w:eastAsia="AngsanaUPC" w:hAnsi="Times New Roman" w:cs="Times New Roman"/>
                <w:b/>
                <w:bCs/>
                <w:iCs/>
                <w:sz w:val="24"/>
                <w:szCs w:val="28"/>
                <w:lang w:eastAsia="lt-LT"/>
              </w:rPr>
              <w:t xml:space="preserve">AM IR </w:t>
            </w:r>
            <w:r w:rsidR="002F705A">
              <w:rPr>
                <w:rFonts w:ascii="Times New Roman" w:eastAsia="AngsanaUPC" w:hAnsi="Times New Roman" w:cs="Times New Roman"/>
                <w:b/>
                <w:bCs/>
                <w:iCs/>
                <w:sz w:val="24"/>
                <w:szCs w:val="28"/>
                <w:lang w:eastAsia="lt-LT"/>
              </w:rPr>
              <w:t>TVARIAM</w:t>
            </w:r>
            <w:r w:rsidR="00E5740B" w:rsidRPr="00E5740B">
              <w:rPr>
                <w:rFonts w:ascii="Times New Roman" w:eastAsia="AngsanaUPC" w:hAnsi="Times New Roman" w:cs="Times New Roman"/>
                <w:b/>
                <w:bCs/>
                <w:iCs/>
                <w:sz w:val="24"/>
                <w:szCs w:val="28"/>
                <w:lang w:eastAsia="lt-LT"/>
              </w:rPr>
              <w:t xml:space="preserve"> EKONOMIKOS ATGAIVINIMUI</w:t>
            </w:r>
            <w:bookmarkEnd w:id="2"/>
          </w:p>
        </w:tc>
      </w:tr>
      <w:tr w:rsidR="00D55ED2" w:rsidRPr="00D55ED2" w:rsidTr="00D55ED2">
        <w:trPr>
          <w:trHeight w:val="294"/>
        </w:trPr>
        <w:tc>
          <w:tcPr>
            <w:tcW w:w="9746" w:type="dxa"/>
            <w:shd w:val="clear" w:color="auto" w:fill="auto"/>
            <w:vAlign w:val="center"/>
          </w:tcPr>
          <w:p w:rsidR="00CE23D1" w:rsidRPr="00C32827" w:rsidRDefault="003F03C7" w:rsidP="00CE23D1">
            <w:pPr>
              <w:widowControl w:val="0"/>
              <w:tabs>
                <w:tab w:val="left" w:pos="622"/>
              </w:tabs>
              <w:ind w:firstLine="624"/>
              <w:jc w:val="both"/>
              <w:rPr>
                <w:rFonts w:ascii="Times New Roman" w:eastAsia="AngsanaUPC" w:hAnsi="Times New Roman" w:cs="Times New Roman"/>
                <w:b/>
                <w:bCs/>
                <w:sz w:val="24"/>
                <w:szCs w:val="24"/>
                <w:lang w:eastAsia="lt-LT"/>
              </w:rPr>
            </w:pPr>
            <w:r w:rsidRPr="00C32827">
              <w:rPr>
                <w:rFonts w:ascii="Times New Roman" w:eastAsia="AngsanaUPC" w:hAnsi="Times New Roman" w:cs="Times New Roman"/>
                <w:b/>
                <w:bCs/>
                <w:sz w:val="24"/>
                <w:szCs w:val="24"/>
                <w:lang w:eastAsia="lt-LT"/>
              </w:rPr>
              <w:t>Tiesioginis ir netiesioginis COVID-19 pandemijos poveikis pasireišk</w:t>
            </w:r>
            <w:r w:rsidR="002F4E90" w:rsidRPr="00C32827">
              <w:rPr>
                <w:rFonts w:ascii="Times New Roman" w:eastAsia="AngsanaUPC" w:hAnsi="Times New Roman" w:cs="Times New Roman"/>
                <w:b/>
                <w:bCs/>
                <w:sz w:val="24"/>
                <w:szCs w:val="24"/>
                <w:lang w:eastAsia="lt-LT"/>
              </w:rPr>
              <w:t>ė visuose</w:t>
            </w:r>
            <w:r w:rsidR="00CE23D1" w:rsidRPr="00C32827">
              <w:rPr>
                <w:rFonts w:ascii="Times New Roman" w:eastAsia="AngsanaUPC" w:hAnsi="Times New Roman" w:cs="Times New Roman"/>
                <w:b/>
                <w:bCs/>
                <w:sz w:val="24"/>
                <w:szCs w:val="24"/>
                <w:lang w:eastAsia="lt-LT"/>
              </w:rPr>
              <w:t xml:space="preserve"> </w:t>
            </w:r>
            <w:r w:rsidRPr="00C32827">
              <w:rPr>
                <w:rFonts w:ascii="Times New Roman" w:eastAsia="AngsanaUPC" w:hAnsi="Times New Roman" w:cs="Times New Roman"/>
                <w:b/>
                <w:bCs/>
                <w:sz w:val="24"/>
                <w:szCs w:val="24"/>
                <w:lang w:eastAsia="lt-LT"/>
              </w:rPr>
              <w:t>ekonomikos sektoriuose. Ši precedento</w:t>
            </w:r>
            <w:r w:rsidR="002F4E90" w:rsidRPr="00C32827">
              <w:rPr>
                <w:rFonts w:ascii="Times New Roman" w:eastAsia="AngsanaUPC" w:hAnsi="Times New Roman" w:cs="Times New Roman"/>
                <w:b/>
                <w:bCs/>
                <w:sz w:val="24"/>
                <w:szCs w:val="24"/>
                <w:lang w:eastAsia="lt-LT"/>
              </w:rPr>
              <w:t xml:space="preserve"> neturinti situacija, pareikalavo</w:t>
            </w:r>
            <w:r w:rsidRPr="00C32827">
              <w:rPr>
                <w:rFonts w:ascii="Times New Roman" w:eastAsia="AngsanaUPC" w:hAnsi="Times New Roman" w:cs="Times New Roman"/>
                <w:b/>
                <w:bCs/>
                <w:sz w:val="24"/>
                <w:szCs w:val="24"/>
                <w:lang w:eastAsia="lt-LT"/>
              </w:rPr>
              <w:t xml:space="preserve"> imtis prie tokių aplinkybių pritaikytų išimtinių priemonių. Krizė sukėlė </w:t>
            </w:r>
            <w:r w:rsidR="00CE23D1" w:rsidRPr="00C32827">
              <w:rPr>
                <w:rFonts w:ascii="Times New Roman" w:eastAsia="AngsanaUPC" w:hAnsi="Times New Roman" w:cs="Times New Roman"/>
                <w:b/>
                <w:bCs/>
                <w:sz w:val="24"/>
                <w:szCs w:val="24"/>
                <w:lang w:eastAsia="lt-LT"/>
              </w:rPr>
              <w:t>įvairių</w:t>
            </w:r>
            <w:r w:rsidRPr="00C32827">
              <w:rPr>
                <w:rFonts w:ascii="Times New Roman" w:eastAsia="AngsanaUPC" w:hAnsi="Times New Roman" w:cs="Times New Roman"/>
                <w:b/>
                <w:bCs/>
                <w:sz w:val="24"/>
                <w:szCs w:val="24"/>
                <w:lang w:eastAsia="lt-LT"/>
              </w:rPr>
              <w:t xml:space="preserve"> socialinių ir ekonominių sunkumų.</w:t>
            </w:r>
            <w:r w:rsidR="00CE23D1" w:rsidRPr="00C32827">
              <w:rPr>
                <w:rFonts w:ascii="Times New Roman" w:eastAsia="AngsanaUPC" w:hAnsi="Times New Roman" w:cs="Times New Roman"/>
                <w:b/>
                <w:bCs/>
                <w:sz w:val="24"/>
                <w:szCs w:val="24"/>
                <w:lang w:eastAsia="lt-LT"/>
              </w:rPr>
              <w:t xml:space="preserve"> </w:t>
            </w:r>
            <w:r w:rsidR="00F15F92" w:rsidRPr="00C32827">
              <w:rPr>
                <w:rFonts w:ascii="Times New Roman" w:eastAsia="AngsanaUPC" w:hAnsi="Times New Roman" w:cs="Times New Roman"/>
                <w:b/>
                <w:bCs/>
                <w:sz w:val="24"/>
                <w:szCs w:val="24"/>
                <w:lang w:eastAsia="lt-LT"/>
              </w:rPr>
              <w:t>Lietuvos Respublikos Vyriausybė imdamasi atsako krizei įveikti ir užtikrint</w:t>
            </w:r>
            <w:r w:rsidR="004C1856" w:rsidRPr="00C32827">
              <w:rPr>
                <w:rFonts w:ascii="Times New Roman" w:eastAsia="AngsanaUPC" w:hAnsi="Times New Roman" w:cs="Times New Roman"/>
                <w:b/>
                <w:bCs/>
                <w:sz w:val="24"/>
                <w:szCs w:val="24"/>
                <w:lang w:eastAsia="lt-LT"/>
              </w:rPr>
              <w:t>i sąlygas skaitmeninimu ir žalią</w:t>
            </w:r>
            <w:r w:rsidR="00F15F92" w:rsidRPr="00C32827">
              <w:rPr>
                <w:rFonts w:ascii="Times New Roman" w:eastAsia="AngsanaUPC" w:hAnsi="Times New Roman" w:cs="Times New Roman"/>
                <w:b/>
                <w:bCs/>
                <w:sz w:val="24"/>
                <w:szCs w:val="24"/>
                <w:lang w:eastAsia="lt-LT"/>
              </w:rPr>
              <w:t>ja pertvark</w:t>
            </w:r>
            <w:r w:rsidR="001C4098" w:rsidRPr="00C32827">
              <w:rPr>
                <w:rFonts w:ascii="Times New Roman" w:eastAsia="AngsanaUPC" w:hAnsi="Times New Roman" w:cs="Times New Roman"/>
                <w:b/>
                <w:bCs/>
                <w:sz w:val="24"/>
                <w:szCs w:val="24"/>
                <w:lang w:eastAsia="lt-LT"/>
              </w:rPr>
              <w:t>a</w:t>
            </w:r>
            <w:r w:rsidR="00F15F92" w:rsidRPr="00C32827">
              <w:rPr>
                <w:rFonts w:ascii="Times New Roman" w:eastAsia="AngsanaUPC" w:hAnsi="Times New Roman" w:cs="Times New Roman"/>
                <w:b/>
                <w:bCs/>
                <w:sz w:val="24"/>
                <w:szCs w:val="24"/>
                <w:lang w:eastAsia="lt-LT"/>
              </w:rPr>
              <w:t xml:space="preserve"> pagrįstam ekonomikos augimui, patvirtino Ateities ekonomikos</w:t>
            </w:r>
            <w:r w:rsidR="00295893" w:rsidRPr="00C32827">
              <w:rPr>
                <w:rFonts w:ascii="Times New Roman" w:eastAsia="AngsanaUPC" w:hAnsi="Times New Roman" w:cs="Times New Roman"/>
                <w:b/>
                <w:bCs/>
                <w:sz w:val="24"/>
                <w:szCs w:val="24"/>
                <w:lang w:eastAsia="lt-LT"/>
              </w:rPr>
              <w:t xml:space="preserve"> DNR</w:t>
            </w:r>
            <w:r w:rsidR="00EB151B" w:rsidRPr="00C32827">
              <w:rPr>
                <w:rFonts w:ascii="Times New Roman" w:eastAsia="AngsanaUPC" w:hAnsi="Times New Roman" w:cs="Times New Roman"/>
                <w:b/>
                <w:bCs/>
                <w:sz w:val="24"/>
                <w:szCs w:val="24"/>
                <w:lang w:eastAsia="lt-LT"/>
              </w:rPr>
              <w:t xml:space="preserve"> planą.</w:t>
            </w:r>
          </w:p>
          <w:p w:rsidR="00D55ED2" w:rsidRPr="00C32827" w:rsidRDefault="00F15F92" w:rsidP="00144039">
            <w:pPr>
              <w:widowControl w:val="0"/>
              <w:tabs>
                <w:tab w:val="left" w:pos="622"/>
              </w:tabs>
              <w:ind w:firstLine="624"/>
              <w:jc w:val="both"/>
              <w:rPr>
                <w:rFonts w:ascii="Times New Roman" w:eastAsia="AngsanaUPC" w:hAnsi="Times New Roman" w:cs="Times New Roman"/>
                <w:b/>
                <w:bCs/>
                <w:strike/>
                <w:sz w:val="24"/>
                <w:szCs w:val="24"/>
                <w:lang w:eastAsia="lt-LT"/>
              </w:rPr>
            </w:pPr>
            <w:r w:rsidRPr="00C32827">
              <w:rPr>
                <w:rFonts w:ascii="Times New Roman" w:eastAsia="AngsanaUPC" w:hAnsi="Times New Roman" w:cs="Times New Roman"/>
                <w:b/>
                <w:bCs/>
                <w:sz w:val="24"/>
                <w:szCs w:val="24"/>
                <w:lang w:eastAsia="lt-LT"/>
              </w:rPr>
              <w:t xml:space="preserve">Siekiant solidariai bendromis jėgomis </w:t>
            </w:r>
            <w:r w:rsidR="00125227" w:rsidRPr="00C32827">
              <w:rPr>
                <w:rFonts w:ascii="Times New Roman" w:eastAsia="AngsanaUPC" w:hAnsi="Times New Roman" w:cs="Times New Roman"/>
                <w:b/>
                <w:bCs/>
                <w:sz w:val="24"/>
                <w:szCs w:val="24"/>
                <w:lang w:eastAsia="lt-LT"/>
              </w:rPr>
              <w:t>stabilizuoti krizės paveiktą viešojo ir verslo sektorių veiklą</w:t>
            </w:r>
            <w:r w:rsidR="00F879FB" w:rsidRPr="00C32827">
              <w:rPr>
                <w:rFonts w:ascii="Times New Roman" w:eastAsia="AngsanaUPC" w:hAnsi="Times New Roman" w:cs="Times New Roman"/>
                <w:b/>
                <w:bCs/>
                <w:sz w:val="24"/>
                <w:szCs w:val="24"/>
                <w:lang w:eastAsia="lt-LT"/>
              </w:rPr>
              <w:t xml:space="preserve">, visuomenės kasdienį gyvenimą bei </w:t>
            </w:r>
            <w:r w:rsidRPr="00C32827">
              <w:rPr>
                <w:rFonts w:ascii="Times New Roman" w:eastAsia="AngsanaUPC" w:hAnsi="Times New Roman" w:cs="Times New Roman"/>
                <w:b/>
                <w:bCs/>
                <w:sz w:val="24"/>
                <w:szCs w:val="24"/>
                <w:lang w:eastAsia="lt-LT"/>
              </w:rPr>
              <w:t xml:space="preserve">transformuoti ekonomiką, kad ji taptų pažangia ir konkurencinga ateityje bei būtų pajėgi </w:t>
            </w:r>
            <w:r w:rsidR="00125227" w:rsidRPr="00C32827">
              <w:rPr>
                <w:rFonts w:ascii="Times New Roman" w:eastAsia="AngsanaUPC" w:hAnsi="Times New Roman" w:cs="Times New Roman"/>
                <w:b/>
                <w:bCs/>
                <w:sz w:val="24"/>
                <w:szCs w:val="24"/>
                <w:lang w:eastAsia="lt-LT"/>
              </w:rPr>
              <w:t xml:space="preserve">atremti </w:t>
            </w:r>
            <w:r w:rsidR="00E27B34" w:rsidRPr="00C32827">
              <w:rPr>
                <w:rFonts w:ascii="Times New Roman" w:eastAsia="AngsanaUPC" w:hAnsi="Times New Roman" w:cs="Times New Roman"/>
                <w:b/>
                <w:bCs/>
                <w:sz w:val="24"/>
                <w:szCs w:val="24"/>
                <w:lang w:eastAsia="lt-LT"/>
              </w:rPr>
              <w:t xml:space="preserve">ne tik numatomas naujas koronaviruso bangas, bet ir kitus </w:t>
            </w:r>
            <w:r w:rsidR="001E09D7" w:rsidRPr="00C32827">
              <w:rPr>
                <w:rFonts w:ascii="Times New Roman" w:eastAsia="AngsanaUPC" w:hAnsi="Times New Roman" w:cs="Times New Roman"/>
                <w:b/>
                <w:bCs/>
                <w:sz w:val="24"/>
                <w:szCs w:val="24"/>
                <w:lang w:eastAsia="lt-LT"/>
              </w:rPr>
              <w:t>galimus sukrėtimus, 13 prioriteto</w:t>
            </w:r>
            <w:r w:rsidR="00F879FB" w:rsidRPr="00C32827">
              <w:rPr>
                <w:rFonts w:ascii="Times New Roman" w:eastAsia="AngsanaUPC" w:hAnsi="Times New Roman" w:cs="Times New Roman"/>
                <w:b/>
                <w:bCs/>
                <w:sz w:val="24"/>
                <w:szCs w:val="24"/>
                <w:lang w:eastAsia="lt-LT"/>
              </w:rPr>
              <w:t xml:space="preserve"> investicijo</w:t>
            </w:r>
            <w:r w:rsidR="00125227" w:rsidRPr="00C32827">
              <w:rPr>
                <w:rFonts w:ascii="Times New Roman" w:eastAsia="AngsanaUPC" w:hAnsi="Times New Roman" w:cs="Times New Roman"/>
                <w:b/>
                <w:bCs/>
                <w:sz w:val="24"/>
                <w:szCs w:val="24"/>
                <w:lang w:eastAsia="lt-LT"/>
              </w:rPr>
              <w:t xml:space="preserve">s bus </w:t>
            </w:r>
            <w:r w:rsidR="00F879FB" w:rsidRPr="00C32827">
              <w:rPr>
                <w:rFonts w:ascii="Times New Roman" w:eastAsia="AngsanaUPC" w:hAnsi="Times New Roman" w:cs="Times New Roman"/>
                <w:b/>
                <w:bCs/>
                <w:sz w:val="24"/>
                <w:szCs w:val="24"/>
                <w:lang w:eastAsia="lt-LT"/>
              </w:rPr>
              <w:t xml:space="preserve">koncentruojamos į </w:t>
            </w:r>
            <w:r w:rsidR="00C52CE6">
              <w:rPr>
                <w:rFonts w:ascii="Times New Roman" w:eastAsia="AngsanaUPC" w:hAnsi="Times New Roman" w:cs="Times New Roman"/>
                <w:b/>
                <w:bCs/>
                <w:sz w:val="24"/>
                <w:szCs w:val="24"/>
                <w:lang w:eastAsia="lt-LT"/>
              </w:rPr>
              <w:t>dvi</w:t>
            </w:r>
            <w:r w:rsidR="00F879FB" w:rsidRPr="00C32827">
              <w:rPr>
                <w:rFonts w:ascii="Times New Roman" w:eastAsia="AngsanaUPC" w:hAnsi="Times New Roman" w:cs="Times New Roman"/>
                <w:b/>
                <w:bCs/>
                <w:sz w:val="24"/>
                <w:szCs w:val="24"/>
                <w:lang w:eastAsia="lt-LT"/>
              </w:rPr>
              <w:t xml:space="preserve"> esmines sritis: verslo skaitmeninimą</w:t>
            </w:r>
            <w:r w:rsidR="00EB151B" w:rsidRPr="00C32827">
              <w:rPr>
                <w:rFonts w:ascii="Times New Roman" w:eastAsia="AngsanaUPC" w:hAnsi="Times New Roman" w:cs="Times New Roman"/>
                <w:b/>
                <w:bCs/>
                <w:sz w:val="24"/>
                <w:szCs w:val="24"/>
                <w:lang w:eastAsia="lt-LT"/>
              </w:rPr>
              <w:t xml:space="preserve"> ir </w:t>
            </w:r>
            <w:r w:rsidR="001C4098" w:rsidRPr="00C32827">
              <w:rPr>
                <w:rFonts w:ascii="Times New Roman" w:eastAsia="AngsanaUPC" w:hAnsi="Times New Roman" w:cs="Times New Roman"/>
                <w:b/>
                <w:bCs/>
                <w:sz w:val="24"/>
                <w:szCs w:val="24"/>
                <w:lang w:eastAsia="lt-LT"/>
              </w:rPr>
              <w:t>MTEP</w:t>
            </w:r>
            <w:r w:rsidR="00EB151B" w:rsidRPr="00C32827">
              <w:rPr>
                <w:rFonts w:ascii="Times New Roman" w:eastAsia="AngsanaUPC" w:hAnsi="Times New Roman" w:cs="Times New Roman"/>
                <w:b/>
                <w:bCs/>
                <w:sz w:val="24"/>
                <w:szCs w:val="24"/>
                <w:lang w:eastAsia="lt-LT"/>
              </w:rPr>
              <w:t>I;</w:t>
            </w:r>
            <w:r w:rsidR="00F879FB" w:rsidRPr="00C32827">
              <w:rPr>
                <w:rFonts w:ascii="Times New Roman" w:eastAsia="AngsanaUPC" w:hAnsi="Times New Roman" w:cs="Times New Roman"/>
                <w:b/>
                <w:bCs/>
                <w:sz w:val="24"/>
                <w:szCs w:val="24"/>
                <w:lang w:eastAsia="lt-LT"/>
              </w:rPr>
              <w:t xml:space="preserve"> klimato kaitą ir energetiką.</w:t>
            </w:r>
          </w:p>
          <w:p w:rsidR="000F7D0C" w:rsidRPr="001F4C4B" w:rsidRDefault="002F2F9E" w:rsidP="00295893">
            <w:pPr>
              <w:widowControl w:val="0"/>
              <w:tabs>
                <w:tab w:val="left" w:pos="622"/>
              </w:tabs>
              <w:ind w:firstLine="624"/>
              <w:jc w:val="both"/>
              <w:rPr>
                <w:rFonts w:ascii="Times New Roman" w:eastAsia="AngsanaUPC" w:hAnsi="Times New Roman" w:cs="Times New Roman"/>
                <w:bCs/>
                <w:sz w:val="24"/>
                <w:szCs w:val="24"/>
                <w:lang w:eastAsia="lt-LT"/>
              </w:rPr>
            </w:pPr>
            <w:r w:rsidRPr="00C32827">
              <w:rPr>
                <w:rFonts w:ascii="Times New Roman" w:eastAsia="AngsanaUPC" w:hAnsi="Times New Roman" w:cs="Times New Roman"/>
                <w:b/>
                <w:bCs/>
                <w:sz w:val="24"/>
                <w:szCs w:val="24"/>
                <w:lang w:eastAsia="lt-LT"/>
              </w:rPr>
              <w:t xml:space="preserve">Siekiant efektyviai spręsti šias problemas, būtina </w:t>
            </w:r>
            <w:r w:rsidR="000F7D0C" w:rsidRPr="00C32827">
              <w:rPr>
                <w:rFonts w:ascii="Times New Roman" w:eastAsia="AngsanaUPC" w:hAnsi="Times New Roman" w:cs="Times New Roman"/>
                <w:b/>
                <w:bCs/>
                <w:sz w:val="24"/>
                <w:szCs w:val="24"/>
                <w:lang w:eastAsia="lt-LT"/>
              </w:rPr>
              <w:t xml:space="preserve">užtikrinti ekonomikos atsigavimą dėl COVID-19 krizės ir didinti jos atsparumą ateityje. ERPF </w:t>
            </w:r>
            <w:r w:rsidR="00B716DA">
              <w:rPr>
                <w:rFonts w:ascii="Times New Roman" w:eastAsia="AngsanaUPC" w:hAnsi="Times New Roman" w:cs="Times New Roman"/>
                <w:b/>
                <w:bCs/>
                <w:sz w:val="24"/>
                <w:szCs w:val="24"/>
                <w:lang w:eastAsia="lt-LT"/>
              </w:rPr>
              <w:t>lėšos bus naudojamos didinti įmonių</w:t>
            </w:r>
            <w:r w:rsidR="000F7D0C" w:rsidRPr="00C32827">
              <w:rPr>
                <w:rFonts w:ascii="Times New Roman" w:eastAsia="AngsanaUPC" w:hAnsi="Times New Roman" w:cs="Times New Roman"/>
                <w:b/>
                <w:bCs/>
                <w:sz w:val="24"/>
                <w:szCs w:val="24"/>
                <w:lang w:eastAsia="lt-LT"/>
              </w:rPr>
              <w:t xml:space="preserve"> konkurencingumą, finansuojant </w:t>
            </w:r>
            <w:r w:rsidR="001C4098" w:rsidRPr="00C32827">
              <w:rPr>
                <w:rFonts w:ascii="Times New Roman" w:eastAsia="AngsanaUPC" w:hAnsi="Times New Roman" w:cs="Times New Roman"/>
                <w:b/>
                <w:bCs/>
                <w:sz w:val="24"/>
                <w:szCs w:val="24"/>
                <w:lang w:eastAsia="lt-LT"/>
              </w:rPr>
              <w:t xml:space="preserve">MTEP, </w:t>
            </w:r>
            <w:r w:rsidR="000F7D0C" w:rsidRPr="00C32827">
              <w:rPr>
                <w:rFonts w:ascii="Times New Roman" w:eastAsia="AngsanaUPC" w:hAnsi="Times New Roman" w:cs="Times New Roman"/>
                <w:b/>
                <w:bCs/>
                <w:sz w:val="24"/>
                <w:szCs w:val="24"/>
                <w:lang w:eastAsia="lt-LT"/>
              </w:rPr>
              <w:t>inovacijas ir skaitmeninimo sprendimus</w:t>
            </w:r>
            <w:r w:rsidR="003456E1" w:rsidRPr="00C32827">
              <w:rPr>
                <w:rFonts w:ascii="Times New Roman" w:eastAsia="AngsanaUPC" w:hAnsi="Times New Roman" w:cs="Times New Roman"/>
                <w:b/>
                <w:bCs/>
                <w:sz w:val="24"/>
                <w:szCs w:val="24"/>
                <w:lang w:eastAsia="lt-LT"/>
              </w:rPr>
              <w:t xml:space="preserve">. Šio fondo lėšomis bus </w:t>
            </w:r>
            <w:r w:rsidR="00295893" w:rsidRPr="00C32827">
              <w:rPr>
                <w:rFonts w:ascii="Times New Roman" w:eastAsia="AngsanaUPC" w:hAnsi="Times New Roman" w:cs="Times New Roman"/>
                <w:b/>
                <w:bCs/>
                <w:sz w:val="24"/>
                <w:szCs w:val="24"/>
                <w:lang w:eastAsia="lt-LT"/>
              </w:rPr>
              <w:t xml:space="preserve">kuriama </w:t>
            </w:r>
            <w:r w:rsidR="003456E1" w:rsidRPr="00C32827">
              <w:rPr>
                <w:rFonts w:ascii="Times New Roman" w:eastAsia="AngsanaUPC" w:hAnsi="Times New Roman" w:cs="Times New Roman"/>
                <w:b/>
                <w:bCs/>
                <w:sz w:val="24"/>
                <w:szCs w:val="24"/>
                <w:lang w:eastAsia="lt-LT"/>
              </w:rPr>
              <w:t>inovatyvi sveikatos priežiūros sistemos infrastruktūra, skaitmeniniai bei nuotoliniai sveikatos sektoriaus sprendimai. Taip pat ERPF lėšomis bus finansuojam</w:t>
            </w:r>
            <w:r w:rsidR="00962485">
              <w:rPr>
                <w:rFonts w:ascii="Times New Roman" w:eastAsia="AngsanaUPC" w:hAnsi="Times New Roman" w:cs="Times New Roman"/>
                <w:b/>
                <w:bCs/>
                <w:sz w:val="24"/>
                <w:szCs w:val="24"/>
                <w:lang w:eastAsia="lt-LT"/>
              </w:rPr>
              <w:t>a</w:t>
            </w:r>
            <w:r w:rsidR="003456E1" w:rsidRPr="00C32827">
              <w:rPr>
                <w:rFonts w:ascii="Times New Roman" w:eastAsia="AngsanaUPC" w:hAnsi="Times New Roman" w:cs="Times New Roman"/>
                <w:b/>
                <w:bCs/>
                <w:sz w:val="24"/>
                <w:szCs w:val="24"/>
                <w:lang w:eastAsia="lt-LT"/>
              </w:rPr>
              <w:t xml:space="preserve">s energijos efektyvumo </w:t>
            </w:r>
            <w:r w:rsidR="00EE6C7D">
              <w:rPr>
                <w:rFonts w:ascii="Times New Roman" w:eastAsia="AngsanaUPC" w:hAnsi="Times New Roman" w:cs="Times New Roman"/>
                <w:b/>
                <w:bCs/>
                <w:sz w:val="24"/>
                <w:szCs w:val="24"/>
                <w:lang w:eastAsia="lt-LT"/>
              </w:rPr>
              <w:t>didinimas</w:t>
            </w:r>
            <w:r w:rsidR="003456E1" w:rsidRPr="00C32827">
              <w:rPr>
                <w:rFonts w:ascii="Times New Roman" w:eastAsia="AngsanaUPC" w:hAnsi="Times New Roman" w:cs="Times New Roman"/>
                <w:b/>
                <w:bCs/>
                <w:sz w:val="24"/>
                <w:szCs w:val="24"/>
                <w:lang w:eastAsia="lt-LT"/>
              </w:rPr>
              <w:t>.</w:t>
            </w:r>
          </w:p>
        </w:tc>
      </w:tr>
    </w:tbl>
    <w:p w:rsidR="00D55ED2" w:rsidRDefault="00D55ED2" w:rsidP="00356CFB">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356CFB" w:rsidRPr="00356CFB" w:rsidTr="00356CFB">
        <w:tc>
          <w:tcPr>
            <w:tcW w:w="2410" w:type="dxa"/>
            <w:shd w:val="clear" w:color="auto" w:fill="EEECE1"/>
          </w:tcPr>
          <w:p w:rsidR="00356CFB" w:rsidRPr="00356CFB" w:rsidRDefault="00356CFB" w:rsidP="00356CFB">
            <w:pPr>
              <w:widowControl w:val="0"/>
              <w:tabs>
                <w:tab w:val="left" w:pos="622"/>
              </w:tabs>
              <w:jc w:val="both"/>
              <w:rPr>
                <w:rFonts w:ascii="Times New Roman" w:eastAsia="AngsanaUPC" w:hAnsi="Times New Roman" w:cs="Times New Roman"/>
                <w:b/>
                <w:bCs/>
                <w:sz w:val="24"/>
                <w:szCs w:val="24"/>
                <w:lang w:eastAsia="lt-LT"/>
              </w:rPr>
            </w:pPr>
            <w:r w:rsidRPr="00356CFB">
              <w:rPr>
                <w:rFonts w:ascii="Times New Roman" w:eastAsia="AngsanaUPC" w:hAnsi="Times New Roman" w:cs="Times New Roman"/>
                <w:b/>
                <w:bCs/>
                <w:sz w:val="24"/>
                <w:szCs w:val="24"/>
                <w:lang w:eastAsia="lt-LT"/>
              </w:rPr>
              <w:t>FONDAS</w:t>
            </w:r>
          </w:p>
        </w:tc>
        <w:tc>
          <w:tcPr>
            <w:tcW w:w="7336" w:type="dxa"/>
            <w:shd w:val="clear" w:color="auto" w:fill="EEECE1"/>
          </w:tcPr>
          <w:p w:rsidR="00356CFB" w:rsidRPr="001F4C4B" w:rsidRDefault="00834115" w:rsidP="00356CFB">
            <w:pPr>
              <w:widowControl w:val="0"/>
              <w:tabs>
                <w:tab w:val="left" w:pos="622"/>
              </w:tabs>
              <w:jc w:val="both"/>
              <w:rPr>
                <w:rFonts w:ascii="Times New Roman" w:eastAsia="AngsanaUPC" w:hAnsi="Times New Roman" w:cs="Times New Roman"/>
                <w:b/>
                <w:bCs/>
                <w:sz w:val="24"/>
                <w:szCs w:val="24"/>
                <w:lang w:eastAsia="lt-LT"/>
              </w:rPr>
            </w:pPr>
            <w:r w:rsidRPr="00B1282C">
              <w:rPr>
                <w:rFonts w:ascii="Times New Roman" w:eastAsia="AngsanaUPC" w:hAnsi="Times New Roman" w:cs="Times New Roman"/>
                <w:b/>
                <w:bCs/>
                <w:sz w:val="24"/>
                <w:szCs w:val="24"/>
                <w:lang w:eastAsia="lt-LT"/>
              </w:rPr>
              <w:t>Europos regioninės plėtros</w:t>
            </w:r>
            <w:r w:rsidR="00356CFB" w:rsidRPr="00B1282C">
              <w:rPr>
                <w:rFonts w:ascii="Times New Roman" w:eastAsia="AngsanaUPC" w:hAnsi="Times New Roman" w:cs="Times New Roman"/>
                <w:b/>
                <w:bCs/>
                <w:sz w:val="24"/>
                <w:szCs w:val="24"/>
                <w:lang w:eastAsia="lt-LT"/>
              </w:rPr>
              <w:t xml:space="preserve"> fondas</w:t>
            </w:r>
          </w:p>
        </w:tc>
      </w:tr>
    </w:tbl>
    <w:p w:rsidR="00834115" w:rsidRDefault="00834115" w:rsidP="00834115">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04"/>
        <w:gridCol w:w="7285"/>
      </w:tblGrid>
      <w:tr w:rsidR="00834115" w:rsidRPr="00356CFB" w:rsidTr="00834115">
        <w:tc>
          <w:tcPr>
            <w:tcW w:w="2404" w:type="dxa"/>
            <w:shd w:val="clear" w:color="auto" w:fill="EEECE1"/>
            <w:vAlign w:val="center"/>
          </w:tcPr>
          <w:p w:rsidR="00834115" w:rsidRPr="00356CFB" w:rsidRDefault="00834115" w:rsidP="00834115">
            <w:pPr>
              <w:widowControl w:val="0"/>
              <w:tabs>
                <w:tab w:val="left" w:pos="622"/>
              </w:tabs>
              <w:rPr>
                <w:rFonts w:ascii="Times New Roman" w:eastAsia="AngsanaUPC" w:hAnsi="Times New Roman" w:cs="Times New Roman"/>
                <w:b/>
                <w:bCs/>
                <w:sz w:val="24"/>
                <w:szCs w:val="24"/>
                <w:lang w:eastAsia="lt-LT"/>
              </w:rPr>
            </w:pPr>
            <w:r w:rsidRPr="00356CFB">
              <w:rPr>
                <w:rFonts w:ascii="Times New Roman" w:eastAsia="AngsanaUPC" w:hAnsi="Times New Roman" w:cs="Times New Roman"/>
                <w:b/>
                <w:bCs/>
                <w:sz w:val="24"/>
                <w:szCs w:val="24"/>
                <w:lang w:eastAsia="lt-LT"/>
              </w:rPr>
              <w:t>1</w:t>
            </w:r>
            <w:r>
              <w:rPr>
                <w:rFonts w:ascii="Times New Roman" w:eastAsia="AngsanaUPC" w:hAnsi="Times New Roman" w:cs="Times New Roman"/>
                <w:b/>
                <w:bCs/>
                <w:sz w:val="24"/>
                <w:szCs w:val="24"/>
                <w:lang w:eastAsia="lt-LT"/>
              </w:rPr>
              <w:t>3</w:t>
            </w:r>
            <w:r w:rsidRPr="00356CFB">
              <w:rPr>
                <w:rFonts w:ascii="Times New Roman" w:eastAsia="AngsanaUPC" w:hAnsi="Times New Roman" w:cs="Times New Roman"/>
                <w:b/>
                <w:bCs/>
                <w:sz w:val="24"/>
                <w:szCs w:val="24"/>
                <w:lang w:eastAsia="lt-LT"/>
              </w:rPr>
              <w:t>.1.</w:t>
            </w:r>
            <w:r w:rsidR="00962485">
              <w:rPr>
                <w:rFonts w:ascii="Times New Roman" w:eastAsia="AngsanaUPC" w:hAnsi="Times New Roman" w:cs="Times New Roman"/>
                <w:b/>
                <w:bCs/>
                <w:sz w:val="24"/>
                <w:szCs w:val="24"/>
                <w:lang w:eastAsia="lt-LT"/>
              </w:rPr>
              <w:t>1</w:t>
            </w:r>
            <w:r w:rsidRPr="00356CFB">
              <w:rPr>
                <w:rFonts w:ascii="Times New Roman" w:eastAsia="AngsanaUPC" w:hAnsi="Times New Roman" w:cs="Times New Roman"/>
                <w:b/>
                <w:bCs/>
                <w:sz w:val="24"/>
                <w:szCs w:val="24"/>
                <w:lang w:eastAsia="lt-LT"/>
              </w:rPr>
              <w:t>. KONKRETUS UŽDAVINYS</w:t>
            </w:r>
          </w:p>
        </w:tc>
        <w:tc>
          <w:tcPr>
            <w:tcW w:w="7285" w:type="dxa"/>
            <w:shd w:val="clear" w:color="auto" w:fill="EEECE1"/>
            <w:vAlign w:val="center"/>
          </w:tcPr>
          <w:p w:rsidR="00834115" w:rsidRPr="00356CFB" w:rsidRDefault="0016339C" w:rsidP="0016339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Skatinti </w:t>
            </w:r>
            <w:r w:rsidR="00834115" w:rsidRPr="00834115">
              <w:rPr>
                <w:rFonts w:ascii="Times New Roman" w:eastAsia="Calibri" w:hAnsi="Times New Roman" w:cs="Times New Roman"/>
                <w:b/>
                <w:sz w:val="24"/>
                <w:szCs w:val="24"/>
              </w:rPr>
              <w:t>skaitmeninim</w:t>
            </w:r>
            <w:r>
              <w:rPr>
                <w:rFonts w:ascii="Times New Roman" w:eastAsia="Calibri" w:hAnsi="Times New Roman" w:cs="Times New Roman"/>
                <w:b/>
                <w:sz w:val="24"/>
                <w:szCs w:val="24"/>
              </w:rPr>
              <w:t>ą</w:t>
            </w:r>
            <w:r w:rsidR="00834115" w:rsidRPr="00834115">
              <w:rPr>
                <w:rFonts w:ascii="Times New Roman" w:eastAsia="Calibri" w:hAnsi="Times New Roman" w:cs="Times New Roman"/>
                <w:b/>
                <w:sz w:val="24"/>
                <w:szCs w:val="24"/>
              </w:rPr>
              <w:t xml:space="preserve"> ir inovacij</w:t>
            </w:r>
            <w:r>
              <w:rPr>
                <w:rFonts w:ascii="Times New Roman" w:eastAsia="Calibri" w:hAnsi="Times New Roman" w:cs="Times New Roman"/>
                <w:b/>
                <w:sz w:val="24"/>
                <w:szCs w:val="24"/>
              </w:rPr>
              <w:t>a</w:t>
            </w:r>
            <w:r w:rsidR="00834115" w:rsidRPr="00834115">
              <w:rPr>
                <w:rFonts w:ascii="Times New Roman" w:eastAsia="Calibri" w:hAnsi="Times New Roman" w:cs="Times New Roman"/>
                <w:b/>
                <w:sz w:val="24"/>
                <w:szCs w:val="24"/>
              </w:rPr>
              <w:t>s</w:t>
            </w:r>
            <w:r>
              <w:rPr>
                <w:rFonts w:ascii="Times New Roman" w:eastAsia="Calibri" w:hAnsi="Times New Roman" w:cs="Times New Roman"/>
                <w:b/>
                <w:sz w:val="24"/>
                <w:szCs w:val="24"/>
              </w:rPr>
              <w:t>, siekiant įveikti COVID-19 pandemijos sukeltas pasekmes ekonomikai</w:t>
            </w:r>
          </w:p>
        </w:tc>
      </w:tr>
      <w:tr w:rsidR="00834115" w:rsidRPr="00356CFB" w:rsidTr="00834115">
        <w:tc>
          <w:tcPr>
            <w:tcW w:w="9689" w:type="dxa"/>
            <w:gridSpan w:val="2"/>
            <w:shd w:val="clear" w:color="auto" w:fill="auto"/>
          </w:tcPr>
          <w:p w:rsidR="000267C6" w:rsidRPr="00C32827" w:rsidRDefault="00F9105E" w:rsidP="002966B1">
            <w:pPr>
              <w:ind w:firstLine="624"/>
              <w:jc w:val="both"/>
              <w:rPr>
                <w:rFonts w:ascii="Times New Roman" w:eastAsia="Calibri" w:hAnsi="Times New Roman" w:cs="Times New Roman"/>
                <w:b/>
                <w:sz w:val="24"/>
                <w:szCs w:val="24"/>
              </w:rPr>
            </w:pPr>
            <w:r w:rsidRPr="00C32827">
              <w:rPr>
                <w:rFonts w:ascii="Times New Roman" w:eastAsia="Calibri" w:hAnsi="Times New Roman" w:cs="Times New Roman"/>
                <w:b/>
                <w:sz w:val="24"/>
                <w:szCs w:val="24"/>
              </w:rPr>
              <w:t>Siekiant tvarios ekonomikos plėtros</w:t>
            </w:r>
            <w:r w:rsidR="00872916" w:rsidRPr="00C32827">
              <w:rPr>
                <w:rFonts w:ascii="Times New Roman" w:eastAsia="Calibri" w:hAnsi="Times New Roman" w:cs="Times New Roman"/>
                <w:b/>
                <w:sz w:val="24"/>
                <w:szCs w:val="24"/>
              </w:rPr>
              <w:t xml:space="preserve"> Lietuvoje </w:t>
            </w:r>
            <w:r w:rsidRPr="00C32827">
              <w:rPr>
                <w:rFonts w:ascii="Times New Roman" w:eastAsia="Calibri" w:hAnsi="Times New Roman" w:cs="Times New Roman"/>
                <w:b/>
                <w:sz w:val="24"/>
                <w:szCs w:val="24"/>
              </w:rPr>
              <w:t xml:space="preserve">bei norint užtikrinti jos ilgalaikį ir subalansuotą augimą, atsižvelgiant į pasaulinės COVID-19 pandemijos pasekmes, </w:t>
            </w:r>
            <w:r w:rsidR="002966B1" w:rsidRPr="00C32827">
              <w:rPr>
                <w:rFonts w:ascii="Times New Roman" w:eastAsia="Calibri" w:hAnsi="Times New Roman" w:cs="Times New Roman"/>
                <w:b/>
                <w:sz w:val="24"/>
                <w:szCs w:val="24"/>
              </w:rPr>
              <w:t xml:space="preserve">reikalingos </w:t>
            </w:r>
            <w:r w:rsidRPr="00C32827">
              <w:rPr>
                <w:rFonts w:ascii="Times New Roman" w:eastAsia="Calibri" w:hAnsi="Times New Roman" w:cs="Times New Roman"/>
                <w:b/>
                <w:sz w:val="24"/>
                <w:szCs w:val="24"/>
              </w:rPr>
              <w:t>sparči</w:t>
            </w:r>
            <w:r w:rsidR="002966B1" w:rsidRPr="00C32827">
              <w:rPr>
                <w:rFonts w:ascii="Times New Roman" w:eastAsia="Calibri" w:hAnsi="Times New Roman" w:cs="Times New Roman"/>
                <w:b/>
                <w:sz w:val="24"/>
                <w:szCs w:val="24"/>
              </w:rPr>
              <w:t xml:space="preserve">os ir efektyvios investicijos pažangesnei ekonomikai. </w:t>
            </w:r>
            <w:r w:rsidR="00306243" w:rsidRPr="00C32827">
              <w:rPr>
                <w:rFonts w:ascii="Times New Roman" w:eastAsia="Calibri" w:hAnsi="Times New Roman" w:cs="Times New Roman"/>
                <w:b/>
                <w:sz w:val="24"/>
                <w:szCs w:val="24"/>
              </w:rPr>
              <w:t>Tam</w:t>
            </w:r>
            <w:r w:rsidR="002966B1" w:rsidRPr="00C32827">
              <w:rPr>
                <w:rFonts w:ascii="Times New Roman" w:eastAsia="Calibri" w:hAnsi="Times New Roman" w:cs="Times New Roman"/>
                <w:b/>
                <w:sz w:val="24"/>
                <w:szCs w:val="24"/>
              </w:rPr>
              <w:t xml:space="preserve">, kad kuo didesnę ekonomikos dalį sudarytų inovatyvus ir aukštą pridėtinę vertę kuriantis verslas, reikalinga pereiti prie skaitmeninės ir žiniomis grįstos ekonomikos, kurioje vyrauja gerai apmokamos ir </w:t>
            </w:r>
            <w:r w:rsidR="000267C6" w:rsidRPr="00C32827">
              <w:rPr>
                <w:rFonts w:ascii="Times New Roman" w:eastAsia="Calibri" w:hAnsi="Times New Roman" w:cs="Times New Roman"/>
                <w:b/>
                <w:sz w:val="24"/>
                <w:szCs w:val="24"/>
              </w:rPr>
              <w:t xml:space="preserve">aukštos kompetencijos reikalaujančios darbo vietos, vystomos inovacijos ir </w:t>
            </w:r>
            <w:r w:rsidR="000267C6" w:rsidRPr="00C32827">
              <w:rPr>
                <w:rFonts w:ascii="Times New Roman" w:eastAsia="Calibri" w:hAnsi="Times New Roman" w:cs="Times New Roman"/>
                <w:b/>
                <w:sz w:val="24"/>
                <w:szCs w:val="24"/>
              </w:rPr>
              <w:lastRenderedPageBreak/>
              <w:t>didelės vertės produktai.</w:t>
            </w:r>
            <w:r w:rsidR="00815E81" w:rsidRPr="00C32827">
              <w:rPr>
                <w:rFonts w:ascii="Times New Roman" w:eastAsia="Calibri" w:hAnsi="Times New Roman" w:cs="Times New Roman"/>
                <w:b/>
                <w:sz w:val="24"/>
                <w:szCs w:val="24"/>
              </w:rPr>
              <w:t xml:space="preserve"> Taip pat siekiant ekonomikos atsigavimo po pandemijos, būtinos investicijos į inovatyvumu, kūrybiniu potencialu ir kūrybiškais sprendimais, gebėjimu persiorientuoti į paklausesni</w:t>
            </w:r>
            <w:r w:rsidR="00962485">
              <w:rPr>
                <w:rFonts w:ascii="Times New Roman" w:eastAsia="Calibri" w:hAnsi="Times New Roman" w:cs="Times New Roman"/>
                <w:b/>
                <w:sz w:val="24"/>
                <w:szCs w:val="24"/>
              </w:rPr>
              <w:t>us</w:t>
            </w:r>
            <w:r w:rsidR="00815E81" w:rsidRPr="00C32827">
              <w:rPr>
                <w:rFonts w:ascii="Times New Roman" w:eastAsia="Calibri" w:hAnsi="Times New Roman" w:cs="Times New Roman"/>
                <w:b/>
                <w:sz w:val="24"/>
                <w:szCs w:val="24"/>
              </w:rPr>
              <w:t xml:space="preserve"> ir aukšt</w:t>
            </w:r>
            <w:r w:rsidR="00962485">
              <w:rPr>
                <w:rFonts w:ascii="Times New Roman" w:eastAsia="Calibri" w:hAnsi="Times New Roman" w:cs="Times New Roman"/>
                <w:b/>
                <w:sz w:val="24"/>
                <w:szCs w:val="24"/>
              </w:rPr>
              <w:t>os</w:t>
            </w:r>
            <w:r w:rsidR="00815E81" w:rsidRPr="00C32827">
              <w:rPr>
                <w:rFonts w:ascii="Times New Roman" w:eastAsia="Calibri" w:hAnsi="Times New Roman" w:cs="Times New Roman"/>
                <w:b/>
                <w:sz w:val="24"/>
                <w:szCs w:val="24"/>
              </w:rPr>
              <w:t xml:space="preserve"> pridėtin</w:t>
            </w:r>
            <w:r w:rsidR="00962485">
              <w:rPr>
                <w:rFonts w:ascii="Times New Roman" w:eastAsia="Calibri" w:hAnsi="Times New Roman" w:cs="Times New Roman"/>
                <w:b/>
                <w:sz w:val="24"/>
                <w:szCs w:val="24"/>
              </w:rPr>
              <w:t>ės</w:t>
            </w:r>
            <w:r w:rsidR="00815E81" w:rsidRPr="00C32827">
              <w:rPr>
                <w:rFonts w:ascii="Times New Roman" w:eastAsia="Calibri" w:hAnsi="Times New Roman" w:cs="Times New Roman"/>
                <w:b/>
                <w:sz w:val="24"/>
                <w:szCs w:val="24"/>
              </w:rPr>
              <w:t xml:space="preserve"> vert</w:t>
            </w:r>
            <w:r w:rsidR="00962485">
              <w:rPr>
                <w:rFonts w:ascii="Times New Roman" w:eastAsia="Calibri" w:hAnsi="Times New Roman" w:cs="Times New Roman"/>
                <w:b/>
                <w:sz w:val="24"/>
                <w:szCs w:val="24"/>
              </w:rPr>
              <w:t>ės</w:t>
            </w:r>
            <w:r w:rsidR="00815E81" w:rsidRPr="00C32827">
              <w:rPr>
                <w:rFonts w:ascii="Times New Roman" w:eastAsia="Calibri" w:hAnsi="Times New Roman" w:cs="Times New Roman"/>
                <w:b/>
                <w:sz w:val="24"/>
                <w:szCs w:val="24"/>
              </w:rPr>
              <w:t xml:space="preserve"> k</w:t>
            </w:r>
            <w:r w:rsidR="00962485">
              <w:rPr>
                <w:rFonts w:ascii="Times New Roman" w:eastAsia="Calibri" w:hAnsi="Times New Roman" w:cs="Times New Roman"/>
                <w:b/>
                <w:sz w:val="24"/>
                <w:szCs w:val="24"/>
              </w:rPr>
              <w:t>ū</w:t>
            </w:r>
            <w:r w:rsidR="00815E81" w:rsidRPr="00C32827">
              <w:rPr>
                <w:rFonts w:ascii="Times New Roman" w:eastAsia="Calibri" w:hAnsi="Times New Roman" w:cs="Times New Roman"/>
                <w:b/>
                <w:sz w:val="24"/>
                <w:szCs w:val="24"/>
              </w:rPr>
              <w:t>ri</w:t>
            </w:r>
            <w:r w:rsidR="00962485">
              <w:rPr>
                <w:rFonts w:ascii="Times New Roman" w:eastAsia="Calibri" w:hAnsi="Times New Roman" w:cs="Times New Roman"/>
                <w:b/>
                <w:sz w:val="24"/>
                <w:szCs w:val="24"/>
              </w:rPr>
              <w:t>mu</w:t>
            </w:r>
            <w:r w:rsidR="00815E81" w:rsidRPr="00C32827">
              <w:rPr>
                <w:rFonts w:ascii="Times New Roman" w:eastAsia="Calibri" w:hAnsi="Times New Roman" w:cs="Times New Roman"/>
                <w:b/>
                <w:sz w:val="24"/>
                <w:szCs w:val="24"/>
              </w:rPr>
              <w:t xml:space="preserve"> pasižyminčius sektorius, taip didinant įmonių konkurencingumą ir atsparumą ekonomikos svyravimams.</w:t>
            </w:r>
            <w:r w:rsidR="000267C6" w:rsidRPr="00C32827">
              <w:rPr>
                <w:rFonts w:ascii="Times New Roman" w:eastAsia="Calibri" w:hAnsi="Times New Roman" w:cs="Times New Roman"/>
                <w:b/>
                <w:sz w:val="24"/>
                <w:szCs w:val="24"/>
              </w:rPr>
              <w:t xml:space="preserve"> Būtent toks ekonomikos modelis būtų atsparesnis galimiems šokams ateityje.</w:t>
            </w:r>
          </w:p>
          <w:p w:rsidR="007041A0" w:rsidRPr="00C32827" w:rsidRDefault="00B47B3D" w:rsidP="00883EDD">
            <w:pPr>
              <w:ind w:firstLine="624"/>
              <w:jc w:val="both"/>
              <w:rPr>
                <w:rFonts w:ascii="Times New Roman" w:eastAsia="Calibri" w:hAnsi="Times New Roman" w:cs="Times New Roman"/>
                <w:b/>
                <w:sz w:val="24"/>
                <w:szCs w:val="24"/>
              </w:rPr>
            </w:pPr>
            <w:r w:rsidRPr="00C32827">
              <w:rPr>
                <w:rFonts w:ascii="Times New Roman" w:eastAsia="Calibri" w:hAnsi="Times New Roman" w:cs="Times New Roman"/>
                <w:b/>
                <w:sz w:val="24"/>
                <w:szCs w:val="24"/>
              </w:rPr>
              <w:t>Kovojant su pandemija būtina išnaudoti MTEPI ir skaitmeninį konkurencingumą</w:t>
            </w:r>
            <w:r w:rsidR="002C2C20" w:rsidRPr="00C32827">
              <w:rPr>
                <w:rFonts w:ascii="Times New Roman" w:eastAsia="Calibri" w:hAnsi="Times New Roman" w:cs="Times New Roman"/>
                <w:b/>
                <w:sz w:val="24"/>
                <w:szCs w:val="24"/>
              </w:rPr>
              <w:t>. Dėl pandemijos metu įvestų apribojimų ir poreikio vengti fizinio kontakto išryškėjo sk</w:t>
            </w:r>
            <w:r w:rsidR="00537F36" w:rsidRPr="00C32827">
              <w:rPr>
                <w:rFonts w:ascii="Times New Roman" w:eastAsia="Calibri" w:hAnsi="Times New Roman" w:cs="Times New Roman"/>
                <w:b/>
                <w:sz w:val="24"/>
                <w:szCs w:val="24"/>
              </w:rPr>
              <w:t>aitmeninės ekonomikos trūkumas</w:t>
            </w:r>
            <w:r w:rsidR="002C2C20" w:rsidRPr="00C32827">
              <w:rPr>
                <w:rFonts w:ascii="Times New Roman" w:eastAsia="Calibri" w:hAnsi="Times New Roman" w:cs="Times New Roman"/>
                <w:b/>
                <w:sz w:val="24"/>
                <w:szCs w:val="24"/>
              </w:rPr>
              <w:t>. Ir verslui, ir valstybės sektoriui, ir gyventojams iškilo būtinyb</w:t>
            </w:r>
            <w:r w:rsidR="00306243" w:rsidRPr="00C32827">
              <w:rPr>
                <w:rFonts w:ascii="Times New Roman" w:eastAsia="Calibri" w:hAnsi="Times New Roman" w:cs="Times New Roman"/>
                <w:b/>
                <w:sz w:val="24"/>
                <w:szCs w:val="24"/>
              </w:rPr>
              <w:t>ė</w:t>
            </w:r>
            <w:r w:rsidR="002C2C20" w:rsidRPr="00C32827">
              <w:rPr>
                <w:rFonts w:ascii="Times New Roman" w:eastAsia="Calibri" w:hAnsi="Times New Roman" w:cs="Times New Roman"/>
                <w:b/>
                <w:sz w:val="24"/>
                <w:szCs w:val="24"/>
              </w:rPr>
              <w:t xml:space="preserve"> pereiti prie skaitmeninių sprendimų siekiant užtikrinti sklandžią tolesnę veiklą. </w:t>
            </w:r>
            <w:r w:rsidR="002E2225" w:rsidRPr="00C32827">
              <w:rPr>
                <w:rFonts w:ascii="Times New Roman" w:eastAsia="Calibri" w:hAnsi="Times New Roman" w:cs="Times New Roman"/>
                <w:b/>
                <w:sz w:val="24"/>
                <w:szCs w:val="24"/>
              </w:rPr>
              <w:t>Pasaulio ekonomikos forumas išskyrė skaitmeninės ekonomikos investicijas kaip esminę priemonę vyriausybėms, sieksiančioms paspartinti ekonomikos atsigavimą ir užtikrinti ilgalaikį šalies ekonomikos augimą. Europos Taryba Lietuvai rekomenduoja užtikrinti, kad priemonės, kuriomis skatinamas ekonomikos atsigavimas, būtų orientuotos į ateitį ir palengvintų skai</w:t>
            </w:r>
            <w:r w:rsidR="007041A0" w:rsidRPr="00C32827">
              <w:rPr>
                <w:rFonts w:ascii="Times New Roman" w:eastAsia="Calibri" w:hAnsi="Times New Roman" w:cs="Times New Roman"/>
                <w:b/>
                <w:sz w:val="24"/>
                <w:szCs w:val="24"/>
              </w:rPr>
              <w:t>tmeninę ir žaliąją pertvarką. Taip pat</w:t>
            </w:r>
            <w:r w:rsidR="002E2225" w:rsidRPr="00C32827">
              <w:rPr>
                <w:rFonts w:ascii="Times New Roman" w:eastAsia="Calibri" w:hAnsi="Times New Roman" w:cs="Times New Roman"/>
                <w:b/>
                <w:sz w:val="24"/>
                <w:szCs w:val="24"/>
              </w:rPr>
              <w:t xml:space="preserve"> rekomenduojama </w:t>
            </w:r>
            <w:r w:rsidR="007041A0" w:rsidRPr="00C32827">
              <w:rPr>
                <w:rFonts w:ascii="Times New Roman" w:eastAsia="Calibri" w:hAnsi="Times New Roman" w:cs="Times New Roman"/>
                <w:b/>
                <w:sz w:val="24"/>
                <w:szCs w:val="24"/>
              </w:rPr>
              <w:t xml:space="preserve">skatinti technologines </w:t>
            </w:r>
            <w:r w:rsidR="005C332C" w:rsidRPr="00C32827">
              <w:rPr>
                <w:rFonts w:ascii="Times New Roman" w:eastAsia="Calibri" w:hAnsi="Times New Roman" w:cs="Times New Roman"/>
                <w:b/>
                <w:sz w:val="24"/>
                <w:szCs w:val="24"/>
              </w:rPr>
              <w:t xml:space="preserve">ir netechnologines </w:t>
            </w:r>
            <w:r w:rsidR="007041A0" w:rsidRPr="00C32827">
              <w:rPr>
                <w:rFonts w:ascii="Times New Roman" w:eastAsia="Calibri" w:hAnsi="Times New Roman" w:cs="Times New Roman"/>
                <w:b/>
                <w:sz w:val="24"/>
                <w:szCs w:val="24"/>
              </w:rPr>
              <w:t xml:space="preserve">inovacijas </w:t>
            </w:r>
            <w:r w:rsidR="005C332C" w:rsidRPr="00C32827">
              <w:rPr>
                <w:rFonts w:ascii="Times New Roman" w:eastAsia="Calibri" w:hAnsi="Times New Roman" w:cs="Times New Roman"/>
                <w:b/>
                <w:sz w:val="24"/>
                <w:szCs w:val="24"/>
              </w:rPr>
              <w:t xml:space="preserve">labai mažose, </w:t>
            </w:r>
            <w:r w:rsidR="007041A0" w:rsidRPr="00C32827">
              <w:rPr>
                <w:rFonts w:ascii="Times New Roman" w:eastAsia="Calibri" w:hAnsi="Times New Roman" w:cs="Times New Roman"/>
                <w:b/>
                <w:sz w:val="24"/>
                <w:szCs w:val="24"/>
              </w:rPr>
              <w:t xml:space="preserve">mažose ir vidutinėse įmonėse. Investicijos į </w:t>
            </w:r>
            <w:r w:rsidR="005C332C" w:rsidRPr="00C32827">
              <w:rPr>
                <w:rFonts w:ascii="Times New Roman" w:eastAsia="Calibri" w:hAnsi="Times New Roman" w:cs="Times New Roman"/>
                <w:b/>
                <w:sz w:val="24"/>
                <w:szCs w:val="24"/>
              </w:rPr>
              <w:t xml:space="preserve">MPEP ir </w:t>
            </w:r>
            <w:r w:rsidR="007041A0" w:rsidRPr="00C32827">
              <w:rPr>
                <w:rFonts w:ascii="Times New Roman" w:eastAsia="Calibri" w:hAnsi="Times New Roman" w:cs="Times New Roman"/>
                <w:b/>
                <w:sz w:val="24"/>
                <w:szCs w:val="24"/>
              </w:rPr>
              <w:t>inovacijas</w:t>
            </w:r>
            <w:r w:rsidR="005C332C" w:rsidRPr="00C32827">
              <w:rPr>
                <w:rFonts w:ascii="Times New Roman" w:eastAsia="Calibri" w:hAnsi="Times New Roman" w:cs="Times New Roman"/>
                <w:b/>
                <w:sz w:val="24"/>
                <w:szCs w:val="24"/>
              </w:rPr>
              <w:t xml:space="preserve">, į kovai su COVID-19 būtinų produktų gamybą prisidės prie įmonių </w:t>
            </w:r>
            <w:r w:rsidR="007041A0" w:rsidRPr="00C32827">
              <w:rPr>
                <w:rFonts w:ascii="Times New Roman" w:eastAsia="Calibri" w:hAnsi="Times New Roman" w:cs="Times New Roman"/>
                <w:b/>
                <w:sz w:val="24"/>
                <w:szCs w:val="24"/>
              </w:rPr>
              <w:t>gamybos produktyvum</w:t>
            </w:r>
            <w:r w:rsidR="005C332C" w:rsidRPr="00C32827">
              <w:rPr>
                <w:rFonts w:ascii="Times New Roman" w:eastAsia="Calibri" w:hAnsi="Times New Roman" w:cs="Times New Roman"/>
                <w:b/>
                <w:sz w:val="24"/>
                <w:szCs w:val="24"/>
              </w:rPr>
              <w:t>o augimo</w:t>
            </w:r>
            <w:r w:rsidR="0089677D">
              <w:rPr>
                <w:rFonts w:ascii="Times New Roman" w:eastAsia="Calibri" w:hAnsi="Times New Roman" w:cs="Times New Roman"/>
                <w:b/>
                <w:sz w:val="24"/>
                <w:szCs w:val="24"/>
              </w:rPr>
              <w:t>.</w:t>
            </w:r>
          </w:p>
          <w:p w:rsidR="007041A0" w:rsidRPr="00C32827" w:rsidRDefault="00537F36" w:rsidP="00857424">
            <w:pPr>
              <w:ind w:firstLine="624"/>
              <w:jc w:val="both"/>
              <w:rPr>
                <w:rFonts w:ascii="Times New Roman" w:eastAsia="Calibri" w:hAnsi="Times New Roman" w:cs="Times New Roman"/>
                <w:b/>
                <w:sz w:val="24"/>
                <w:szCs w:val="24"/>
              </w:rPr>
            </w:pPr>
            <w:r w:rsidRPr="00C32827">
              <w:rPr>
                <w:rFonts w:ascii="Times New Roman" w:eastAsia="Calibri" w:hAnsi="Times New Roman" w:cs="Times New Roman"/>
                <w:b/>
                <w:sz w:val="24"/>
                <w:szCs w:val="24"/>
              </w:rPr>
              <w:t>M</w:t>
            </w:r>
            <w:r w:rsidR="00306243" w:rsidRPr="00C32827">
              <w:rPr>
                <w:rFonts w:ascii="Times New Roman" w:eastAsia="Calibri" w:hAnsi="Times New Roman" w:cs="Times New Roman"/>
                <w:b/>
                <w:sz w:val="24"/>
                <w:szCs w:val="24"/>
              </w:rPr>
              <w:t>okslinių tyrimų ir eksperimentinės plėtros veiklo</w:t>
            </w:r>
            <w:r w:rsidR="0055079D" w:rsidRPr="00C32827">
              <w:rPr>
                <w:rFonts w:ascii="Times New Roman" w:eastAsia="Calibri" w:hAnsi="Times New Roman" w:cs="Times New Roman"/>
                <w:b/>
                <w:sz w:val="24"/>
                <w:szCs w:val="24"/>
              </w:rPr>
              <w:t>s</w:t>
            </w:r>
            <w:r w:rsidRPr="00C32827">
              <w:rPr>
                <w:rFonts w:ascii="Times New Roman" w:eastAsia="Calibri" w:hAnsi="Times New Roman" w:cs="Times New Roman"/>
                <w:b/>
                <w:sz w:val="24"/>
                <w:szCs w:val="24"/>
              </w:rPr>
              <w:t xml:space="preserve"> lygis vis dar išlieka žemas, s</w:t>
            </w:r>
            <w:r w:rsidR="0055079D" w:rsidRPr="00C32827">
              <w:rPr>
                <w:rFonts w:ascii="Times New Roman" w:eastAsia="Calibri" w:hAnsi="Times New Roman" w:cs="Times New Roman"/>
                <w:b/>
                <w:sz w:val="24"/>
                <w:szCs w:val="24"/>
              </w:rPr>
              <w:t xml:space="preserve">iekiant didinti reikiamus MTEPI pajėgumus, investicijos bus orientuojamos į verslo </w:t>
            </w:r>
            <w:r w:rsidRPr="00C32827">
              <w:rPr>
                <w:rFonts w:ascii="Times New Roman" w:eastAsia="Calibri" w:hAnsi="Times New Roman" w:cs="Times New Roman"/>
                <w:b/>
                <w:sz w:val="24"/>
                <w:szCs w:val="24"/>
              </w:rPr>
              <w:t>MTEPI skatinimą</w:t>
            </w:r>
            <w:r w:rsidR="0055079D" w:rsidRPr="00C32827">
              <w:rPr>
                <w:rFonts w:ascii="Times New Roman" w:eastAsia="Calibri" w:hAnsi="Times New Roman" w:cs="Times New Roman"/>
                <w:b/>
                <w:sz w:val="24"/>
                <w:szCs w:val="24"/>
              </w:rPr>
              <w:t xml:space="preserve">, </w:t>
            </w:r>
            <w:r w:rsidR="00857424" w:rsidRPr="00C32827">
              <w:rPr>
                <w:rFonts w:ascii="Times New Roman" w:eastAsia="Calibri" w:hAnsi="Times New Roman" w:cs="Times New Roman"/>
                <w:b/>
                <w:sz w:val="24"/>
                <w:szCs w:val="24"/>
              </w:rPr>
              <w:t>mokslo ir verslo bendradarbiav</w:t>
            </w:r>
            <w:r w:rsidRPr="00C32827">
              <w:rPr>
                <w:rFonts w:ascii="Times New Roman" w:eastAsia="Calibri" w:hAnsi="Times New Roman" w:cs="Times New Roman"/>
                <w:b/>
                <w:sz w:val="24"/>
                <w:szCs w:val="24"/>
              </w:rPr>
              <w:t>imo didinimą.</w:t>
            </w:r>
          </w:p>
          <w:p w:rsidR="00537F36" w:rsidRPr="005D292B" w:rsidRDefault="003D35F0" w:rsidP="005D292B">
            <w:pPr>
              <w:ind w:firstLine="624"/>
              <w:jc w:val="both"/>
              <w:rPr>
                <w:rFonts w:ascii="Times New Roman" w:eastAsia="Calibri" w:hAnsi="Times New Roman" w:cs="Times New Roman"/>
                <w:sz w:val="24"/>
                <w:szCs w:val="24"/>
              </w:rPr>
            </w:pPr>
            <w:r w:rsidRPr="005740FF">
              <w:rPr>
                <w:rFonts w:ascii="Times New Roman" w:eastAsia="Calibri" w:hAnsi="Times New Roman" w:cs="Times New Roman"/>
                <w:b/>
                <w:sz w:val="24"/>
                <w:szCs w:val="24"/>
              </w:rPr>
              <w:t>Atsižvelgiant į gyventojų senėjimą bei poreikį efektyviai mažinti šio reiškinio sukeliamas visuomenės sveikatos, socialines ir ekonomines problemas, bus kuriamos bei diegiamos mokslo įrodymais pagrįstos inovacijos lėtinių ligų, ypač onkologinių, širdies ir kraujagyslių ligų diagnostikos ir gydymo srityse. Investicijos į pažangias, mažiau invazines šiuolaikines diagnostikos ir gydymo technologijas bei modernią infrastruktūrą sudarys sąlygas užtikrinti naujausių ir kokybiškų gydymo metodų prieinamumą Lietuvos pacientams, padidins jų išgyvenamumo galimybes, leis pritaikyti mokslo pasiekimus lėtinių ligų diagnozavimo ir gydymo optimizavimui, racionaliau naudoti turimus resursus užtikrinant šiuolaikinį ir saugų teikiamų paslaugų lygį</w:t>
            </w:r>
            <w:r w:rsidR="00923DA7" w:rsidRPr="005740FF">
              <w:rPr>
                <w:rFonts w:ascii="Times New Roman" w:eastAsia="Calibri" w:hAnsi="Times New Roman" w:cs="Times New Roman"/>
                <w:b/>
                <w:sz w:val="24"/>
                <w:szCs w:val="24"/>
              </w:rPr>
              <w:t>, ypač pandemijos ar kitu kriziniu laikotarpiu</w:t>
            </w:r>
            <w:r w:rsidRPr="005740FF">
              <w:rPr>
                <w:rFonts w:ascii="Times New Roman" w:eastAsia="Calibri" w:hAnsi="Times New Roman" w:cs="Times New Roman"/>
                <w:b/>
                <w:sz w:val="24"/>
                <w:szCs w:val="24"/>
              </w:rPr>
              <w:t>.</w:t>
            </w:r>
          </w:p>
        </w:tc>
      </w:tr>
    </w:tbl>
    <w:p w:rsidR="00834115" w:rsidRDefault="00834115" w:rsidP="00834115">
      <w:pPr>
        <w:widowControl w:val="0"/>
        <w:jc w:val="both"/>
        <w:textAlignment w:val="baseline"/>
        <w:rPr>
          <w:rFonts w:ascii="Times New Roman" w:hAnsi="Times New Roman" w:cs="Times New Roman"/>
          <w:i/>
          <w:color w:val="000000"/>
          <w:sz w:val="24"/>
          <w:szCs w:val="24"/>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560"/>
        <w:gridCol w:w="1134"/>
        <w:gridCol w:w="1134"/>
        <w:gridCol w:w="850"/>
        <w:gridCol w:w="992"/>
        <w:gridCol w:w="851"/>
        <w:gridCol w:w="1417"/>
        <w:gridCol w:w="1241"/>
      </w:tblGrid>
      <w:tr w:rsidR="00BB3B93" w:rsidRPr="00356CFB" w:rsidTr="00C358DA">
        <w:trPr>
          <w:tblHeader/>
        </w:trPr>
        <w:tc>
          <w:tcPr>
            <w:tcW w:w="9746" w:type="dxa"/>
            <w:gridSpan w:val="9"/>
            <w:shd w:val="clear" w:color="auto" w:fill="EEECE1"/>
          </w:tcPr>
          <w:p w:rsidR="00BB3B93" w:rsidRPr="00C32827" w:rsidRDefault="00BB3B93" w:rsidP="00C358DA">
            <w:pPr>
              <w:widowControl w:val="0"/>
              <w:tabs>
                <w:tab w:val="left" w:pos="622"/>
              </w:tabs>
              <w:jc w:val="both"/>
              <w:rPr>
                <w:rFonts w:ascii="Times New Roman" w:eastAsia="AngsanaUPC" w:hAnsi="Times New Roman" w:cs="Times New Roman"/>
                <w:b/>
                <w:bCs/>
                <w:i/>
                <w:iCs/>
                <w:sz w:val="18"/>
                <w:szCs w:val="18"/>
                <w:lang w:eastAsia="lt-LT"/>
              </w:rPr>
            </w:pPr>
            <w:r w:rsidRPr="00C32827">
              <w:rPr>
                <w:rFonts w:ascii="Times New Roman" w:eastAsia="AngsanaUPC" w:hAnsi="Times New Roman" w:cs="Times New Roman"/>
                <w:b/>
                <w:bCs/>
                <w:i/>
                <w:iCs/>
                <w:sz w:val="18"/>
                <w:szCs w:val="18"/>
                <w:lang w:eastAsia="lt-LT"/>
              </w:rPr>
              <w:t>ERPF specialieji programos rezultato rodikliai</w:t>
            </w:r>
          </w:p>
        </w:tc>
      </w:tr>
      <w:tr w:rsidR="00BB3B93" w:rsidRPr="00356CFB" w:rsidTr="00C358DA">
        <w:tblPrEx>
          <w:shd w:val="clear" w:color="auto" w:fill="auto"/>
        </w:tblPrEx>
        <w:trPr>
          <w:trHeight w:val="868"/>
          <w:tblHeader/>
        </w:trPr>
        <w:tc>
          <w:tcPr>
            <w:tcW w:w="567" w:type="dxa"/>
            <w:shd w:val="clear" w:color="auto" w:fill="EEECE1"/>
            <w:vAlign w:val="center"/>
          </w:tcPr>
          <w:p w:rsidR="00BB3B93" w:rsidRPr="00356CFB"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356CFB">
              <w:rPr>
                <w:rFonts w:ascii="Times New Roman" w:eastAsia="AngsanaUPC" w:hAnsi="Times New Roman" w:cs="Times New Roman"/>
                <w:b/>
                <w:bCs/>
                <w:iCs/>
                <w:sz w:val="18"/>
                <w:szCs w:val="18"/>
                <w:lang w:eastAsia="lt-LT"/>
              </w:rPr>
              <w:t>Nr.</w:t>
            </w:r>
          </w:p>
        </w:tc>
        <w:tc>
          <w:tcPr>
            <w:tcW w:w="1560" w:type="dxa"/>
            <w:shd w:val="clear" w:color="auto" w:fill="EEECE1"/>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Rodiklio pavadinimas</w:t>
            </w:r>
          </w:p>
        </w:tc>
        <w:tc>
          <w:tcPr>
            <w:tcW w:w="1134" w:type="dxa"/>
            <w:shd w:val="clear" w:color="auto" w:fill="EEECE1"/>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Matavimo vienetas</w:t>
            </w:r>
          </w:p>
        </w:tc>
        <w:tc>
          <w:tcPr>
            <w:tcW w:w="1134" w:type="dxa"/>
            <w:shd w:val="clear" w:color="auto" w:fill="EEECE1"/>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Regiono kategorija</w:t>
            </w:r>
          </w:p>
        </w:tc>
        <w:tc>
          <w:tcPr>
            <w:tcW w:w="850" w:type="dxa"/>
            <w:shd w:val="clear" w:color="auto" w:fill="EEECE1"/>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Pradinė reikšmė</w:t>
            </w:r>
          </w:p>
        </w:tc>
        <w:tc>
          <w:tcPr>
            <w:tcW w:w="992" w:type="dxa"/>
            <w:shd w:val="clear" w:color="auto" w:fill="EEECE1"/>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Pradinės reikšmės metai</w:t>
            </w:r>
          </w:p>
        </w:tc>
        <w:tc>
          <w:tcPr>
            <w:tcW w:w="851" w:type="dxa"/>
            <w:shd w:val="clear" w:color="auto" w:fill="EEECE1"/>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 xml:space="preserve">Siektina reikšmė (2023 </w:t>
            </w:r>
            <w:proofErr w:type="gramStart"/>
            <w:r w:rsidRPr="00C32827">
              <w:rPr>
                <w:rFonts w:ascii="Times New Roman" w:eastAsia="AngsanaUPC" w:hAnsi="Times New Roman" w:cs="Times New Roman"/>
                <w:b/>
                <w:bCs/>
                <w:iCs/>
                <w:sz w:val="18"/>
                <w:szCs w:val="18"/>
                <w:lang w:eastAsia="lt-LT"/>
              </w:rPr>
              <w:t>m. )</w:t>
            </w:r>
            <w:proofErr w:type="gramEnd"/>
          </w:p>
        </w:tc>
        <w:tc>
          <w:tcPr>
            <w:tcW w:w="1417" w:type="dxa"/>
            <w:shd w:val="clear" w:color="auto" w:fill="EEECE1"/>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Duomenų šaltinis</w:t>
            </w:r>
          </w:p>
        </w:tc>
        <w:tc>
          <w:tcPr>
            <w:tcW w:w="1241" w:type="dxa"/>
            <w:shd w:val="clear" w:color="auto" w:fill="EEECE1"/>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Atsiskaitymo dažnumas</w:t>
            </w:r>
          </w:p>
        </w:tc>
      </w:tr>
      <w:tr w:rsidR="00BB3B93" w:rsidRPr="00356CFB" w:rsidTr="00C358DA">
        <w:tblPrEx>
          <w:shd w:val="clear" w:color="auto" w:fill="auto"/>
        </w:tblPrEx>
        <w:trPr>
          <w:trHeight w:val="187"/>
        </w:trPr>
        <w:tc>
          <w:tcPr>
            <w:tcW w:w="567"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val="en-US" w:eastAsia="lt-LT"/>
              </w:rPr>
            </w:pPr>
            <w:r w:rsidRPr="00C32827">
              <w:rPr>
                <w:rFonts w:ascii="Times New Roman" w:eastAsia="AngsanaUPC" w:hAnsi="Times New Roman" w:cs="Times New Roman"/>
                <w:b/>
                <w:bCs/>
                <w:iCs/>
                <w:sz w:val="18"/>
                <w:szCs w:val="18"/>
                <w:lang w:val="en-US" w:eastAsia="lt-LT"/>
              </w:rPr>
              <w:t>1.</w:t>
            </w:r>
          </w:p>
        </w:tc>
        <w:tc>
          <w:tcPr>
            <w:tcW w:w="1560" w:type="dxa"/>
            <w:shd w:val="clear" w:color="auto" w:fill="auto"/>
            <w:vAlign w:val="center"/>
          </w:tcPr>
          <w:p w:rsidR="00BB3B93" w:rsidRPr="00C32827" w:rsidRDefault="00BB3B93" w:rsidP="00C358DA">
            <w:pPr>
              <w:autoSpaceDE w:val="0"/>
              <w:autoSpaceDN w:val="0"/>
              <w:adjustRightInd w:val="0"/>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Ūkio subjektų finansuota mokslo ir studijų institucijų MTEP išlaidų dalis nuo visų išlaidų</w:t>
            </w:r>
          </w:p>
        </w:tc>
        <w:tc>
          <w:tcPr>
            <w:tcW w:w="1134" w:type="dxa"/>
            <w:shd w:val="clear" w:color="auto" w:fill="auto"/>
            <w:vAlign w:val="center"/>
          </w:tcPr>
          <w:p w:rsidR="00BB3B93" w:rsidRPr="00C32827" w:rsidRDefault="00BB3B93" w:rsidP="00C358DA">
            <w:pPr>
              <w:widowControl w:val="0"/>
              <w:tabs>
                <w:tab w:val="left" w:pos="622"/>
              </w:tabs>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Proc.</w:t>
            </w:r>
          </w:p>
        </w:tc>
        <w:tc>
          <w:tcPr>
            <w:tcW w:w="1134"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Mažiau išsivystę</w:t>
            </w:r>
            <w:r w:rsidR="00CF34B4">
              <w:rPr>
                <w:rFonts w:ascii="Times New Roman" w:eastAsia="AngsanaUPC" w:hAnsi="Times New Roman" w:cs="Times New Roman"/>
                <w:b/>
                <w:bCs/>
                <w:iCs/>
                <w:sz w:val="18"/>
                <w:szCs w:val="18"/>
                <w:lang w:eastAsia="lt-LT"/>
              </w:rPr>
              <w:t>s</w:t>
            </w:r>
          </w:p>
        </w:tc>
        <w:tc>
          <w:tcPr>
            <w:tcW w:w="850" w:type="dxa"/>
            <w:shd w:val="clear" w:color="auto" w:fill="auto"/>
            <w:vAlign w:val="center"/>
          </w:tcPr>
          <w:p w:rsidR="00BB3B93" w:rsidRPr="00C32827" w:rsidRDefault="00AB760D" w:rsidP="00C358DA">
            <w:pPr>
              <w:widowControl w:val="0"/>
              <w:tabs>
                <w:tab w:val="left" w:pos="622"/>
              </w:tabs>
              <w:jc w:val="center"/>
              <w:rPr>
                <w:rFonts w:ascii="Times New Roman" w:hAnsi="Times New Roman" w:cs="Times New Roman"/>
                <w:b/>
                <w:sz w:val="18"/>
                <w:szCs w:val="18"/>
                <w:lang w:eastAsia="lt-LT"/>
              </w:rPr>
            </w:pPr>
            <w:r>
              <w:rPr>
                <w:rFonts w:ascii="Times New Roman" w:hAnsi="Times New Roman" w:cs="Times New Roman"/>
                <w:b/>
                <w:sz w:val="18"/>
                <w:szCs w:val="18"/>
                <w:lang w:eastAsia="lt-LT"/>
              </w:rPr>
              <w:t>2,8</w:t>
            </w:r>
          </w:p>
        </w:tc>
        <w:tc>
          <w:tcPr>
            <w:tcW w:w="992" w:type="dxa"/>
            <w:shd w:val="clear" w:color="auto" w:fill="auto"/>
            <w:vAlign w:val="center"/>
          </w:tcPr>
          <w:p w:rsidR="00BB3B93" w:rsidRPr="00C32827" w:rsidRDefault="00AB760D" w:rsidP="00C358DA">
            <w:pPr>
              <w:widowControl w:val="0"/>
              <w:tabs>
                <w:tab w:val="left" w:pos="622"/>
              </w:tabs>
              <w:jc w:val="center"/>
              <w:rPr>
                <w:rFonts w:ascii="Times New Roman" w:eastAsia="AngsanaUPC" w:hAnsi="Times New Roman" w:cs="Times New Roman"/>
                <w:b/>
                <w:bCs/>
                <w:iCs/>
                <w:sz w:val="18"/>
                <w:szCs w:val="18"/>
                <w:lang w:eastAsia="lt-LT"/>
              </w:rPr>
            </w:pPr>
            <w:r>
              <w:rPr>
                <w:rFonts w:ascii="Times New Roman" w:eastAsia="AngsanaUPC" w:hAnsi="Times New Roman" w:cs="Times New Roman"/>
                <w:b/>
                <w:bCs/>
                <w:iCs/>
                <w:sz w:val="18"/>
                <w:szCs w:val="18"/>
                <w:lang w:eastAsia="lt-LT"/>
              </w:rPr>
              <w:t>2019</w:t>
            </w:r>
          </w:p>
        </w:tc>
        <w:tc>
          <w:tcPr>
            <w:tcW w:w="851" w:type="dxa"/>
            <w:shd w:val="clear" w:color="auto" w:fill="auto"/>
            <w:vAlign w:val="center"/>
          </w:tcPr>
          <w:p w:rsidR="00BB3B93" w:rsidRPr="00C32827" w:rsidRDefault="00BB3B93" w:rsidP="00C358DA">
            <w:pPr>
              <w:widowControl w:val="0"/>
              <w:tabs>
                <w:tab w:val="left" w:pos="622"/>
              </w:tabs>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7</w:t>
            </w:r>
          </w:p>
        </w:tc>
        <w:tc>
          <w:tcPr>
            <w:tcW w:w="1417"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Lietuvos statistikos departamentas</w:t>
            </w:r>
          </w:p>
        </w:tc>
        <w:tc>
          <w:tcPr>
            <w:tcW w:w="1241"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Kartą per metus</w:t>
            </w:r>
          </w:p>
        </w:tc>
      </w:tr>
      <w:tr w:rsidR="00BB3B93" w:rsidRPr="00356CFB" w:rsidTr="00C358DA">
        <w:tblPrEx>
          <w:shd w:val="clear" w:color="auto" w:fill="auto"/>
        </w:tblPrEx>
        <w:trPr>
          <w:trHeight w:val="187"/>
        </w:trPr>
        <w:tc>
          <w:tcPr>
            <w:tcW w:w="567" w:type="dxa"/>
            <w:shd w:val="clear" w:color="auto" w:fill="auto"/>
            <w:vAlign w:val="center"/>
          </w:tcPr>
          <w:p w:rsidR="00BB3B93" w:rsidRPr="00C32827" w:rsidRDefault="005D292B" w:rsidP="00C358DA">
            <w:pPr>
              <w:widowControl w:val="0"/>
              <w:tabs>
                <w:tab w:val="left" w:pos="622"/>
              </w:tabs>
              <w:jc w:val="center"/>
              <w:rPr>
                <w:rFonts w:ascii="Times New Roman" w:eastAsia="AngsanaUPC" w:hAnsi="Times New Roman" w:cs="Times New Roman"/>
                <w:b/>
                <w:bCs/>
                <w:iCs/>
                <w:sz w:val="18"/>
                <w:szCs w:val="18"/>
                <w:lang w:val="en-US" w:eastAsia="lt-LT"/>
              </w:rPr>
            </w:pPr>
            <w:r w:rsidRPr="00C32827">
              <w:rPr>
                <w:rFonts w:ascii="Times New Roman" w:eastAsia="AngsanaUPC" w:hAnsi="Times New Roman" w:cs="Times New Roman"/>
                <w:b/>
                <w:bCs/>
                <w:iCs/>
                <w:sz w:val="18"/>
                <w:szCs w:val="18"/>
                <w:lang w:val="en-US" w:eastAsia="lt-LT"/>
              </w:rPr>
              <w:t>2.</w:t>
            </w:r>
          </w:p>
        </w:tc>
        <w:tc>
          <w:tcPr>
            <w:tcW w:w="1560" w:type="dxa"/>
            <w:shd w:val="clear" w:color="auto" w:fill="auto"/>
            <w:vAlign w:val="center"/>
          </w:tcPr>
          <w:p w:rsidR="00BB3B93" w:rsidRPr="00C32827" w:rsidRDefault="00BB3B93" w:rsidP="00C358DA">
            <w:pPr>
              <w:autoSpaceDE w:val="0"/>
              <w:autoSpaceDN w:val="0"/>
              <w:adjustRightInd w:val="0"/>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Verslo sektoriaus išlaidos MTEP, tenkančios vienam gyventojui</w:t>
            </w:r>
          </w:p>
        </w:tc>
        <w:tc>
          <w:tcPr>
            <w:tcW w:w="1134" w:type="dxa"/>
            <w:shd w:val="clear" w:color="auto" w:fill="auto"/>
            <w:vAlign w:val="center"/>
          </w:tcPr>
          <w:p w:rsidR="00BB3B93" w:rsidRPr="00C32827" w:rsidRDefault="00BB3B93" w:rsidP="00C358DA">
            <w:pPr>
              <w:widowControl w:val="0"/>
              <w:tabs>
                <w:tab w:val="left" w:pos="622"/>
              </w:tabs>
              <w:jc w:val="center"/>
              <w:rPr>
                <w:rFonts w:ascii="Times New Roman" w:hAnsi="Times New Roman" w:cs="Times New Roman"/>
                <w:b/>
                <w:sz w:val="18"/>
                <w:szCs w:val="18"/>
                <w:lang w:val="en-US" w:eastAsia="lt-LT"/>
              </w:rPr>
            </w:pPr>
            <w:r w:rsidRPr="00C32827">
              <w:rPr>
                <w:rFonts w:ascii="Times New Roman" w:hAnsi="Times New Roman" w:cs="Times New Roman"/>
                <w:b/>
                <w:sz w:val="18"/>
                <w:szCs w:val="18"/>
                <w:lang w:eastAsia="lt-LT"/>
              </w:rPr>
              <w:t>Eurai</w:t>
            </w:r>
          </w:p>
        </w:tc>
        <w:tc>
          <w:tcPr>
            <w:tcW w:w="1134"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Mažiau išsivystę</w:t>
            </w:r>
            <w:r w:rsidR="00CF34B4">
              <w:rPr>
                <w:rFonts w:ascii="Times New Roman" w:eastAsia="AngsanaUPC" w:hAnsi="Times New Roman" w:cs="Times New Roman"/>
                <w:b/>
                <w:bCs/>
                <w:iCs/>
                <w:sz w:val="18"/>
                <w:szCs w:val="18"/>
                <w:lang w:eastAsia="lt-LT"/>
              </w:rPr>
              <w:t>s</w:t>
            </w:r>
          </w:p>
        </w:tc>
        <w:tc>
          <w:tcPr>
            <w:tcW w:w="850" w:type="dxa"/>
            <w:shd w:val="clear" w:color="auto" w:fill="auto"/>
            <w:vAlign w:val="center"/>
          </w:tcPr>
          <w:p w:rsidR="00BB3B93" w:rsidRPr="00C32827" w:rsidRDefault="00AB760D" w:rsidP="00C358DA">
            <w:pPr>
              <w:widowControl w:val="0"/>
              <w:tabs>
                <w:tab w:val="left" w:pos="622"/>
              </w:tabs>
              <w:jc w:val="center"/>
              <w:rPr>
                <w:rFonts w:ascii="Times New Roman" w:hAnsi="Times New Roman" w:cs="Times New Roman"/>
                <w:b/>
                <w:sz w:val="18"/>
                <w:szCs w:val="18"/>
                <w:lang w:eastAsia="lt-LT"/>
              </w:rPr>
            </w:pPr>
            <w:r>
              <w:rPr>
                <w:rFonts w:ascii="Times New Roman" w:hAnsi="Times New Roman" w:cs="Times New Roman"/>
                <w:b/>
                <w:sz w:val="18"/>
                <w:szCs w:val="18"/>
                <w:lang w:eastAsia="lt-LT"/>
              </w:rPr>
              <w:t>53</w:t>
            </w:r>
          </w:p>
        </w:tc>
        <w:tc>
          <w:tcPr>
            <w:tcW w:w="992" w:type="dxa"/>
            <w:shd w:val="clear" w:color="auto" w:fill="auto"/>
            <w:vAlign w:val="center"/>
          </w:tcPr>
          <w:p w:rsidR="00BB3B93" w:rsidRPr="00C32827" w:rsidRDefault="00AB760D" w:rsidP="00C358DA">
            <w:pPr>
              <w:widowControl w:val="0"/>
              <w:tabs>
                <w:tab w:val="left" w:pos="622"/>
              </w:tabs>
              <w:jc w:val="center"/>
              <w:rPr>
                <w:rFonts w:ascii="Times New Roman" w:eastAsia="AngsanaUPC" w:hAnsi="Times New Roman" w:cs="Times New Roman"/>
                <w:b/>
                <w:bCs/>
                <w:iCs/>
                <w:sz w:val="18"/>
                <w:szCs w:val="18"/>
                <w:lang w:eastAsia="lt-LT"/>
              </w:rPr>
            </w:pPr>
            <w:r>
              <w:rPr>
                <w:rFonts w:ascii="Times New Roman" w:eastAsia="AngsanaUPC" w:hAnsi="Times New Roman" w:cs="Times New Roman"/>
                <w:b/>
                <w:bCs/>
                <w:iCs/>
                <w:sz w:val="18"/>
                <w:szCs w:val="18"/>
                <w:lang w:eastAsia="lt-LT"/>
              </w:rPr>
              <w:t>2018</w:t>
            </w:r>
          </w:p>
        </w:tc>
        <w:tc>
          <w:tcPr>
            <w:tcW w:w="851" w:type="dxa"/>
            <w:shd w:val="clear" w:color="auto" w:fill="auto"/>
            <w:vAlign w:val="center"/>
          </w:tcPr>
          <w:p w:rsidR="00BB3B93" w:rsidRPr="00C32827" w:rsidRDefault="00BB3B93" w:rsidP="00C358DA">
            <w:pPr>
              <w:widowControl w:val="0"/>
              <w:tabs>
                <w:tab w:val="left" w:pos="622"/>
              </w:tabs>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60,70</w:t>
            </w:r>
          </w:p>
        </w:tc>
        <w:tc>
          <w:tcPr>
            <w:tcW w:w="1417"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Eurostatas</w:t>
            </w:r>
          </w:p>
        </w:tc>
        <w:tc>
          <w:tcPr>
            <w:tcW w:w="1241"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Kartą per metus</w:t>
            </w:r>
          </w:p>
        </w:tc>
      </w:tr>
      <w:tr w:rsidR="00BB3B93" w:rsidRPr="00356CFB" w:rsidTr="00C358DA">
        <w:tblPrEx>
          <w:shd w:val="clear" w:color="auto" w:fill="auto"/>
        </w:tblPrEx>
        <w:trPr>
          <w:trHeight w:val="187"/>
        </w:trPr>
        <w:tc>
          <w:tcPr>
            <w:tcW w:w="567" w:type="dxa"/>
            <w:shd w:val="clear" w:color="auto" w:fill="auto"/>
            <w:vAlign w:val="center"/>
          </w:tcPr>
          <w:p w:rsidR="00BB3B93" w:rsidRPr="00C32827" w:rsidRDefault="005D292B" w:rsidP="00C358DA">
            <w:pPr>
              <w:widowControl w:val="0"/>
              <w:tabs>
                <w:tab w:val="left" w:pos="622"/>
              </w:tabs>
              <w:jc w:val="center"/>
              <w:rPr>
                <w:rFonts w:ascii="Times New Roman" w:eastAsia="AngsanaUPC" w:hAnsi="Times New Roman" w:cs="Times New Roman"/>
                <w:b/>
                <w:bCs/>
                <w:iCs/>
                <w:sz w:val="18"/>
                <w:szCs w:val="18"/>
                <w:lang w:val="en-US" w:eastAsia="lt-LT"/>
              </w:rPr>
            </w:pPr>
            <w:r w:rsidRPr="00C32827">
              <w:rPr>
                <w:rFonts w:ascii="Times New Roman" w:eastAsia="AngsanaUPC" w:hAnsi="Times New Roman" w:cs="Times New Roman"/>
                <w:b/>
                <w:bCs/>
                <w:iCs/>
                <w:sz w:val="18"/>
                <w:szCs w:val="18"/>
                <w:lang w:val="en-US" w:eastAsia="lt-LT"/>
              </w:rPr>
              <w:t>3.</w:t>
            </w:r>
          </w:p>
        </w:tc>
        <w:tc>
          <w:tcPr>
            <w:tcW w:w="1560" w:type="dxa"/>
            <w:shd w:val="clear" w:color="auto" w:fill="auto"/>
            <w:vAlign w:val="center"/>
          </w:tcPr>
          <w:p w:rsidR="00BB3B93" w:rsidRPr="00C32827" w:rsidRDefault="00BB3B93" w:rsidP="00C358DA">
            <w:pPr>
              <w:autoSpaceDE w:val="0"/>
              <w:autoSpaceDN w:val="0"/>
              <w:adjustRightInd w:val="0"/>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Pridėtinė vertė gamybos sąnaudomis, sukurta MVĮ, tenkanti vienam darbuotojui</w:t>
            </w:r>
            <w:r w:rsidRPr="00C32827">
              <w:rPr>
                <w:rFonts w:ascii="Times New Roman" w:hAnsi="Times New Roman" w:cs="Times New Roman"/>
                <w:b/>
                <w:sz w:val="18"/>
                <w:szCs w:val="18"/>
                <w:vertAlign w:val="superscript"/>
                <w:lang w:eastAsia="lt-LT"/>
              </w:rPr>
              <w:t>1</w:t>
            </w:r>
          </w:p>
        </w:tc>
        <w:tc>
          <w:tcPr>
            <w:tcW w:w="1134" w:type="dxa"/>
            <w:shd w:val="clear" w:color="auto" w:fill="auto"/>
            <w:vAlign w:val="center"/>
          </w:tcPr>
          <w:p w:rsidR="00BB3B93" w:rsidRPr="00C32827" w:rsidRDefault="005D292B" w:rsidP="00C358DA">
            <w:pPr>
              <w:autoSpaceDE w:val="0"/>
              <w:autoSpaceDN w:val="0"/>
              <w:adjustRightInd w:val="0"/>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Eurai</w:t>
            </w:r>
            <w:r w:rsidR="00BB3B93" w:rsidRPr="00C32827">
              <w:rPr>
                <w:rFonts w:ascii="Times New Roman" w:hAnsi="Times New Roman" w:cs="Times New Roman"/>
                <w:b/>
                <w:sz w:val="18"/>
                <w:szCs w:val="18"/>
                <w:lang w:eastAsia="lt-LT"/>
              </w:rPr>
              <w:t xml:space="preserve"> per</w:t>
            </w:r>
          </w:p>
          <w:p w:rsidR="00BB3B93" w:rsidRPr="00C32827" w:rsidRDefault="00BB3B93" w:rsidP="00C358DA">
            <w:pPr>
              <w:widowControl w:val="0"/>
              <w:tabs>
                <w:tab w:val="left" w:pos="622"/>
              </w:tabs>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metus</w:t>
            </w:r>
          </w:p>
        </w:tc>
        <w:tc>
          <w:tcPr>
            <w:tcW w:w="1134"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Mažiau išsivystę</w:t>
            </w:r>
            <w:r w:rsidR="00CF34B4">
              <w:rPr>
                <w:rFonts w:ascii="Times New Roman" w:eastAsia="AngsanaUPC" w:hAnsi="Times New Roman" w:cs="Times New Roman"/>
                <w:b/>
                <w:bCs/>
                <w:iCs/>
                <w:sz w:val="18"/>
                <w:szCs w:val="18"/>
                <w:lang w:eastAsia="lt-LT"/>
              </w:rPr>
              <w:t>s</w:t>
            </w:r>
          </w:p>
        </w:tc>
        <w:tc>
          <w:tcPr>
            <w:tcW w:w="850" w:type="dxa"/>
            <w:shd w:val="clear" w:color="auto" w:fill="auto"/>
            <w:vAlign w:val="center"/>
          </w:tcPr>
          <w:p w:rsidR="00BB3B93" w:rsidRPr="00C32827" w:rsidRDefault="00AB760D" w:rsidP="00C358DA">
            <w:pPr>
              <w:widowControl w:val="0"/>
              <w:tabs>
                <w:tab w:val="left" w:pos="622"/>
              </w:tabs>
              <w:jc w:val="center"/>
              <w:rPr>
                <w:rFonts w:ascii="Times New Roman" w:hAnsi="Times New Roman" w:cs="Times New Roman"/>
                <w:b/>
                <w:sz w:val="18"/>
                <w:szCs w:val="18"/>
                <w:lang w:eastAsia="lt-LT"/>
              </w:rPr>
            </w:pPr>
            <w:r>
              <w:rPr>
                <w:rFonts w:ascii="Times New Roman" w:hAnsi="Times New Roman" w:cs="Times New Roman"/>
                <w:b/>
                <w:sz w:val="18"/>
                <w:szCs w:val="18"/>
                <w:lang w:eastAsia="lt-LT"/>
              </w:rPr>
              <w:t>17.20</w:t>
            </w:r>
            <w:r w:rsidR="00BB3B93" w:rsidRPr="00C32827">
              <w:rPr>
                <w:rFonts w:ascii="Times New Roman" w:hAnsi="Times New Roman" w:cs="Times New Roman"/>
                <w:b/>
                <w:sz w:val="18"/>
                <w:szCs w:val="18"/>
                <w:lang w:eastAsia="lt-LT"/>
              </w:rPr>
              <w:t>2</w:t>
            </w:r>
          </w:p>
        </w:tc>
        <w:tc>
          <w:tcPr>
            <w:tcW w:w="992"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20</w:t>
            </w:r>
            <w:r w:rsidR="00AB760D">
              <w:rPr>
                <w:rFonts w:ascii="Times New Roman" w:eastAsia="AngsanaUPC" w:hAnsi="Times New Roman" w:cs="Times New Roman"/>
                <w:b/>
                <w:bCs/>
                <w:iCs/>
                <w:sz w:val="18"/>
                <w:szCs w:val="18"/>
                <w:lang w:eastAsia="lt-LT"/>
              </w:rPr>
              <w:t>17</w:t>
            </w:r>
          </w:p>
        </w:tc>
        <w:tc>
          <w:tcPr>
            <w:tcW w:w="851" w:type="dxa"/>
            <w:shd w:val="clear" w:color="auto" w:fill="auto"/>
            <w:vAlign w:val="center"/>
          </w:tcPr>
          <w:p w:rsidR="00BB3B93" w:rsidRPr="00C32827" w:rsidRDefault="00BB3B93" w:rsidP="00C358DA">
            <w:pPr>
              <w:widowControl w:val="0"/>
              <w:tabs>
                <w:tab w:val="left" w:pos="622"/>
              </w:tabs>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17.726</w:t>
            </w:r>
          </w:p>
        </w:tc>
        <w:tc>
          <w:tcPr>
            <w:tcW w:w="1417"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Eurostatas</w:t>
            </w:r>
          </w:p>
        </w:tc>
        <w:tc>
          <w:tcPr>
            <w:tcW w:w="1241"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Kartą per metus</w:t>
            </w:r>
          </w:p>
        </w:tc>
      </w:tr>
      <w:tr w:rsidR="00BB3B93" w:rsidRPr="00356CFB" w:rsidTr="00C358DA">
        <w:tblPrEx>
          <w:shd w:val="clear" w:color="auto" w:fill="auto"/>
        </w:tblPrEx>
        <w:trPr>
          <w:trHeight w:val="187"/>
        </w:trPr>
        <w:tc>
          <w:tcPr>
            <w:tcW w:w="567" w:type="dxa"/>
            <w:shd w:val="clear" w:color="auto" w:fill="auto"/>
            <w:vAlign w:val="center"/>
          </w:tcPr>
          <w:p w:rsidR="00BB3B93" w:rsidRPr="00C32827" w:rsidRDefault="0091337D" w:rsidP="00C358DA">
            <w:pPr>
              <w:widowControl w:val="0"/>
              <w:tabs>
                <w:tab w:val="left" w:pos="622"/>
              </w:tabs>
              <w:jc w:val="center"/>
              <w:rPr>
                <w:rFonts w:ascii="Times New Roman" w:eastAsia="AngsanaUPC" w:hAnsi="Times New Roman" w:cs="Times New Roman"/>
                <w:b/>
                <w:bCs/>
                <w:iCs/>
                <w:sz w:val="18"/>
                <w:szCs w:val="18"/>
                <w:lang w:val="en-US" w:eastAsia="lt-LT"/>
              </w:rPr>
            </w:pPr>
            <w:r>
              <w:rPr>
                <w:rFonts w:ascii="Times New Roman" w:eastAsia="AngsanaUPC" w:hAnsi="Times New Roman" w:cs="Times New Roman"/>
                <w:b/>
                <w:bCs/>
                <w:iCs/>
                <w:sz w:val="18"/>
                <w:szCs w:val="18"/>
                <w:lang w:val="en-US" w:eastAsia="lt-LT"/>
              </w:rPr>
              <w:t>4</w:t>
            </w:r>
            <w:r w:rsidR="00BB3B93" w:rsidRPr="00C32827">
              <w:rPr>
                <w:rFonts w:ascii="Times New Roman" w:eastAsia="AngsanaUPC" w:hAnsi="Times New Roman" w:cs="Times New Roman"/>
                <w:b/>
                <w:bCs/>
                <w:iCs/>
                <w:sz w:val="18"/>
                <w:szCs w:val="18"/>
                <w:lang w:val="en-US" w:eastAsia="lt-LT"/>
              </w:rPr>
              <w:t>.</w:t>
            </w:r>
          </w:p>
        </w:tc>
        <w:tc>
          <w:tcPr>
            <w:tcW w:w="1560" w:type="dxa"/>
            <w:shd w:val="clear" w:color="auto" w:fill="auto"/>
            <w:vAlign w:val="center"/>
          </w:tcPr>
          <w:p w:rsidR="00BB3B93" w:rsidRPr="00C32827" w:rsidRDefault="00BB3B93" w:rsidP="00C358DA">
            <w:pPr>
              <w:autoSpaceDE w:val="0"/>
              <w:autoSpaceDN w:val="0"/>
              <w:adjustRightInd w:val="0"/>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 xml:space="preserve">Kultūros sektoriaus sukuriamos pridėtinės vertės dalis, palyginti </w:t>
            </w:r>
            <w:r w:rsidRPr="00C32827">
              <w:rPr>
                <w:rFonts w:ascii="Times New Roman" w:hAnsi="Times New Roman" w:cs="Times New Roman"/>
                <w:b/>
                <w:sz w:val="18"/>
                <w:szCs w:val="18"/>
                <w:lang w:eastAsia="lt-LT"/>
              </w:rPr>
              <w:lastRenderedPageBreak/>
              <w:t>su visa sukuriama verte</w:t>
            </w:r>
          </w:p>
        </w:tc>
        <w:tc>
          <w:tcPr>
            <w:tcW w:w="1134" w:type="dxa"/>
            <w:shd w:val="clear" w:color="auto" w:fill="auto"/>
            <w:vAlign w:val="center"/>
          </w:tcPr>
          <w:p w:rsidR="00BB3B93" w:rsidRPr="00C32827" w:rsidRDefault="00BB3B93" w:rsidP="00C358DA">
            <w:pPr>
              <w:autoSpaceDE w:val="0"/>
              <w:autoSpaceDN w:val="0"/>
              <w:adjustRightInd w:val="0"/>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lastRenderedPageBreak/>
              <w:t>Proc.</w:t>
            </w:r>
          </w:p>
        </w:tc>
        <w:tc>
          <w:tcPr>
            <w:tcW w:w="1134"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Mažiau išsivystęs</w:t>
            </w:r>
          </w:p>
        </w:tc>
        <w:tc>
          <w:tcPr>
            <w:tcW w:w="850" w:type="dxa"/>
            <w:shd w:val="clear" w:color="auto" w:fill="auto"/>
            <w:vAlign w:val="center"/>
          </w:tcPr>
          <w:p w:rsidR="00BB3B93" w:rsidRPr="00C32827" w:rsidRDefault="00BB3B93" w:rsidP="00C358DA">
            <w:pPr>
              <w:widowControl w:val="0"/>
              <w:tabs>
                <w:tab w:val="left" w:pos="622"/>
              </w:tabs>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2,2</w:t>
            </w:r>
          </w:p>
        </w:tc>
        <w:tc>
          <w:tcPr>
            <w:tcW w:w="992"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2017</w:t>
            </w:r>
          </w:p>
        </w:tc>
        <w:tc>
          <w:tcPr>
            <w:tcW w:w="851" w:type="dxa"/>
            <w:shd w:val="clear" w:color="auto" w:fill="auto"/>
            <w:vAlign w:val="center"/>
          </w:tcPr>
          <w:p w:rsidR="00BB3B93" w:rsidRPr="00C32827" w:rsidRDefault="00BB3B93" w:rsidP="00C358DA">
            <w:pPr>
              <w:widowControl w:val="0"/>
              <w:tabs>
                <w:tab w:val="left" w:pos="622"/>
              </w:tabs>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2,6</w:t>
            </w:r>
          </w:p>
        </w:tc>
        <w:tc>
          <w:tcPr>
            <w:tcW w:w="1417" w:type="dxa"/>
            <w:shd w:val="clear" w:color="auto" w:fill="auto"/>
            <w:vAlign w:val="center"/>
          </w:tcPr>
          <w:p w:rsidR="00BB3B93" w:rsidRPr="00C32827" w:rsidRDefault="00BB3B93" w:rsidP="00C358DA">
            <w:pPr>
              <w:autoSpaceDE w:val="0"/>
              <w:autoSpaceDN w:val="0"/>
              <w:adjustRightInd w:val="0"/>
              <w:jc w:val="center"/>
              <w:rPr>
                <w:rFonts w:ascii="Times New Roman" w:hAnsi="Times New Roman" w:cs="Times New Roman"/>
                <w:b/>
                <w:sz w:val="18"/>
                <w:szCs w:val="18"/>
                <w:lang w:val="en-US" w:eastAsia="lt-LT"/>
              </w:rPr>
            </w:pPr>
            <w:r w:rsidRPr="00C32827">
              <w:rPr>
                <w:rFonts w:ascii="Times New Roman" w:eastAsia="AngsanaUPC" w:hAnsi="Times New Roman" w:cs="Times New Roman"/>
                <w:b/>
                <w:bCs/>
                <w:iCs/>
                <w:sz w:val="18"/>
                <w:szCs w:val="18"/>
                <w:lang w:eastAsia="lt-LT"/>
              </w:rPr>
              <w:t>Lietuvos statistikos departamentas</w:t>
            </w:r>
          </w:p>
        </w:tc>
        <w:tc>
          <w:tcPr>
            <w:tcW w:w="1241"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Kartą per metus</w:t>
            </w:r>
          </w:p>
        </w:tc>
      </w:tr>
      <w:tr w:rsidR="00BB3B93" w:rsidRPr="00356CFB" w:rsidTr="00E5740B">
        <w:tblPrEx>
          <w:shd w:val="clear" w:color="auto" w:fill="auto"/>
        </w:tblPrEx>
        <w:trPr>
          <w:trHeight w:val="187"/>
        </w:trPr>
        <w:tc>
          <w:tcPr>
            <w:tcW w:w="567" w:type="dxa"/>
            <w:shd w:val="clear" w:color="auto" w:fill="auto"/>
            <w:vAlign w:val="center"/>
          </w:tcPr>
          <w:p w:rsidR="00BB3B93" w:rsidRPr="00C32827" w:rsidRDefault="0091337D" w:rsidP="00C358DA">
            <w:pPr>
              <w:widowControl w:val="0"/>
              <w:tabs>
                <w:tab w:val="left" w:pos="622"/>
              </w:tabs>
              <w:jc w:val="center"/>
              <w:rPr>
                <w:rFonts w:ascii="Times New Roman" w:eastAsia="AngsanaUPC" w:hAnsi="Times New Roman" w:cs="Times New Roman"/>
                <w:b/>
                <w:bCs/>
                <w:iCs/>
                <w:sz w:val="18"/>
                <w:szCs w:val="18"/>
                <w:lang w:val="en-US" w:eastAsia="lt-LT"/>
              </w:rPr>
            </w:pPr>
            <w:r>
              <w:rPr>
                <w:rFonts w:ascii="Times New Roman" w:eastAsia="AngsanaUPC" w:hAnsi="Times New Roman" w:cs="Times New Roman"/>
                <w:b/>
                <w:bCs/>
                <w:iCs/>
                <w:sz w:val="18"/>
                <w:szCs w:val="18"/>
                <w:lang w:val="en-US" w:eastAsia="lt-LT"/>
              </w:rPr>
              <w:lastRenderedPageBreak/>
              <w:t>5</w:t>
            </w:r>
            <w:r w:rsidR="00BB3B93" w:rsidRPr="00C32827">
              <w:rPr>
                <w:rFonts w:ascii="Times New Roman" w:eastAsia="AngsanaUPC" w:hAnsi="Times New Roman" w:cs="Times New Roman"/>
                <w:b/>
                <w:bCs/>
                <w:iCs/>
                <w:sz w:val="18"/>
                <w:szCs w:val="18"/>
                <w:lang w:val="en-US" w:eastAsia="lt-LT"/>
              </w:rPr>
              <w:t>.</w:t>
            </w:r>
          </w:p>
        </w:tc>
        <w:tc>
          <w:tcPr>
            <w:tcW w:w="1560" w:type="dxa"/>
            <w:shd w:val="clear" w:color="auto" w:fill="auto"/>
            <w:vAlign w:val="center"/>
          </w:tcPr>
          <w:p w:rsidR="00BB3B93" w:rsidRPr="00C32827" w:rsidRDefault="00BB3B93" w:rsidP="00C358DA">
            <w:pPr>
              <w:autoSpaceDE w:val="0"/>
              <w:autoSpaceDN w:val="0"/>
              <w:adjustRightInd w:val="0"/>
              <w:rPr>
                <w:rFonts w:ascii="Times New Roman" w:hAnsi="Times New Roman" w:cs="Times New Roman"/>
                <w:b/>
                <w:sz w:val="18"/>
                <w:szCs w:val="18"/>
                <w:highlight w:val="yellow"/>
                <w:lang w:eastAsia="lt-LT"/>
              </w:rPr>
            </w:pPr>
            <w:r w:rsidRPr="00C32827">
              <w:rPr>
                <w:rFonts w:ascii="Times New Roman" w:hAnsi="Times New Roman" w:cs="Times New Roman"/>
                <w:b/>
                <w:sz w:val="18"/>
                <w:szCs w:val="18"/>
                <w:lang w:eastAsia="lt-LT"/>
              </w:rPr>
              <w:t>Standartizuoto 0–64 m. amžiaus gyventojų mirtingumo sumažėjimas tikslinėse teritorijose</w:t>
            </w:r>
            <w:r w:rsidRPr="00C32827">
              <w:rPr>
                <w:rFonts w:ascii="Times New Roman" w:hAnsi="Times New Roman" w:cs="Times New Roman"/>
                <w:b/>
                <w:sz w:val="18"/>
                <w:szCs w:val="18"/>
                <w:vertAlign w:val="superscript"/>
                <w:lang w:eastAsia="lt-LT"/>
              </w:rPr>
              <w:t>2</w:t>
            </w:r>
            <w:r w:rsidRPr="00C32827">
              <w:rPr>
                <w:rFonts w:ascii="Times New Roman" w:hAnsi="Times New Roman" w:cs="Times New Roman"/>
                <w:b/>
                <w:sz w:val="18"/>
                <w:szCs w:val="18"/>
                <w:lang w:eastAsia="lt-LT"/>
              </w:rPr>
              <w:t xml:space="preserve"> nuo kraujotakos ligų</w:t>
            </w:r>
          </w:p>
        </w:tc>
        <w:tc>
          <w:tcPr>
            <w:tcW w:w="1134" w:type="dxa"/>
            <w:shd w:val="clear" w:color="auto" w:fill="auto"/>
            <w:vAlign w:val="center"/>
          </w:tcPr>
          <w:p w:rsidR="00BB3B93" w:rsidRPr="00C32827" w:rsidRDefault="00BB3B93" w:rsidP="00C358DA">
            <w:pPr>
              <w:widowControl w:val="0"/>
              <w:tabs>
                <w:tab w:val="left" w:pos="622"/>
              </w:tabs>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Atvejų skaičius</w:t>
            </w:r>
          </w:p>
          <w:p w:rsidR="00BB3B93" w:rsidRPr="00C32827" w:rsidRDefault="00BB3B93" w:rsidP="00C358DA">
            <w:pPr>
              <w:autoSpaceDE w:val="0"/>
              <w:autoSpaceDN w:val="0"/>
              <w:adjustRightInd w:val="0"/>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100000 gyv.</w:t>
            </w:r>
          </w:p>
        </w:tc>
        <w:tc>
          <w:tcPr>
            <w:tcW w:w="1134"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Mažiau išsivystę</w:t>
            </w:r>
            <w:r w:rsidR="00CF34B4">
              <w:rPr>
                <w:rFonts w:ascii="Times New Roman" w:eastAsia="AngsanaUPC" w:hAnsi="Times New Roman" w:cs="Times New Roman"/>
                <w:b/>
                <w:bCs/>
                <w:iCs/>
                <w:sz w:val="18"/>
                <w:szCs w:val="18"/>
                <w:lang w:eastAsia="lt-LT"/>
              </w:rPr>
              <w:t>s</w:t>
            </w:r>
          </w:p>
        </w:tc>
        <w:tc>
          <w:tcPr>
            <w:tcW w:w="850" w:type="dxa"/>
            <w:shd w:val="clear" w:color="auto" w:fill="auto"/>
            <w:vAlign w:val="center"/>
          </w:tcPr>
          <w:p w:rsidR="00BB3B93" w:rsidRPr="00C32827" w:rsidRDefault="00AB760D" w:rsidP="00E5740B">
            <w:pPr>
              <w:widowControl w:val="0"/>
              <w:tabs>
                <w:tab w:val="left" w:pos="622"/>
              </w:tabs>
              <w:jc w:val="center"/>
              <w:rPr>
                <w:rFonts w:ascii="Times New Roman" w:hAnsi="Times New Roman" w:cs="Times New Roman"/>
                <w:b/>
                <w:sz w:val="18"/>
                <w:szCs w:val="18"/>
                <w:lang w:eastAsia="lt-LT"/>
              </w:rPr>
            </w:pPr>
            <w:r>
              <w:rPr>
                <w:rFonts w:ascii="Times New Roman" w:hAnsi="Times New Roman" w:cs="Times New Roman"/>
                <w:b/>
                <w:sz w:val="18"/>
                <w:szCs w:val="18"/>
                <w:lang w:eastAsia="lt-LT"/>
              </w:rPr>
              <w:t>111,89</w:t>
            </w:r>
          </w:p>
        </w:tc>
        <w:tc>
          <w:tcPr>
            <w:tcW w:w="992" w:type="dxa"/>
            <w:shd w:val="clear" w:color="auto" w:fill="auto"/>
            <w:vAlign w:val="center"/>
          </w:tcPr>
          <w:p w:rsidR="00BB3B93" w:rsidRPr="00C32827" w:rsidRDefault="00AB760D" w:rsidP="00E5740B">
            <w:pPr>
              <w:widowControl w:val="0"/>
              <w:tabs>
                <w:tab w:val="left" w:pos="622"/>
              </w:tabs>
              <w:jc w:val="center"/>
              <w:rPr>
                <w:rFonts w:ascii="Times New Roman" w:eastAsia="AngsanaUPC" w:hAnsi="Times New Roman" w:cs="Times New Roman"/>
                <w:b/>
                <w:bCs/>
                <w:iCs/>
                <w:sz w:val="18"/>
                <w:szCs w:val="18"/>
                <w:lang w:eastAsia="lt-LT"/>
              </w:rPr>
            </w:pPr>
            <w:r>
              <w:rPr>
                <w:rFonts w:ascii="Times New Roman" w:hAnsi="Times New Roman" w:cs="Times New Roman"/>
                <w:b/>
                <w:sz w:val="18"/>
                <w:szCs w:val="18"/>
                <w:lang w:eastAsia="lt-LT"/>
              </w:rPr>
              <w:t>2019</w:t>
            </w:r>
          </w:p>
        </w:tc>
        <w:tc>
          <w:tcPr>
            <w:tcW w:w="851" w:type="dxa"/>
            <w:shd w:val="clear" w:color="auto" w:fill="auto"/>
            <w:vAlign w:val="center"/>
          </w:tcPr>
          <w:p w:rsidR="00BB3B93" w:rsidRPr="00C32827" w:rsidRDefault="00BB3B93" w:rsidP="00C358DA">
            <w:pPr>
              <w:widowControl w:val="0"/>
              <w:tabs>
                <w:tab w:val="left" w:pos="622"/>
              </w:tabs>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105</w:t>
            </w:r>
          </w:p>
        </w:tc>
        <w:tc>
          <w:tcPr>
            <w:tcW w:w="1417" w:type="dxa"/>
            <w:shd w:val="clear" w:color="auto" w:fill="auto"/>
            <w:vAlign w:val="center"/>
          </w:tcPr>
          <w:p w:rsidR="00BB3B93" w:rsidRPr="00C32827" w:rsidRDefault="00BB3B93" w:rsidP="00C358DA">
            <w:pPr>
              <w:autoSpaceDE w:val="0"/>
              <w:autoSpaceDN w:val="0"/>
              <w:adjustRightInd w:val="0"/>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Higienos institutas</w:t>
            </w:r>
          </w:p>
        </w:tc>
        <w:tc>
          <w:tcPr>
            <w:tcW w:w="1241"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Kartą per metus</w:t>
            </w:r>
          </w:p>
        </w:tc>
      </w:tr>
      <w:tr w:rsidR="00BB3B93" w:rsidRPr="00356CFB" w:rsidTr="00C358DA">
        <w:tblPrEx>
          <w:shd w:val="clear" w:color="auto" w:fill="auto"/>
        </w:tblPrEx>
        <w:trPr>
          <w:trHeight w:val="187"/>
        </w:trPr>
        <w:tc>
          <w:tcPr>
            <w:tcW w:w="567" w:type="dxa"/>
            <w:shd w:val="clear" w:color="auto" w:fill="auto"/>
            <w:vAlign w:val="center"/>
          </w:tcPr>
          <w:p w:rsidR="00BB3B93" w:rsidRPr="00C32827" w:rsidRDefault="0091337D" w:rsidP="00C358DA">
            <w:pPr>
              <w:widowControl w:val="0"/>
              <w:tabs>
                <w:tab w:val="left" w:pos="622"/>
              </w:tabs>
              <w:jc w:val="center"/>
              <w:rPr>
                <w:rFonts w:ascii="Times New Roman" w:eastAsia="AngsanaUPC" w:hAnsi="Times New Roman" w:cs="Times New Roman"/>
                <w:b/>
                <w:bCs/>
                <w:iCs/>
                <w:sz w:val="18"/>
                <w:szCs w:val="18"/>
                <w:lang w:val="en-US" w:eastAsia="lt-LT"/>
              </w:rPr>
            </w:pPr>
            <w:r>
              <w:rPr>
                <w:rFonts w:ascii="Times New Roman" w:eastAsia="AngsanaUPC" w:hAnsi="Times New Roman" w:cs="Times New Roman"/>
                <w:b/>
                <w:bCs/>
                <w:iCs/>
                <w:sz w:val="18"/>
                <w:szCs w:val="18"/>
                <w:lang w:val="en-US" w:eastAsia="lt-LT"/>
              </w:rPr>
              <w:t>6</w:t>
            </w:r>
            <w:r w:rsidR="00BB3B93" w:rsidRPr="00C32827">
              <w:rPr>
                <w:rFonts w:ascii="Times New Roman" w:eastAsia="AngsanaUPC" w:hAnsi="Times New Roman" w:cs="Times New Roman"/>
                <w:b/>
                <w:bCs/>
                <w:iCs/>
                <w:sz w:val="18"/>
                <w:szCs w:val="18"/>
                <w:lang w:val="en-US" w:eastAsia="lt-LT"/>
              </w:rPr>
              <w:t>.</w:t>
            </w:r>
          </w:p>
        </w:tc>
        <w:tc>
          <w:tcPr>
            <w:tcW w:w="1560" w:type="dxa"/>
            <w:shd w:val="clear" w:color="auto" w:fill="auto"/>
            <w:vAlign w:val="center"/>
          </w:tcPr>
          <w:p w:rsidR="00BB3B93" w:rsidRPr="00C32827" w:rsidRDefault="00BB3B93" w:rsidP="00C358DA">
            <w:pPr>
              <w:autoSpaceDE w:val="0"/>
              <w:autoSpaceDN w:val="0"/>
              <w:adjustRightInd w:val="0"/>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Standartizuoto 0–64 m.</w:t>
            </w:r>
          </w:p>
          <w:p w:rsidR="00BB3B93" w:rsidRPr="00C32827" w:rsidRDefault="00BB3B93" w:rsidP="00C358DA">
            <w:pPr>
              <w:autoSpaceDE w:val="0"/>
              <w:autoSpaceDN w:val="0"/>
              <w:adjustRightInd w:val="0"/>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amžiaus gyventojų</w:t>
            </w:r>
          </w:p>
          <w:p w:rsidR="00BB3B93" w:rsidRPr="00C32827" w:rsidRDefault="00BB3B93" w:rsidP="00C358DA">
            <w:pPr>
              <w:autoSpaceDE w:val="0"/>
              <w:autoSpaceDN w:val="0"/>
              <w:adjustRightInd w:val="0"/>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mirtingumo sumažėjimas</w:t>
            </w:r>
          </w:p>
          <w:p w:rsidR="00BB3B93" w:rsidRPr="00C32827" w:rsidRDefault="00BB3B93" w:rsidP="00C358DA">
            <w:pPr>
              <w:autoSpaceDE w:val="0"/>
              <w:autoSpaceDN w:val="0"/>
              <w:adjustRightInd w:val="0"/>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tikslinėse teritorijose nuo</w:t>
            </w:r>
          </w:p>
          <w:p w:rsidR="00BB3B93" w:rsidRPr="00C32827" w:rsidRDefault="00BB3B93" w:rsidP="00C358DA">
            <w:pPr>
              <w:autoSpaceDE w:val="0"/>
              <w:autoSpaceDN w:val="0"/>
              <w:adjustRightInd w:val="0"/>
              <w:rPr>
                <w:rFonts w:ascii="Times New Roman" w:hAnsi="Times New Roman" w:cs="Times New Roman"/>
                <w:b/>
                <w:sz w:val="18"/>
                <w:szCs w:val="18"/>
                <w:highlight w:val="yellow"/>
                <w:lang w:eastAsia="lt-LT"/>
              </w:rPr>
            </w:pPr>
            <w:r w:rsidRPr="00C32827">
              <w:rPr>
                <w:rFonts w:ascii="Times New Roman" w:hAnsi="Times New Roman" w:cs="Times New Roman"/>
                <w:b/>
                <w:sz w:val="18"/>
                <w:szCs w:val="18"/>
                <w:lang w:eastAsia="lt-LT"/>
              </w:rPr>
              <w:t>piktybinių navikų</w:t>
            </w:r>
          </w:p>
        </w:tc>
        <w:tc>
          <w:tcPr>
            <w:tcW w:w="1134" w:type="dxa"/>
            <w:shd w:val="clear" w:color="auto" w:fill="auto"/>
            <w:vAlign w:val="center"/>
          </w:tcPr>
          <w:p w:rsidR="00BB3B93" w:rsidRPr="00C32827" w:rsidRDefault="00BB3B93" w:rsidP="00C358DA">
            <w:pPr>
              <w:widowControl w:val="0"/>
              <w:tabs>
                <w:tab w:val="left" w:pos="622"/>
              </w:tabs>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Atvejų skaičius</w:t>
            </w:r>
          </w:p>
          <w:p w:rsidR="00BB3B93" w:rsidRPr="00C32827" w:rsidRDefault="00BB3B93" w:rsidP="00C358DA">
            <w:pPr>
              <w:autoSpaceDE w:val="0"/>
              <w:autoSpaceDN w:val="0"/>
              <w:adjustRightInd w:val="0"/>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100000 gyv.</w:t>
            </w:r>
          </w:p>
        </w:tc>
        <w:tc>
          <w:tcPr>
            <w:tcW w:w="1134"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Mažiau išsivystę</w:t>
            </w:r>
            <w:r w:rsidR="00CF34B4">
              <w:rPr>
                <w:rFonts w:ascii="Times New Roman" w:eastAsia="AngsanaUPC" w:hAnsi="Times New Roman" w:cs="Times New Roman"/>
                <w:b/>
                <w:bCs/>
                <w:iCs/>
                <w:sz w:val="18"/>
                <w:szCs w:val="18"/>
                <w:lang w:eastAsia="lt-LT"/>
              </w:rPr>
              <w:t>s</w:t>
            </w:r>
          </w:p>
        </w:tc>
        <w:tc>
          <w:tcPr>
            <w:tcW w:w="850" w:type="dxa"/>
            <w:shd w:val="clear" w:color="auto" w:fill="auto"/>
            <w:vAlign w:val="center"/>
          </w:tcPr>
          <w:p w:rsidR="00BB3B93" w:rsidRPr="00C32827" w:rsidRDefault="00AB760D" w:rsidP="00C358DA">
            <w:pPr>
              <w:widowControl w:val="0"/>
              <w:tabs>
                <w:tab w:val="left" w:pos="622"/>
              </w:tabs>
              <w:jc w:val="center"/>
              <w:rPr>
                <w:rFonts w:ascii="Times New Roman" w:hAnsi="Times New Roman" w:cs="Times New Roman"/>
                <w:b/>
                <w:sz w:val="18"/>
                <w:szCs w:val="18"/>
                <w:lang w:eastAsia="lt-LT"/>
              </w:rPr>
            </w:pPr>
            <w:r>
              <w:rPr>
                <w:rFonts w:ascii="Times New Roman" w:hAnsi="Times New Roman" w:cs="Times New Roman"/>
                <w:b/>
                <w:sz w:val="18"/>
                <w:szCs w:val="18"/>
                <w:lang w:eastAsia="lt-LT"/>
              </w:rPr>
              <w:t>93,08</w:t>
            </w:r>
          </w:p>
        </w:tc>
        <w:tc>
          <w:tcPr>
            <w:tcW w:w="992" w:type="dxa"/>
            <w:shd w:val="clear" w:color="auto" w:fill="auto"/>
            <w:vAlign w:val="center"/>
          </w:tcPr>
          <w:p w:rsidR="00BB3B93" w:rsidRPr="00C32827" w:rsidRDefault="00AB760D" w:rsidP="00C358DA">
            <w:pPr>
              <w:widowControl w:val="0"/>
              <w:tabs>
                <w:tab w:val="left" w:pos="622"/>
              </w:tabs>
              <w:jc w:val="center"/>
              <w:rPr>
                <w:rFonts w:ascii="Times New Roman" w:eastAsia="AngsanaUPC" w:hAnsi="Times New Roman" w:cs="Times New Roman"/>
                <w:b/>
                <w:bCs/>
                <w:iCs/>
                <w:sz w:val="18"/>
                <w:szCs w:val="18"/>
                <w:lang w:eastAsia="lt-LT"/>
              </w:rPr>
            </w:pPr>
            <w:r>
              <w:rPr>
                <w:rFonts w:ascii="Times New Roman" w:eastAsia="AngsanaUPC" w:hAnsi="Times New Roman" w:cs="Times New Roman"/>
                <w:b/>
                <w:bCs/>
                <w:iCs/>
                <w:sz w:val="18"/>
                <w:szCs w:val="18"/>
                <w:lang w:eastAsia="lt-LT"/>
              </w:rPr>
              <w:t>2019</w:t>
            </w:r>
          </w:p>
        </w:tc>
        <w:tc>
          <w:tcPr>
            <w:tcW w:w="851" w:type="dxa"/>
            <w:shd w:val="clear" w:color="auto" w:fill="auto"/>
            <w:vAlign w:val="center"/>
          </w:tcPr>
          <w:p w:rsidR="00BB3B93" w:rsidRPr="00C32827" w:rsidRDefault="00BB3B93" w:rsidP="00C358DA">
            <w:pPr>
              <w:widowControl w:val="0"/>
              <w:tabs>
                <w:tab w:val="left" w:pos="622"/>
              </w:tabs>
              <w:jc w:val="center"/>
              <w:rPr>
                <w:rFonts w:ascii="Times New Roman" w:hAnsi="Times New Roman" w:cs="Times New Roman"/>
                <w:b/>
                <w:sz w:val="18"/>
                <w:szCs w:val="18"/>
                <w:lang w:eastAsia="lt-LT"/>
              </w:rPr>
            </w:pPr>
            <w:r w:rsidRPr="00C32827">
              <w:rPr>
                <w:rFonts w:ascii="Times New Roman" w:hAnsi="Times New Roman" w:cs="Times New Roman"/>
                <w:b/>
                <w:sz w:val="18"/>
                <w:szCs w:val="18"/>
                <w:lang w:eastAsia="lt-LT"/>
              </w:rPr>
              <w:t>78</w:t>
            </w:r>
          </w:p>
        </w:tc>
        <w:tc>
          <w:tcPr>
            <w:tcW w:w="1417" w:type="dxa"/>
            <w:shd w:val="clear" w:color="auto" w:fill="auto"/>
            <w:vAlign w:val="center"/>
          </w:tcPr>
          <w:p w:rsidR="00BB3B93" w:rsidRPr="00C32827" w:rsidRDefault="00BB3B93" w:rsidP="00C358DA">
            <w:pPr>
              <w:autoSpaceDE w:val="0"/>
              <w:autoSpaceDN w:val="0"/>
              <w:adjustRightInd w:val="0"/>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Higienos institutas</w:t>
            </w:r>
          </w:p>
        </w:tc>
        <w:tc>
          <w:tcPr>
            <w:tcW w:w="1241" w:type="dxa"/>
            <w:shd w:val="clear" w:color="auto" w:fill="auto"/>
            <w:vAlign w:val="center"/>
          </w:tcPr>
          <w:p w:rsidR="00BB3B93" w:rsidRPr="00C32827"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Kartą per metus</w:t>
            </w:r>
          </w:p>
        </w:tc>
      </w:tr>
    </w:tbl>
    <w:p w:rsidR="00BB3B93" w:rsidRPr="00C32827" w:rsidRDefault="00BB3B93" w:rsidP="00BB3B93">
      <w:pPr>
        <w:widowControl w:val="0"/>
        <w:jc w:val="both"/>
        <w:textAlignment w:val="baseline"/>
        <w:rPr>
          <w:rFonts w:ascii="Times New Roman" w:hAnsi="Times New Roman" w:cs="Times New Roman"/>
          <w:b/>
          <w:sz w:val="16"/>
          <w:szCs w:val="16"/>
          <w:lang w:eastAsia="lt-LT"/>
        </w:rPr>
      </w:pPr>
      <w:r w:rsidRPr="004F24A0">
        <w:rPr>
          <w:rFonts w:ascii="Times New Roman" w:hAnsi="Times New Roman" w:cs="Times New Roman"/>
          <w:b/>
          <w:color w:val="000000"/>
          <w:sz w:val="16"/>
          <w:szCs w:val="16"/>
          <w:vertAlign w:val="superscript"/>
        </w:rPr>
        <w:t>1</w:t>
      </w:r>
      <w:r w:rsidR="004F24A0">
        <w:rPr>
          <w:rFonts w:ascii="Times New Roman" w:hAnsi="Times New Roman" w:cs="Times New Roman"/>
          <w:b/>
          <w:bCs/>
          <w:i/>
          <w:iCs/>
          <w:sz w:val="16"/>
          <w:szCs w:val="16"/>
          <w:lang w:eastAsia="lt-LT"/>
        </w:rPr>
        <w:t xml:space="preserve"> </w:t>
      </w:r>
      <w:r w:rsidRPr="00C32827">
        <w:rPr>
          <w:rFonts w:ascii="Times New Roman" w:hAnsi="Times New Roman" w:cs="Times New Roman"/>
          <w:b/>
          <w:sz w:val="16"/>
          <w:szCs w:val="16"/>
          <w:lang w:eastAsia="lt-LT"/>
        </w:rPr>
        <w:t>Visos SVV įmonės be finansų ir draudimo srities įmonių.</w:t>
      </w:r>
    </w:p>
    <w:p w:rsidR="00BB3B93" w:rsidRPr="00C32827" w:rsidRDefault="004F24A0" w:rsidP="00BB3B93">
      <w:pPr>
        <w:autoSpaceDE w:val="0"/>
        <w:autoSpaceDN w:val="0"/>
        <w:adjustRightInd w:val="0"/>
        <w:rPr>
          <w:rFonts w:ascii="Times New Roman" w:hAnsi="Times New Roman" w:cs="Times New Roman"/>
          <w:b/>
          <w:sz w:val="16"/>
          <w:szCs w:val="16"/>
          <w:lang w:eastAsia="lt-LT"/>
        </w:rPr>
      </w:pPr>
      <w:r w:rsidRPr="004F24A0">
        <w:rPr>
          <w:rFonts w:ascii="Times New Roman" w:hAnsi="Times New Roman" w:cs="Times New Roman"/>
          <w:b/>
          <w:sz w:val="16"/>
          <w:szCs w:val="16"/>
          <w:vertAlign w:val="superscript"/>
          <w:lang w:eastAsia="lt-LT"/>
        </w:rPr>
        <w:t>2</w:t>
      </w:r>
      <w:r w:rsidR="00BB3B93" w:rsidRPr="00C32827">
        <w:rPr>
          <w:rFonts w:ascii="Times New Roman" w:hAnsi="Times New Roman" w:cs="Times New Roman"/>
          <w:b/>
          <w:sz w:val="16"/>
          <w:szCs w:val="16"/>
          <w:lang w:eastAsia="lt-LT"/>
        </w:rPr>
        <w:t xml:space="preserve"> Tikslinės teritorijos:</w:t>
      </w:r>
    </w:p>
    <w:p w:rsidR="00BB3B93" w:rsidRPr="00C32827" w:rsidRDefault="00BB3B93" w:rsidP="00BB3B93">
      <w:pPr>
        <w:autoSpaceDE w:val="0"/>
        <w:autoSpaceDN w:val="0"/>
        <w:adjustRightInd w:val="0"/>
        <w:rPr>
          <w:rFonts w:ascii="Times New Roman" w:hAnsi="Times New Roman" w:cs="Times New Roman"/>
          <w:b/>
          <w:sz w:val="16"/>
          <w:szCs w:val="16"/>
          <w:lang w:eastAsia="lt-LT"/>
        </w:rPr>
      </w:pPr>
      <w:r w:rsidRPr="00C32827">
        <w:rPr>
          <w:rFonts w:ascii="Times New Roman" w:hAnsi="Times New Roman" w:cs="Times New Roman"/>
          <w:b/>
          <w:sz w:val="16"/>
          <w:szCs w:val="16"/>
          <w:lang w:eastAsia="lt-LT"/>
        </w:rPr>
        <w:t>– šalies savivaldybės, kuriose standartizuoto 0–64 m. amžiaus gyventojų mirtingumo rodikliai (SMR) 2007–2011 m. laikotarpiu</w:t>
      </w:r>
    </w:p>
    <w:p w:rsidR="00BB3B93" w:rsidRPr="00C32827" w:rsidRDefault="00BB3B93" w:rsidP="00BB3B93">
      <w:pPr>
        <w:autoSpaceDE w:val="0"/>
        <w:autoSpaceDN w:val="0"/>
        <w:adjustRightInd w:val="0"/>
        <w:rPr>
          <w:rFonts w:ascii="Times New Roman" w:hAnsi="Times New Roman" w:cs="Times New Roman"/>
          <w:b/>
          <w:sz w:val="16"/>
          <w:szCs w:val="16"/>
          <w:lang w:eastAsia="lt-LT"/>
        </w:rPr>
      </w:pPr>
      <w:r w:rsidRPr="00C32827">
        <w:rPr>
          <w:rFonts w:ascii="Times New Roman" w:hAnsi="Times New Roman" w:cs="Times New Roman"/>
          <w:b/>
          <w:sz w:val="16"/>
          <w:szCs w:val="16"/>
          <w:lang w:eastAsia="lt-LT"/>
        </w:rPr>
        <w:t>Lietuvos vidurkį vidutiniškai viršijo: kraujotakos sistemos ligos – daugiau kaip 20 proc., cerebrovas</w:t>
      </w:r>
      <w:r w:rsidR="002A49CA">
        <w:rPr>
          <w:rFonts w:ascii="Times New Roman" w:hAnsi="Times New Roman" w:cs="Times New Roman"/>
          <w:b/>
          <w:sz w:val="16"/>
          <w:szCs w:val="16"/>
          <w:lang w:eastAsia="lt-LT"/>
        </w:rPr>
        <w:t xml:space="preserve">kulinės ligos – daugiau kaip 20 </w:t>
      </w:r>
      <w:r w:rsidRPr="00C32827">
        <w:rPr>
          <w:rFonts w:ascii="Times New Roman" w:hAnsi="Times New Roman" w:cs="Times New Roman"/>
          <w:b/>
          <w:sz w:val="16"/>
          <w:szCs w:val="16"/>
          <w:lang w:eastAsia="lt-LT"/>
        </w:rPr>
        <w:t>proc., piktybiniai navikai – daugiau kaip 8 proc., išorinės mirties priežastys – daugiau kaip 20 proc.;</w:t>
      </w:r>
    </w:p>
    <w:p w:rsidR="00BB3B93" w:rsidRPr="00C32827" w:rsidRDefault="00BB3B93" w:rsidP="00BB3B93">
      <w:pPr>
        <w:widowControl w:val="0"/>
        <w:jc w:val="both"/>
        <w:textAlignment w:val="baseline"/>
        <w:rPr>
          <w:rFonts w:ascii="Times New Roman" w:hAnsi="Times New Roman" w:cs="Times New Roman"/>
          <w:b/>
          <w:sz w:val="16"/>
          <w:szCs w:val="16"/>
          <w:lang w:eastAsia="lt-LT"/>
        </w:rPr>
      </w:pPr>
      <w:r w:rsidRPr="00C32827">
        <w:rPr>
          <w:rFonts w:ascii="Times New Roman" w:hAnsi="Times New Roman" w:cs="Times New Roman"/>
          <w:b/>
          <w:sz w:val="16"/>
          <w:szCs w:val="16"/>
          <w:lang w:eastAsia="lt-LT"/>
        </w:rPr>
        <w:t>– šalies savivaldybės, pasižyminčios didžiausiais vaikų sveikatos priežiūros prieinamumo netolygumais.</w:t>
      </w:r>
    </w:p>
    <w:p w:rsidR="00BB3B93" w:rsidRDefault="00BB3B93" w:rsidP="00834115">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834115" w:rsidRPr="00356CFB" w:rsidTr="00834115">
        <w:tc>
          <w:tcPr>
            <w:tcW w:w="9746" w:type="dxa"/>
            <w:tcBorders>
              <w:top w:val="single" w:sz="4" w:space="0" w:color="auto"/>
              <w:left w:val="single" w:sz="4" w:space="0" w:color="auto"/>
              <w:bottom w:val="single" w:sz="4" w:space="0" w:color="auto"/>
              <w:right w:val="single" w:sz="4" w:space="0" w:color="auto"/>
            </w:tcBorders>
            <w:shd w:val="clear" w:color="auto" w:fill="EEECE1"/>
          </w:tcPr>
          <w:p w:rsidR="00834115" w:rsidRPr="00962485" w:rsidRDefault="00962485" w:rsidP="00962485">
            <w:pPr>
              <w:widowControl w:val="0"/>
              <w:tabs>
                <w:tab w:val="left" w:pos="622"/>
                <w:tab w:val="left" w:pos="1665"/>
              </w:tabs>
              <w:jc w:val="both"/>
              <w:rPr>
                <w:rFonts w:ascii="Times New Roman" w:eastAsia="AngsanaUPC" w:hAnsi="Times New Roman" w:cs="Times New Roman"/>
                <w:bCs/>
                <w:iCs/>
                <w:sz w:val="24"/>
                <w:szCs w:val="24"/>
                <w:lang w:eastAsia="lt-LT"/>
              </w:rPr>
            </w:pPr>
            <w:r>
              <w:rPr>
                <w:rFonts w:ascii="Times New Roman" w:eastAsia="AngsanaUPC" w:hAnsi="Times New Roman" w:cs="Times New Roman"/>
                <w:b/>
                <w:bCs/>
                <w:i/>
                <w:iCs/>
                <w:sz w:val="24"/>
                <w:szCs w:val="24"/>
                <w:lang w:eastAsia="lt-LT"/>
              </w:rPr>
              <w:t xml:space="preserve">13.1.1 </w:t>
            </w:r>
            <w:r w:rsidR="00834115" w:rsidRPr="00962485">
              <w:rPr>
                <w:rFonts w:ascii="Times New Roman" w:eastAsia="AngsanaUPC" w:hAnsi="Times New Roman" w:cs="Times New Roman"/>
                <w:b/>
                <w:bCs/>
                <w:i/>
                <w:iCs/>
                <w:sz w:val="24"/>
                <w:szCs w:val="24"/>
                <w:lang w:eastAsia="lt-LT"/>
              </w:rPr>
              <w:t>Konkretaus uždavinio įgyvendinimo veiklos</w:t>
            </w:r>
          </w:p>
        </w:tc>
      </w:tr>
      <w:tr w:rsidR="00834115" w:rsidRPr="00356CFB" w:rsidTr="00834115">
        <w:tc>
          <w:tcPr>
            <w:tcW w:w="9746" w:type="dxa"/>
            <w:shd w:val="clear" w:color="auto" w:fill="auto"/>
          </w:tcPr>
          <w:p w:rsidR="00E27479" w:rsidRPr="00C10B9F" w:rsidRDefault="00907FAE" w:rsidP="00B1282C">
            <w:pPr>
              <w:widowControl w:val="0"/>
              <w:numPr>
                <w:ilvl w:val="0"/>
                <w:numId w:val="3"/>
              </w:numPr>
              <w:tabs>
                <w:tab w:val="left" w:pos="34"/>
                <w:tab w:val="left" w:pos="459"/>
                <w:tab w:val="left" w:pos="1026"/>
              </w:tabs>
              <w:ind w:left="0" w:firstLine="459"/>
              <w:jc w:val="both"/>
              <w:rPr>
                <w:rFonts w:ascii="Times New Roman" w:eastAsia="AngsanaUPC" w:hAnsi="Times New Roman" w:cs="Times New Roman"/>
                <w:b/>
                <w:bCs/>
                <w:iCs/>
                <w:sz w:val="24"/>
                <w:szCs w:val="24"/>
                <w:lang w:eastAsia="lt-LT"/>
              </w:rPr>
            </w:pPr>
            <w:r w:rsidRPr="002A49CA">
              <w:rPr>
                <w:rFonts w:ascii="Times New Roman" w:eastAsia="Calibri" w:hAnsi="Times New Roman" w:cs="Times New Roman"/>
                <w:b/>
                <w:sz w:val="24"/>
                <w:szCs w:val="24"/>
              </w:rPr>
              <w:t>Finansavimas bus teikiamas įmonių MTEPI veikloms, skatinant aukštesnės pridėtinės vertės, įskaitant aplinkai draugiškų (žalių) produktų ir</w:t>
            </w:r>
            <w:r w:rsidR="00B1282C" w:rsidRPr="002A49CA">
              <w:rPr>
                <w:rFonts w:ascii="Times New Roman" w:eastAsia="Calibri" w:hAnsi="Times New Roman" w:cs="Times New Roman"/>
                <w:b/>
                <w:sz w:val="24"/>
                <w:szCs w:val="24"/>
              </w:rPr>
              <w:t xml:space="preserve"> paslaugų pasiūlą. Bus finansuojama </w:t>
            </w:r>
            <w:r w:rsidRPr="002A49CA">
              <w:rPr>
                <w:rFonts w:ascii="Times New Roman" w:eastAsia="Calibri" w:hAnsi="Times New Roman" w:cs="Times New Roman"/>
                <w:b/>
                <w:sz w:val="24"/>
                <w:szCs w:val="24"/>
              </w:rPr>
              <w:t>naujų produktų kūrimas</w:t>
            </w:r>
            <w:r w:rsidR="00A53924" w:rsidRPr="002A49CA">
              <w:rPr>
                <w:rFonts w:ascii="Times New Roman" w:eastAsia="Calibri" w:hAnsi="Times New Roman" w:cs="Times New Roman"/>
                <w:b/>
                <w:sz w:val="24"/>
                <w:szCs w:val="24"/>
              </w:rPr>
              <w:t xml:space="preserve"> įmonėse visuose MTEP etapuose </w:t>
            </w:r>
            <w:r w:rsidRPr="002A49CA">
              <w:rPr>
                <w:rFonts w:ascii="Times New Roman" w:eastAsia="Calibri" w:hAnsi="Times New Roman" w:cs="Times New Roman"/>
                <w:b/>
                <w:sz w:val="24"/>
                <w:szCs w:val="24"/>
              </w:rPr>
              <w:t>nuo naujo produkto idėjos koncepcijos iki produkto prototipo sukū</w:t>
            </w:r>
            <w:r w:rsidR="00B1282C" w:rsidRPr="002A49CA">
              <w:rPr>
                <w:rFonts w:ascii="Times New Roman" w:eastAsia="Calibri" w:hAnsi="Times New Roman" w:cs="Times New Roman"/>
                <w:b/>
                <w:sz w:val="24"/>
                <w:szCs w:val="24"/>
              </w:rPr>
              <w:t>rimo, jo pirminio demonstravimo</w:t>
            </w:r>
            <w:r w:rsidR="005C332C" w:rsidRPr="002A49CA">
              <w:rPr>
                <w:rFonts w:ascii="Times New Roman" w:eastAsia="Calibri" w:hAnsi="Times New Roman" w:cs="Times New Roman"/>
                <w:b/>
                <w:sz w:val="24"/>
                <w:szCs w:val="24"/>
              </w:rPr>
              <w:t>, sertifikavimo</w:t>
            </w:r>
            <w:r w:rsidR="00B1282C" w:rsidRPr="002A49CA">
              <w:rPr>
                <w:rFonts w:ascii="Times New Roman" w:eastAsia="Calibri" w:hAnsi="Times New Roman" w:cs="Times New Roman"/>
                <w:b/>
                <w:sz w:val="24"/>
                <w:szCs w:val="24"/>
              </w:rPr>
              <w:t>.</w:t>
            </w:r>
          </w:p>
          <w:p w:rsidR="002E37D0" w:rsidRPr="00C10B9F" w:rsidRDefault="00907FAE" w:rsidP="002E37D0">
            <w:pPr>
              <w:pStyle w:val="Sraopastraipa"/>
              <w:numPr>
                <w:ilvl w:val="0"/>
                <w:numId w:val="3"/>
              </w:numPr>
              <w:tabs>
                <w:tab w:val="left" w:pos="34"/>
                <w:tab w:val="left" w:pos="1026"/>
              </w:tabs>
              <w:ind w:left="0" w:firstLine="459"/>
              <w:contextualSpacing w:val="0"/>
              <w:jc w:val="both"/>
              <w:rPr>
                <w:rFonts w:ascii="Times New Roman" w:eastAsia="Calibri" w:hAnsi="Times New Roman" w:cs="Times New Roman"/>
                <w:b/>
                <w:sz w:val="24"/>
                <w:szCs w:val="24"/>
              </w:rPr>
            </w:pPr>
            <w:r w:rsidRPr="002A49CA">
              <w:rPr>
                <w:rFonts w:ascii="Times New Roman" w:eastAsia="Calibri" w:hAnsi="Times New Roman" w:cs="Times New Roman"/>
                <w:b/>
                <w:sz w:val="24"/>
                <w:szCs w:val="24"/>
              </w:rPr>
              <w:t>Siekiant didinti verslo sektoriaus išlaidas MTEP, svarbus dėmesys bus skiriamas tokių TUI pritraukimui, kurios sudarytų prielaidas ir paremtų sumanios specializacijos strategijos MTEPI srityje (ir joje numatytos Lietuvos ūkio transformacijos) ir susijusiose srityse įgyvendinimą. Tuo tikslu numatoma parama TUI paieškai, investicijos į TUI pritraukimui aktualią infrastruktūrą (MTEPI centrų įkūrimas, taip pat inovatyvių technologijų</w:t>
            </w:r>
            <w:r w:rsidR="004529D1" w:rsidRPr="002A49CA">
              <w:rPr>
                <w:rFonts w:ascii="Times New Roman" w:eastAsia="Calibri" w:hAnsi="Times New Roman" w:cs="Times New Roman"/>
                <w:b/>
                <w:sz w:val="24"/>
                <w:szCs w:val="24"/>
              </w:rPr>
              <w:t xml:space="preserve"> </w:t>
            </w:r>
            <w:r w:rsidRPr="002A49CA">
              <w:rPr>
                <w:rFonts w:ascii="Times New Roman" w:eastAsia="Calibri" w:hAnsi="Times New Roman" w:cs="Times New Roman"/>
                <w:b/>
                <w:sz w:val="24"/>
                <w:szCs w:val="24"/>
              </w:rPr>
              <w:t>/</w:t>
            </w:r>
            <w:r w:rsidR="004529D1" w:rsidRPr="002A49CA">
              <w:rPr>
                <w:rFonts w:ascii="Times New Roman" w:eastAsia="Calibri" w:hAnsi="Times New Roman" w:cs="Times New Roman"/>
                <w:b/>
                <w:sz w:val="24"/>
                <w:szCs w:val="24"/>
              </w:rPr>
              <w:t xml:space="preserve"> </w:t>
            </w:r>
            <w:r w:rsidRPr="002A49CA">
              <w:rPr>
                <w:rFonts w:ascii="Times New Roman" w:eastAsia="Calibri" w:hAnsi="Times New Roman" w:cs="Times New Roman"/>
                <w:b/>
                <w:sz w:val="24"/>
                <w:szCs w:val="24"/>
              </w:rPr>
              <w:t xml:space="preserve">įrangos, skirtos gamybai, įsigijimas ir jos tolimesnė plėtra, adaptavimas ir integravimas su kitomis technologijomis ir paslaugomis, pilotinių linijų, įskaitant demonstracines, įrengimas) bei parama užsienio įmonių ir Lietuvos įmonių ar mokslo ir studijų institucijų bendradarbiavimui </w:t>
            </w:r>
            <w:proofErr w:type="gramStart"/>
            <w:r w:rsidRPr="002A49CA">
              <w:rPr>
                <w:rFonts w:ascii="Times New Roman" w:eastAsia="Calibri" w:hAnsi="Times New Roman" w:cs="Times New Roman"/>
                <w:b/>
                <w:sz w:val="24"/>
                <w:szCs w:val="24"/>
              </w:rPr>
              <w:t>(</w:t>
            </w:r>
            <w:proofErr w:type="gramEnd"/>
            <w:r w:rsidRPr="002A49CA">
              <w:rPr>
                <w:rFonts w:ascii="Times New Roman" w:eastAsia="Calibri" w:hAnsi="Times New Roman" w:cs="Times New Roman"/>
                <w:b/>
                <w:sz w:val="24"/>
                <w:szCs w:val="24"/>
              </w:rPr>
              <w:t>vykdant bendrus MTEPI projektus)</w:t>
            </w:r>
            <w:r w:rsidR="00092E6B">
              <w:rPr>
                <w:rFonts w:ascii="Times New Roman" w:eastAsia="Calibri" w:hAnsi="Times New Roman" w:cs="Times New Roman"/>
                <w:b/>
                <w:sz w:val="24"/>
                <w:szCs w:val="24"/>
              </w:rPr>
              <w:t>.</w:t>
            </w:r>
          </w:p>
          <w:p w:rsidR="0088037D" w:rsidRPr="002A49CA" w:rsidRDefault="00907FAE" w:rsidP="002E37D0">
            <w:pPr>
              <w:pStyle w:val="Sraopastraipa"/>
              <w:numPr>
                <w:ilvl w:val="0"/>
                <w:numId w:val="3"/>
              </w:numPr>
              <w:tabs>
                <w:tab w:val="left" w:pos="34"/>
                <w:tab w:val="left" w:pos="1026"/>
              </w:tabs>
              <w:ind w:left="0" w:firstLine="459"/>
              <w:contextualSpacing w:val="0"/>
              <w:jc w:val="both"/>
              <w:rPr>
                <w:rFonts w:ascii="Times New Roman" w:eastAsia="Calibri" w:hAnsi="Times New Roman" w:cs="Times New Roman"/>
                <w:b/>
                <w:sz w:val="24"/>
                <w:szCs w:val="24"/>
              </w:rPr>
            </w:pPr>
            <w:r w:rsidRPr="002A49CA">
              <w:rPr>
                <w:rFonts w:ascii="Times New Roman" w:hAnsi="Times New Roman" w:cs="Times New Roman"/>
                <w:b/>
                <w:sz w:val="24"/>
                <w:szCs w:val="24"/>
                <w:lang w:eastAsia="lt-LT"/>
              </w:rPr>
              <w:t>Mokslo žinių perdavimas ir MTEP r</w:t>
            </w:r>
            <w:r w:rsidR="00A53924" w:rsidRPr="002A49CA">
              <w:rPr>
                <w:rFonts w:ascii="Times New Roman" w:hAnsi="Times New Roman" w:cs="Times New Roman"/>
                <w:b/>
                <w:sz w:val="24"/>
                <w:szCs w:val="24"/>
                <w:lang w:eastAsia="lt-LT"/>
              </w:rPr>
              <w:t>ezultatų komercinimo skatinimas</w:t>
            </w:r>
            <w:r w:rsidR="00493E6F" w:rsidRPr="002A49CA">
              <w:rPr>
                <w:rFonts w:ascii="Times New Roman" w:hAnsi="Times New Roman" w:cs="Times New Roman"/>
                <w:b/>
                <w:sz w:val="24"/>
                <w:szCs w:val="24"/>
                <w:lang w:eastAsia="lt-LT"/>
              </w:rPr>
              <w:t>:</w:t>
            </w:r>
          </w:p>
          <w:p w:rsidR="0088037D" w:rsidRPr="00C10B9F" w:rsidRDefault="0088037D" w:rsidP="0088037D">
            <w:pPr>
              <w:pStyle w:val="Sraopastraipa"/>
              <w:numPr>
                <w:ilvl w:val="0"/>
                <w:numId w:val="14"/>
              </w:numPr>
              <w:tabs>
                <w:tab w:val="left" w:pos="34"/>
                <w:tab w:val="left" w:pos="459"/>
                <w:tab w:val="left" w:pos="1026"/>
              </w:tabs>
              <w:autoSpaceDE w:val="0"/>
              <w:autoSpaceDN w:val="0"/>
              <w:adjustRightInd w:val="0"/>
              <w:jc w:val="both"/>
              <w:rPr>
                <w:rFonts w:ascii="Times New Roman" w:hAnsi="Times New Roman" w:cs="Times New Roman"/>
                <w:b/>
                <w:sz w:val="24"/>
                <w:szCs w:val="24"/>
                <w:lang w:eastAsia="lt-LT"/>
              </w:rPr>
            </w:pPr>
            <w:r w:rsidRPr="002A49CA">
              <w:rPr>
                <w:rFonts w:ascii="Times New Roman" w:hAnsi="Times New Roman" w:cs="Times New Roman"/>
                <w:b/>
                <w:sz w:val="24"/>
                <w:szCs w:val="24"/>
                <w:lang w:eastAsia="lt-LT"/>
              </w:rPr>
              <w:t>bendrų mokslo</w:t>
            </w:r>
            <w:proofErr w:type="gramStart"/>
            <w:r w:rsidRPr="002A49CA">
              <w:rPr>
                <w:rFonts w:ascii="Times New Roman" w:hAnsi="Times New Roman" w:cs="Times New Roman"/>
                <w:b/>
                <w:sz w:val="24"/>
                <w:szCs w:val="24"/>
                <w:lang w:eastAsia="lt-LT"/>
              </w:rPr>
              <w:t>-</w:t>
            </w:r>
            <w:proofErr w:type="gramEnd"/>
            <w:r w:rsidRPr="002A49CA">
              <w:rPr>
                <w:rFonts w:ascii="Times New Roman" w:hAnsi="Times New Roman" w:cs="Times New Roman"/>
                <w:b/>
                <w:sz w:val="24"/>
                <w:szCs w:val="24"/>
                <w:lang w:eastAsia="lt-LT"/>
              </w:rPr>
              <w:t>verslo projektų, prisidedančių prie sumanios specializacijos strategijos pri</w:t>
            </w:r>
            <w:r w:rsidR="00092E6B">
              <w:rPr>
                <w:rFonts w:ascii="Times New Roman" w:hAnsi="Times New Roman" w:cs="Times New Roman"/>
                <w:b/>
                <w:sz w:val="24"/>
                <w:szCs w:val="24"/>
                <w:lang w:eastAsia="lt-LT"/>
              </w:rPr>
              <w:t>oritetų įgyvendinimo, vykdymas</w:t>
            </w:r>
            <w:r w:rsidR="00414AAC">
              <w:rPr>
                <w:rFonts w:ascii="Times New Roman" w:hAnsi="Times New Roman" w:cs="Times New Roman"/>
                <w:b/>
                <w:sz w:val="24"/>
                <w:szCs w:val="24"/>
                <w:lang w:eastAsia="lt-LT"/>
              </w:rPr>
              <w:t xml:space="preserve"> </w:t>
            </w:r>
            <w:r w:rsidR="00414AAC" w:rsidRPr="0066519F">
              <w:rPr>
                <w:rFonts w:ascii="Times New Roman" w:hAnsi="Times New Roman" w:cs="Times New Roman"/>
                <w:b/>
                <w:sz w:val="24"/>
                <w:szCs w:val="24"/>
                <w:lang w:eastAsia="lt-LT"/>
              </w:rPr>
              <w:t>MVĮ</w:t>
            </w:r>
            <w:r w:rsidR="00092E6B">
              <w:rPr>
                <w:rFonts w:ascii="Times New Roman" w:hAnsi="Times New Roman" w:cs="Times New Roman"/>
                <w:b/>
                <w:sz w:val="24"/>
                <w:szCs w:val="24"/>
                <w:lang w:eastAsia="lt-LT"/>
              </w:rPr>
              <w:t>;</w:t>
            </w:r>
          </w:p>
          <w:p w:rsidR="00B1282C" w:rsidRPr="00092E6B" w:rsidRDefault="00907FAE" w:rsidP="00B1282C">
            <w:pPr>
              <w:pStyle w:val="Sraopastraipa"/>
              <w:numPr>
                <w:ilvl w:val="0"/>
                <w:numId w:val="14"/>
              </w:numPr>
              <w:tabs>
                <w:tab w:val="left" w:pos="34"/>
                <w:tab w:val="left" w:pos="1026"/>
              </w:tabs>
              <w:contextualSpacing w:val="0"/>
              <w:jc w:val="both"/>
              <w:rPr>
                <w:rFonts w:ascii="Times New Roman" w:eastAsia="Calibri" w:hAnsi="Times New Roman" w:cs="Times New Roman"/>
                <w:b/>
                <w:sz w:val="24"/>
                <w:szCs w:val="24"/>
              </w:rPr>
            </w:pPr>
            <w:r w:rsidRPr="002A49CA">
              <w:rPr>
                <w:rFonts w:ascii="Times New Roman" w:hAnsi="Times New Roman" w:cs="Times New Roman"/>
                <w:b/>
                <w:sz w:val="24"/>
                <w:szCs w:val="24"/>
                <w:lang w:eastAsia="lt-LT"/>
              </w:rPr>
              <w:t xml:space="preserve">tiksliniai </w:t>
            </w:r>
            <w:r w:rsidRPr="002A49CA">
              <w:rPr>
                <w:rFonts w:ascii="Times New Roman" w:eastAsia="Calibri" w:hAnsi="Times New Roman" w:cs="Times New Roman"/>
                <w:b/>
                <w:sz w:val="24"/>
                <w:szCs w:val="24"/>
              </w:rPr>
              <w:t>moksliniai tyrimai (aukšto lygio tyrėjų grupių vykdomi moksliniai tyrimai)</w:t>
            </w:r>
            <w:r w:rsidR="00092E6B">
              <w:rPr>
                <w:rFonts w:ascii="Times New Roman" w:eastAsia="Calibri" w:hAnsi="Times New Roman" w:cs="Times New Roman"/>
                <w:b/>
                <w:sz w:val="24"/>
                <w:szCs w:val="24"/>
              </w:rPr>
              <w:t>;</w:t>
            </w:r>
          </w:p>
          <w:p w:rsidR="0088037D" w:rsidRPr="00092E6B" w:rsidRDefault="0088037D" w:rsidP="00B1282C">
            <w:pPr>
              <w:pStyle w:val="Sraopastraipa"/>
              <w:numPr>
                <w:ilvl w:val="0"/>
                <w:numId w:val="14"/>
              </w:numPr>
              <w:tabs>
                <w:tab w:val="left" w:pos="34"/>
                <w:tab w:val="left" w:pos="1026"/>
              </w:tabs>
              <w:contextualSpacing w:val="0"/>
              <w:jc w:val="both"/>
              <w:rPr>
                <w:rFonts w:ascii="Times New Roman" w:eastAsia="Calibri" w:hAnsi="Times New Roman" w:cs="Times New Roman"/>
                <w:b/>
                <w:sz w:val="24"/>
                <w:szCs w:val="24"/>
              </w:rPr>
            </w:pPr>
            <w:r w:rsidRPr="002A49CA">
              <w:rPr>
                <w:rFonts w:ascii="Times New Roman" w:hAnsi="Times New Roman" w:cs="Times New Roman"/>
                <w:b/>
                <w:sz w:val="24"/>
                <w:szCs w:val="24"/>
                <w:lang w:eastAsia="lt-LT"/>
              </w:rPr>
              <w:t>MTEP rezultatų komercinimas ir tarptautiškumo skatinimas</w:t>
            </w:r>
            <w:r w:rsidRPr="0066519F">
              <w:rPr>
                <w:rFonts w:ascii="Times New Roman" w:hAnsi="Times New Roman" w:cs="Times New Roman"/>
                <w:b/>
                <w:sz w:val="24"/>
                <w:szCs w:val="24"/>
                <w:lang w:eastAsia="lt-LT"/>
              </w:rPr>
              <w:t xml:space="preserve"> </w:t>
            </w:r>
            <w:r w:rsidR="00414AAC" w:rsidRPr="0066519F">
              <w:rPr>
                <w:rFonts w:ascii="Times New Roman" w:hAnsi="Times New Roman" w:cs="Times New Roman"/>
                <w:b/>
                <w:sz w:val="24"/>
                <w:szCs w:val="24"/>
                <w:lang w:eastAsia="lt-LT"/>
              </w:rPr>
              <w:t xml:space="preserve">MVĮ </w:t>
            </w:r>
            <w:r w:rsidRPr="002A49CA">
              <w:rPr>
                <w:rFonts w:ascii="Times New Roman" w:hAnsi="Times New Roman" w:cs="Times New Roman"/>
                <w:b/>
                <w:sz w:val="24"/>
                <w:szCs w:val="24"/>
                <w:lang w:eastAsia="lt-LT"/>
              </w:rPr>
              <w:t>(parama mokslininkų ir kitų tyrėjų bei studentų, dirbančių / studijuojančių mokslo ir studijų institucijose, idėjų komercinimui, parama besikuriančioms jaunoms inovacinėms įmonėms (pumpurinės įmonės, startuoliai), į rinką orientuotų mokslo</w:t>
            </w:r>
            <w:proofErr w:type="gramStart"/>
            <w:r w:rsidRPr="002A49CA">
              <w:rPr>
                <w:rFonts w:ascii="Times New Roman" w:hAnsi="Times New Roman" w:cs="Times New Roman"/>
                <w:b/>
                <w:sz w:val="24"/>
                <w:szCs w:val="24"/>
                <w:lang w:eastAsia="lt-LT"/>
              </w:rPr>
              <w:t>-</w:t>
            </w:r>
            <w:proofErr w:type="gramEnd"/>
            <w:r w:rsidRPr="002A49CA">
              <w:rPr>
                <w:rFonts w:ascii="Times New Roman" w:hAnsi="Times New Roman" w:cs="Times New Roman"/>
                <w:b/>
                <w:sz w:val="24"/>
                <w:szCs w:val="24"/>
                <w:lang w:eastAsia="lt-LT"/>
              </w:rPr>
              <w:t>verslo projektų įgyvendini</w:t>
            </w:r>
            <w:r w:rsidR="00092E6B">
              <w:rPr>
                <w:rFonts w:ascii="Times New Roman" w:hAnsi="Times New Roman" w:cs="Times New Roman"/>
                <w:b/>
                <w:sz w:val="24"/>
                <w:szCs w:val="24"/>
                <w:lang w:eastAsia="lt-LT"/>
              </w:rPr>
              <w:t>mas per tarpvalstybinį tinklą).</w:t>
            </w:r>
          </w:p>
          <w:p w:rsidR="0088037D" w:rsidRPr="00C10B9F" w:rsidRDefault="0088522D" w:rsidP="00B1282C">
            <w:pPr>
              <w:numPr>
                <w:ilvl w:val="0"/>
                <w:numId w:val="3"/>
              </w:numPr>
              <w:tabs>
                <w:tab w:val="left" w:pos="34"/>
                <w:tab w:val="left" w:pos="459"/>
                <w:tab w:val="left" w:pos="1026"/>
              </w:tabs>
              <w:autoSpaceDE w:val="0"/>
              <w:autoSpaceDN w:val="0"/>
              <w:adjustRightInd w:val="0"/>
              <w:ind w:left="0" w:firstLine="459"/>
              <w:jc w:val="both"/>
              <w:rPr>
                <w:rFonts w:ascii="Times New Roman" w:hAnsi="Times New Roman" w:cs="Times New Roman"/>
                <w:b/>
                <w:sz w:val="24"/>
                <w:szCs w:val="24"/>
                <w:lang w:eastAsia="lt-LT"/>
              </w:rPr>
            </w:pPr>
            <w:r w:rsidRPr="002A49CA">
              <w:rPr>
                <w:rFonts w:ascii="Times New Roman" w:eastAsia="AngsanaUPC" w:hAnsi="Times New Roman"/>
                <w:b/>
                <w:bCs/>
                <w:iCs/>
                <w:sz w:val="24"/>
                <w:szCs w:val="24"/>
                <w:lang w:eastAsia="lt-LT"/>
              </w:rPr>
              <w:t>Modernių technologijų diegimas</w:t>
            </w:r>
            <w:r w:rsidR="00414AAC">
              <w:rPr>
                <w:rFonts w:ascii="Times New Roman" w:eastAsia="AngsanaUPC" w:hAnsi="Times New Roman"/>
                <w:b/>
                <w:bCs/>
                <w:iCs/>
                <w:sz w:val="24"/>
                <w:szCs w:val="24"/>
                <w:lang w:eastAsia="lt-LT"/>
              </w:rPr>
              <w:t xml:space="preserve"> </w:t>
            </w:r>
            <w:r w:rsidR="00414AAC" w:rsidRPr="0066519F">
              <w:rPr>
                <w:rFonts w:ascii="Times New Roman" w:eastAsia="AngsanaUPC" w:hAnsi="Times New Roman"/>
                <w:b/>
                <w:bCs/>
                <w:iCs/>
                <w:sz w:val="24"/>
                <w:szCs w:val="24"/>
                <w:lang w:eastAsia="lt-LT"/>
              </w:rPr>
              <w:t>MVĮ,</w:t>
            </w:r>
            <w:r w:rsidRPr="0066519F">
              <w:rPr>
                <w:rFonts w:ascii="Times New Roman" w:eastAsia="AngsanaUPC" w:hAnsi="Times New Roman"/>
                <w:b/>
                <w:bCs/>
                <w:iCs/>
                <w:sz w:val="24"/>
                <w:szCs w:val="24"/>
                <w:lang w:eastAsia="lt-LT"/>
              </w:rPr>
              <w:t xml:space="preserve"> </w:t>
            </w:r>
            <w:r w:rsidRPr="002A49CA">
              <w:rPr>
                <w:rFonts w:ascii="Times New Roman" w:eastAsia="AngsanaUPC" w:hAnsi="Times New Roman"/>
                <w:b/>
                <w:bCs/>
                <w:iCs/>
                <w:sz w:val="24"/>
                <w:szCs w:val="24"/>
                <w:lang w:eastAsia="lt-LT"/>
              </w:rPr>
              <w:t xml:space="preserve">pritaikant esamus </w:t>
            </w:r>
            <w:proofErr w:type="gramStart"/>
            <w:r w:rsidRPr="002A49CA">
              <w:rPr>
                <w:rFonts w:ascii="Times New Roman" w:eastAsia="AngsanaUPC" w:hAnsi="Times New Roman"/>
                <w:b/>
                <w:bCs/>
                <w:iCs/>
                <w:sz w:val="24"/>
                <w:szCs w:val="24"/>
                <w:lang w:eastAsia="lt-LT"/>
              </w:rPr>
              <w:t>ir kuriant naujus gamybos ir paslaugų teikimo pajėgumus naujiems ir esamiems produktams gaminti ir paslaugoms teikti</w:t>
            </w:r>
            <w:proofErr w:type="gramEnd"/>
            <w:r w:rsidRPr="002A49CA">
              <w:rPr>
                <w:rFonts w:ascii="Times New Roman" w:eastAsia="AngsanaUPC" w:hAnsi="Times New Roman"/>
                <w:b/>
                <w:bCs/>
                <w:iCs/>
                <w:sz w:val="24"/>
                <w:szCs w:val="24"/>
                <w:lang w:eastAsia="lt-LT"/>
              </w:rPr>
              <w:t xml:space="preserve">. Finansavimas bus teikiamas skatinti įmonių investicijas į naujų gamybos </w:t>
            </w:r>
            <w:r w:rsidRPr="002A49CA">
              <w:rPr>
                <w:rFonts w:ascii="Times New Roman" w:eastAsia="AngsanaUPC" w:hAnsi="Times New Roman"/>
                <w:b/>
                <w:bCs/>
                <w:iCs/>
                <w:sz w:val="24"/>
                <w:szCs w:val="24"/>
                <w:lang w:eastAsia="lt-LT"/>
              </w:rPr>
              <w:lastRenderedPageBreak/>
              <w:t>technologinių linijų įsigijimą ir įdiegimą, esamų gamybos technologinių linijų modernizavimą, įmonės vidinių inžinerinių tinklų, kurių reikia naujoms gamybos technologinėms linijoms diegti ar esamoms modernizuoti, įrengimą, modernių ir efektyvių technologijų diegimą paslaugų sektoriuose, taip pat užtikrinti šių gamybos ir paslaugų teikimo pajėgumų veikimą</w:t>
            </w:r>
            <w:r w:rsidR="002A71D7" w:rsidRPr="002A71D7">
              <w:rPr>
                <w:rFonts w:ascii="Times New Roman" w:eastAsia="AngsanaUPC" w:hAnsi="Times New Roman"/>
                <w:b/>
                <w:bCs/>
                <w:iCs/>
                <w:sz w:val="24"/>
                <w:szCs w:val="24"/>
                <w:lang w:eastAsia="lt-LT"/>
              </w:rPr>
              <w:t>.</w:t>
            </w:r>
          </w:p>
          <w:p w:rsidR="0088037D" w:rsidRPr="00092E6B" w:rsidRDefault="0088037D" w:rsidP="0088037D">
            <w:pPr>
              <w:widowControl w:val="0"/>
              <w:numPr>
                <w:ilvl w:val="0"/>
                <w:numId w:val="3"/>
              </w:numPr>
              <w:tabs>
                <w:tab w:val="left" w:pos="0"/>
                <w:tab w:val="left" w:pos="459"/>
                <w:tab w:val="left" w:pos="743"/>
              </w:tabs>
              <w:ind w:left="34" w:firstLine="326"/>
              <w:jc w:val="both"/>
              <w:rPr>
                <w:rFonts w:ascii="Times New Roman" w:eastAsia="AngsanaUPC" w:hAnsi="Times New Roman"/>
                <w:b/>
                <w:bCs/>
                <w:iCs/>
                <w:sz w:val="24"/>
                <w:szCs w:val="24"/>
                <w:lang w:eastAsia="lt-LT"/>
              </w:rPr>
            </w:pPr>
            <w:r w:rsidRPr="002A49CA">
              <w:rPr>
                <w:rFonts w:ascii="Times New Roman" w:eastAsia="AngsanaUPC" w:hAnsi="Times New Roman"/>
                <w:b/>
                <w:bCs/>
                <w:iCs/>
                <w:sz w:val="24"/>
                <w:szCs w:val="24"/>
                <w:lang w:eastAsia="lt-LT"/>
              </w:rPr>
              <w:t xml:space="preserve">Antreprenerystės diegimas mokslo ir studijų institucijose (paskatos ir priemonės, transformuojant </w:t>
            </w:r>
            <w:r w:rsidR="002A71D7">
              <w:rPr>
                <w:rFonts w:ascii="Times New Roman" w:eastAsia="AngsanaUPC" w:hAnsi="Times New Roman"/>
                <w:b/>
                <w:bCs/>
                <w:iCs/>
                <w:sz w:val="24"/>
                <w:szCs w:val="24"/>
                <w:lang w:eastAsia="lt-LT"/>
              </w:rPr>
              <w:t>žinias į aukštos pri</w:t>
            </w:r>
            <w:r w:rsidRPr="002A49CA">
              <w:rPr>
                <w:rFonts w:ascii="Times New Roman" w:eastAsia="AngsanaUPC" w:hAnsi="Times New Roman"/>
                <w:b/>
                <w:bCs/>
                <w:iCs/>
                <w:sz w:val="24"/>
                <w:szCs w:val="24"/>
                <w:lang w:eastAsia="lt-LT"/>
              </w:rPr>
              <w:t>dėtinės vertės produktus)</w:t>
            </w:r>
            <w:r w:rsidR="0088522D" w:rsidRPr="002A49CA">
              <w:rPr>
                <w:rFonts w:ascii="Times New Roman" w:eastAsia="AngsanaUPC" w:hAnsi="Times New Roman"/>
                <w:b/>
                <w:bCs/>
                <w:iCs/>
                <w:sz w:val="24"/>
                <w:szCs w:val="24"/>
                <w:lang w:eastAsia="lt-LT"/>
              </w:rPr>
              <w:t>.</w:t>
            </w:r>
          </w:p>
          <w:p w:rsidR="005C332C" w:rsidRPr="002A49CA" w:rsidRDefault="005C332C" w:rsidP="005C332C">
            <w:pPr>
              <w:widowControl w:val="0"/>
              <w:numPr>
                <w:ilvl w:val="0"/>
                <w:numId w:val="3"/>
              </w:numPr>
              <w:tabs>
                <w:tab w:val="left" w:pos="0"/>
                <w:tab w:val="left" w:pos="459"/>
                <w:tab w:val="left" w:pos="743"/>
              </w:tabs>
              <w:ind w:left="34" w:firstLine="326"/>
              <w:jc w:val="both"/>
              <w:rPr>
                <w:rFonts w:ascii="Times New Roman" w:eastAsia="AngsanaUPC" w:hAnsi="Times New Roman"/>
                <w:b/>
                <w:bCs/>
                <w:iCs/>
                <w:sz w:val="24"/>
                <w:szCs w:val="24"/>
                <w:lang w:eastAsia="lt-LT"/>
              </w:rPr>
            </w:pPr>
            <w:r w:rsidRPr="002A49CA">
              <w:rPr>
                <w:rFonts w:ascii="Times New Roman" w:eastAsia="AngsanaUPC" w:hAnsi="Times New Roman"/>
                <w:b/>
                <w:bCs/>
                <w:iCs/>
                <w:sz w:val="24"/>
                <w:szCs w:val="24"/>
                <w:lang w:eastAsia="lt-LT"/>
              </w:rPr>
              <w:t>E-verslo modelių diegimas</w:t>
            </w:r>
            <w:r w:rsidR="00414AAC" w:rsidRPr="00414AAC">
              <w:rPr>
                <w:rFonts w:ascii="Times New Roman" w:eastAsia="AngsanaUPC" w:hAnsi="Times New Roman"/>
                <w:b/>
                <w:bCs/>
                <w:iCs/>
                <w:sz w:val="24"/>
                <w:szCs w:val="24"/>
                <w:lang w:eastAsia="lt-LT"/>
              </w:rPr>
              <w:t xml:space="preserve"> </w:t>
            </w:r>
            <w:r w:rsidR="00414AAC" w:rsidRPr="0066519F">
              <w:rPr>
                <w:rFonts w:ascii="Times New Roman" w:eastAsia="AngsanaUPC" w:hAnsi="Times New Roman"/>
                <w:b/>
                <w:bCs/>
                <w:iCs/>
                <w:sz w:val="24"/>
                <w:szCs w:val="24"/>
                <w:lang w:eastAsia="lt-LT"/>
              </w:rPr>
              <w:t>MVĮ</w:t>
            </w:r>
            <w:r w:rsidRPr="0066519F">
              <w:rPr>
                <w:rFonts w:ascii="Times New Roman" w:eastAsia="AngsanaUPC" w:hAnsi="Times New Roman"/>
                <w:b/>
                <w:bCs/>
                <w:iCs/>
                <w:sz w:val="24"/>
                <w:szCs w:val="24"/>
                <w:lang w:eastAsia="lt-LT"/>
              </w:rPr>
              <w:t xml:space="preserve">, </w:t>
            </w:r>
            <w:r w:rsidRPr="002A49CA">
              <w:rPr>
                <w:rFonts w:ascii="Times New Roman" w:eastAsia="AngsanaUPC" w:hAnsi="Times New Roman"/>
                <w:b/>
                <w:bCs/>
                <w:iCs/>
                <w:sz w:val="24"/>
                <w:szCs w:val="24"/>
                <w:lang w:eastAsia="lt-LT"/>
              </w:rPr>
              <w:t>persiorientuojant į procesų, produktų, paslaugų skaitmeninimą, įmonės gaminamų produktų ir (ar) teikiamų paslaugų el</w:t>
            </w:r>
            <w:r w:rsidR="002A71D7">
              <w:rPr>
                <w:rFonts w:ascii="Times New Roman" w:eastAsia="AngsanaUPC" w:hAnsi="Times New Roman"/>
                <w:b/>
                <w:bCs/>
                <w:iCs/>
                <w:sz w:val="24"/>
                <w:szCs w:val="24"/>
                <w:lang w:eastAsia="lt-LT"/>
              </w:rPr>
              <w:t>ektroninę prekybą ir pristatymą</w:t>
            </w:r>
            <w:r w:rsidR="002A71D7" w:rsidRPr="002A71D7">
              <w:rPr>
                <w:rFonts w:ascii="Times New Roman" w:eastAsia="AngsanaUPC" w:hAnsi="Times New Roman"/>
                <w:b/>
                <w:bCs/>
                <w:iCs/>
                <w:sz w:val="24"/>
                <w:szCs w:val="24"/>
                <w:lang w:eastAsia="lt-LT"/>
              </w:rPr>
              <w:t>.</w:t>
            </w:r>
          </w:p>
          <w:p w:rsidR="00B1282C" w:rsidRPr="0066519F" w:rsidRDefault="00911FB7" w:rsidP="00911FB7">
            <w:pPr>
              <w:pStyle w:val="Sraopastraipa"/>
              <w:numPr>
                <w:ilvl w:val="0"/>
                <w:numId w:val="3"/>
              </w:numPr>
              <w:tabs>
                <w:tab w:val="left" w:pos="743"/>
              </w:tabs>
              <w:ind w:left="34" w:firstLine="284"/>
              <w:jc w:val="both"/>
              <w:rPr>
                <w:rFonts w:ascii="Times New Roman" w:eastAsia="Calibri" w:hAnsi="Times New Roman" w:cs="Times New Roman"/>
                <w:b/>
                <w:sz w:val="24"/>
                <w:szCs w:val="24"/>
              </w:rPr>
            </w:pPr>
            <w:r w:rsidRPr="002A49CA">
              <w:rPr>
                <w:rFonts w:ascii="Times New Roman" w:eastAsia="Calibri" w:hAnsi="Times New Roman" w:cs="Times New Roman"/>
                <w:b/>
                <w:sz w:val="24"/>
                <w:szCs w:val="24"/>
              </w:rPr>
              <w:t xml:space="preserve">Investicijos į naujų skaitmeninių ir / arba žiedinę ekonomiką skatinančių kultūros </w:t>
            </w:r>
            <w:proofErr w:type="gramStart"/>
            <w:r w:rsidRPr="002A49CA">
              <w:rPr>
                <w:rFonts w:ascii="Times New Roman" w:eastAsia="Calibri" w:hAnsi="Times New Roman" w:cs="Times New Roman"/>
                <w:b/>
                <w:sz w:val="24"/>
                <w:szCs w:val="24"/>
              </w:rPr>
              <w:t>ir kūrybinių paslaugų ir produktų</w:t>
            </w:r>
            <w:proofErr w:type="gramEnd"/>
            <w:r w:rsidRPr="002A49CA">
              <w:rPr>
                <w:rFonts w:ascii="Times New Roman" w:eastAsia="Calibri" w:hAnsi="Times New Roman" w:cs="Times New Roman"/>
                <w:b/>
                <w:sz w:val="24"/>
                <w:szCs w:val="24"/>
              </w:rPr>
              <w:t>, įskaitant dizaino sprendimus, kūrimą, kultūros ir kūrybinių paslaugų ir produktų asortimento ir įvairovės plėtojimą bei paslaugų ir produktų teikimo apimčių didinimui reikalingos infrastruktūros, įrangos ir kito ilgalaikio turto įsigijimą, sukuriant sąlygas didinti įmonių konkurencingumą, pardavimo pajam</w:t>
            </w:r>
            <w:r w:rsidR="00923DA7">
              <w:rPr>
                <w:rFonts w:ascii="Times New Roman" w:eastAsia="Calibri" w:hAnsi="Times New Roman" w:cs="Times New Roman"/>
                <w:b/>
                <w:sz w:val="24"/>
                <w:szCs w:val="24"/>
              </w:rPr>
              <w:t>as ir sukuriamą pridėtinę vertę</w:t>
            </w:r>
            <w:r w:rsidR="00414AAC" w:rsidRPr="00414AAC">
              <w:rPr>
                <w:rFonts w:ascii="Times New Roman" w:eastAsia="Calibri" w:hAnsi="Times New Roman" w:cs="Times New Roman"/>
                <w:b/>
                <w:sz w:val="24"/>
                <w:szCs w:val="24"/>
              </w:rPr>
              <w:t xml:space="preserve"> </w:t>
            </w:r>
            <w:r w:rsidR="00414AAC" w:rsidRPr="0066519F">
              <w:rPr>
                <w:rFonts w:ascii="Times New Roman" w:eastAsia="Calibri" w:hAnsi="Times New Roman" w:cs="Times New Roman"/>
                <w:b/>
                <w:sz w:val="24"/>
                <w:szCs w:val="24"/>
              </w:rPr>
              <w:t>MVĮ</w:t>
            </w:r>
            <w:r w:rsidRPr="0066519F">
              <w:rPr>
                <w:rFonts w:ascii="Times New Roman" w:eastAsia="Calibri" w:hAnsi="Times New Roman" w:cs="Times New Roman"/>
                <w:b/>
                <w:sz w:val="24"/>
                <w:szCs w:val="24"/>
              </w:rPr>
              <w:t>, tokiu būdu didinant žiedinės ir skaitmeninės ekonomikos dalį šalies ekonomikos struktūroje.</w:t>
            </w:r>
          </w:p>
          <w:p w:rsidR="00911ACD" w:rsidRPr="0066519F" w:rsidRDefault="005D292B" w:rsidP="00773784">
            <w:pPr>
              <w:widowControl w:val="0"/>
              <w:numPr>
                <w:ilvl w:val="0"/>
                <w:numId w:val="3"/>
              </w:numPr>
              <w:tabs>
                <w:tab w:val="left" w:pos="0"/>
                <w:tab w:val="left" w:pos="459"/>
                <w:tab w:val="left" w:pos="743"/>
              </w:tabs>
              <w:ind w:left="34" w:firstLine="326"/>
              <w:jc w:val="both"/>
              <w:rPr>
                <w:rFonts w:ascii="Times New Roman" w:eastAsia="AngsanaUPC" w:hAnsi="Times New Roman"/>
                <w:b/>
                <w:bCs/>
                <w:iCs/>
                <w:sz w:val="24"/>
                <w:szCs w:val="24"/>
                <w:lang w:eastAsia="lt-LT"/>
              </w:rPr>
            </w:pPr>
            <w:r w:rsidRPr="0066519F">
              <w:rPr>
                <w:rFonts w:ascii="Times New Roman" w:eastAsia="AngsanaUPC" w:hAnsi="Times New Roman"/>
                <w:b/>
                <w:bCs/>
                <w:iCs/>
                <w:sz w:val="24"/>
                <w:szCs w:val="24"/>
                <w:lang w:eastAsia="lt-LT"/>
              </w:rPr>
              <w:t>O</w:t>
            </w:r>
            <w:r w:rsidR="005C252D" w:rsidRPr="0066519F">
              <w:rPr>
                <w:rFonts w:ascii="Times New Roman" w:eastAsia="AngsanaUPC" w:hAnsi="Times New Roman"/>
                <w:b/>
                <w:bCs/>
                <w:iCs/>
                <w:sz w:val="24"/>
                <w:szCs w:val="24"/>
                <w:lang w:eastAsia="lt-LT"/>
              </w:rPr>
              <w:t>riginalių produktų</w:t>
            </w:r>
            <w:r w:rsidR="005C332C" w:rsidRPr="0066519F">
              <w:rPr>
                <w:rFonts w:ascii="Times New Roman" w:eastAsia="AngsanaUPC" w:hAnsi="Times New Roman"/>
                <w:b/>
                <w:bCs/>
                <w:iCs/>
                <w:sz w:val="24"/>
                <w:szCs w:val="24"/>
                <w:lang w:eastAsia="lt-LT"/>
              </w:rPr>
              <w:t xml:space="preserve"> sprendimų (netechnologinių inovacijų) </w:t>
            </w:r>
            <w:r w:rsidR="005C252D" w:rsidRPr="0066519F">
              <w:rPr>
                <w:rFonts w:ascii="Times New Roman" w:eastAsia="AngsanaUPC" w:hAnsi="Times New Roman"/>
                <w:b/>
                <w:bCs/>
                <w:iCs/>
                <w:sz w:val="24"/>
                <w:szCs w:val="24"/>
                <w:lang w:eastAsia="lt-LT"/>
              </w:rPr>
              <w:t>sukūrimas ir diegimas</w:t>
            </w:r>
            <w:r w:rsidR="00414AAC" w:rsidRPr="0066519F">
              <w:rPr>
                <w:rFonts w:ascii="Times New Roman" w:eastAsia="AngsanaUPC" w:hAnsi="Times New Roman"/>
                <w:b/>
                <w:bCs/>
                <w:iCs/>
                <w:sz w:val="24"/>
                <w:szCs w:val="24"/>
                <w:lang w:eastAsia="lt-LT"/>
              </w:rPr>
              <w:t xml:space="preserve"> MVĮ</w:t>
            </w:r>
            <w:r w:rsidR="00191FE2" w:rsidRPr="0066519F">
              <w:rPr>
                <w:rFonts w:ascii="Times New Roman" w:eastAsia="AngsanaUPC" w:hAnsi="Times New Roman"/>
                <w:b/>
                <w:bCs/>
                <w:iCs/>
                <w:sz w:val="24"/>
                <w:szCs w:val="24"/>
                <w:lang w:eastAsia="lt-LT"/>
              </w:rPr>
              <w:t>.</w:t>
            </w:r>
          </w:p>
          <w:p w:rsidR="00D868E7" w:rsidRPr="005D292B" w:rsidRDefault="00E946A4" w:rsidP="00092E6B">
            <w:pPr>
              <w:pStyle w:val="Sraopastraipa"/>
              <w:numPr>
                <w:ilvl w:val="0"/>
                <w:numId w:val="3"/>
              </w:numPr>
              <w:tabs>
                <w:tab w:val="left" w:pos="743"/>
              </w:tabs>
              <w:ind w:left="34" w:firstLine="326"/>
              <w:jc w:val="both"/>
              <w:rPr>
                <w:rFonts w:ascii="Times New Roman" w:eastAsia="Calibri" w:hAnsi="Times New Roman" w:cs="Times New Roman"/>
                <w:color w:val="4F81BD" w:themeColor="accent1"/>
                <w:sz w:val="24"/>
                <w:szCs w:val="24"/>
              </w:rPr>
            </w:pPr>
            <w:r w:rsidRPr="0091337D">
              <w:rPr>
                <w:rFonts w:ascii="Times New Roman" w:eastAsia="AngsanaUPC" w:hAnsi="Times New Roman" w:cs="Times New Roman"/>
                <w:b/>
                <w:bCs/>
                <w:iCs/>
                <w:sz w:val="24"/>
                <w:szCs w:val="24"/>
                <w:lang w:eastAsia="lt-LT"/>
              </w:rPr>
              <w:t xml:space="preserve">Efektyvių ir inovatyvių sveikatos priežiūros paslaugų teikimo infrastruktūros (fizinės ir informacinės) modelių diegimas bei plėtojimas, didinant sveikatos priežiūros paslaugų (sveikatos ugdymo, profilaktinių, ankstyvosios diagnostikos, medicininės reabilitacijos ir sveikatos grąžinimo, kt.) prieinamumą ir kokybę tikslinių teritorijų gyventojams, siekiant stiprinti tarp šių gyventojų paplitusių pagrindinių lėtinių ligų </w:t>
            </w:r>
            <w:proofErr w:type="gramStart"/>
            <w:r w:rsidRPr="0091337D">
              <w:rPr>
                <w:rFonts w:ascii="Times New Roman" w:eastAsia="AngsanaUPC" w:hAnsi="Times New Roman" w:cs="Times New Roman"/>
                <w:b/>
                <w:bCs/>
                <w:iCs/>
                <w:sz w:val="24"/>
                <w:szCs w:val="24"/>
                <w:lang w:eastAsia="lt-LT"/>
              </w:rPr>
              <w:t>(</w:t>
            </w:r>
            <w:proofErr w:type="gramEnd"/>
            <w:r w:rsidRPr="0091337D">
              <w:rPr>
                <w:rFonts w:ascii="Times New Roman" w:eastAsia="AngsanaUPC" w:hAnsi="Times New Roman" w:cs="Times New Roman"/>
                <w:b/>
                <w:bCs/>
                <w:iCs/>
                <w:sz w:val="24"/>
                <w:szCs w:val="24"/>
                <w:lang w:eastAsia="lt-LT"/>
              </w:rPr>
              <w:t>kraujotakos sistemos ligų, cerebrovaskulinių ligų, onkologinių susirgimų) ir išorinių mirties priežasčių rizikos veiksnių prevenciją ir jų valdymą bei mažinti šių ligų lemiamą priešlaikinį mirtingumą ir neįgalumą.</w:t>
            </w:r>
          </w:p>
        </w:tc>
      </w:tr>
    </w:tbl>
    <w:p w:rsidR="00834115" w:rsidRDefault="00834115" w:rsidP="00834115">
      <w:pPr>
        <w:widowControl w:val="0"/>
        <w:jc w:val="both"/>
        <w:textAlignment w:val="baseline"/>
        <w:rPr>
          <w:rFonts w:ascii="Times New Roman" w:hAnsi="Times New Roman" w:cs="Times New Roman"/>
          <w:i/>
          <w:color w:val="000000"/>
          <w:sz w:val="24"/>
          <w:szCs w:val="24"/>
          <w:u w:val="single"/>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1275"/>
        <w:gridCol w:w="851"/>
        <w:gridCol w:w="1134"/>
        <w:gridCol w:w="1134"/>
        <w:gridCol w:w="1134"/>
        <w:gridCol w:w="1241"/>
      </w:tblGrid>
      <w:tr w:rsidR="00BB3B93" w:rsidRPr="0042440E" w:rsidTr="005D292B">
        <w:trPr>
          <w:tblHeader/>
        </w:trPr>
        <w:tc>
          <w:tcPr>
            <w:tcW w:w="10030" w:type="dxa"/>
            <w:gridSpan w:val="8"/>
            <w:shd w:val="clear" w:color="auto" w:fill="EEECE1"/>
          </w:tcPr>
          <w:p w:rsidR="00BB3B93" w:rsidRPr="002A49CA" w:rsidRDefault="00BB3B93" w:rsidP="00C358DA">
            <w:pPr>
              <w:widowControl w:val="0"/>
              <w:tabs>
                <w:tab w:val="left" w:pos="622"/>
              </w:tabs>
              <w:jc w:val="both"/>
              <w:rPr>
                <w:rFonts w:ascii="Times New Roman" w:eastAsia="AngsanaUPC" w:hAnsi="Times New Roman" w:cs="Times New Roman"/>
                <w:b/>
                <w:bCs/>
                <w:i/>
                <w:iCs/>
                <w:sz w:val="18"/>
                <w:szCs w:val="18"/>
                <w:lang w:eastAsia="lt-LT"/>
              </w:rPr>
            </w:pPr>
            <w:r w:rsidRPr="002A49CA">
              <w:rPr>
                <w:rFonts w:ascii="Times New Roman" w:eastAsia="AngsanaUPC" w:hAnsi="Times New Roman" w:cs="Times New Roman"/>
                <w:b/>
                <w:bCs/>
                <w:i/>
                <w:iCs/>
                <w:sz w:val="18"/>
                <w:szCs w:val="18"/>
                <w:lang w:eastAsia="lt-LT"/>
              </w:rPr>
              <w:t xml:space="preserve">ERPF bendrieji ir specialieji programos produkto rodikliai </w:t>
            </w:r>
          </w:p>
        </w:tc>
      </w:tr>
      <w:tr w:rsidR="00BB3B93" w:rsidRPr="0042440E" w:rsidTr="005D292B">
        <w:tblPrEx>
          <w:shd w:val="clear" w:color="auto" w:fill="auto"/>
        </w:tblPrEx>
        <w:trPr>
          <w:tblHeader/>
        </w:trPr>
        <w:tc>
          <w:tcPr>
            <w:tcW w:w="567" w:type="dxa"/>
            <w:shd w:val="clear" w:color="auto" w:fill="EEECE1"/>
            <w:vAlign w:val="center"/>
          </w:tcPr>
          <w:p w:rsidR="00BB3B93" w:rsidRPr="0042440E"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42440E">
              <w:rPr>
                <w:rFonts w:ascii="Times New Roman" w:eastAsia="AngsanaUPC" w:hAnsi="Times New Roman" w:cs="Times New Roman"/>
                <w:b/>
                <w:bCs/>
                <w:iCs/>
                <w:sz w:val="18"/>
                <w:szCs w:val="18"/>
                <w:lang w:eastAsia="lt-LT"/>
              </w:rPr>
              <w:t>Nr.</w:t>
            </w:r>
          </w:p>
        </w:tc>
        <w:tc>
          <w:tcPr>
            <w:tcW w:w="2694"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Rodiklio pavadinimas</w:t>
            </w:r>
          </w:p>
        </w:tc>
        <w:tc>
          <w:tcPr>
            <w:tcW w:w="1275"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Matavimo vienetas</w:t>
            </w:r>
          </w:p>
        </w:tc>
        <w:tc>
          <w:tcPr>
            <w:tcW w:w="851"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Fondas</w:t>
            </w:r>
          </w:p>
        </w:tc>
        <w:tc>
          <w:tcPr>
            <w:tcW w:w="1134"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Regiono kategorija</w:t>
            </w:r>
          </w:p>
        </w:tc>
        <w:tc>
          <w:tcPr>
            <w:tcW w:w="1134"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Siektina reikšmė (2023)</w:t>
            </w:r>
          </w:p>
        </w:tc>
        <w:tc>
          <w:tcPr>
            <w:tcW w:w="1134"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Duomenų šaltinis</w:t>
            </w:r>
          </w:p>
        </w:tc>
        <w:tc>
          <w:tcPr>
            <w:tcW w:w="1241"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Atsiskaitymo dažnumas</w:t>
            </w:r>
          </w:p>
        </w:tc>
      </w:tr>
      <w:tr w:rsidR="00BB3B93" w:rsidRPr="0042440E" w:rsidTr="005D292B">
        <w:tblPrEx>
          <w:shd w:val="clear" w:color="auto" w:fill="auto"/>
        </w:tblPrEx>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1.</w:t>
            </w:r>
          </w:p>
        </w:tc>
        <w:tc>
          <w:tcPr>
            <w:tcW w:w="2694" w:type="dxa"/>
            <w:shd w:val="clear" w:color="auto" w:fill="auto"/>
            <w:vAlign w:val="center"/>
          </w:tcPr>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Subsidijas gaunančių įmonių</w:t>
            </w:r>
          </w:p>
          <w:p w:rsidR="00BB3B93" w:rsidRPr="002A49CA" w:rsidRDefault="00BB3B93" w:rsidP="00C358DA">
            <w:pPr>
              <w:widowControl w:val="0"/>
              <w:tabs>
                <w:tab w:val="left" w:pos="622"/>
              </w:tabs>
              <w:rPr>
                <w:rFonts w:ascii="Times New Roman" w:eastAsia="Calibri" w:hAnsi="Times New Roman" w:cs="Times New Roman"/>
                <w:b/>
                <w:bCs/>
                <w:iCs/>
                <w:sz w:val="18"/>
                <w:szCs w:val="18"/>
                <w:lang w:eastAsia="lt-LT"/>
              </w:rPr>
            </w:pPr>
            <w:r w:rsidRPr="002A49CA">
              <w:rPr>
                <w:rFonts w:ascii="Times New Roman" w:hAnsi="Times New Roman" w:cs="Times New Roman"/>
                <w:b/>
                <w:sz w:val="18"/>
                <w:szCs w:val="18"/>
                <w:lang w:eastAsia="lt-LT"/>
              </w:rPr>
              <w:t>skaičius</w:t>
            </w:r>
          </w:p>
        </w:tc>
        <w:tc>
          <w:tcPr>
            <w:tcW w:w="1275"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Įmonės</w:t>
            </w:r>
          </w:p>
        </w:tc>
        <w:tc>
          <w:tcPr>
            <w:tcW w:w="85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BB3B93" w:rsidRPr="00AB760D" w:rsidRDefault="00AB760D" w:rsidP="00C358DA">
            <w:pPr>
              <w:widowControl w:val="0"/>
              <w:tabs>
                <w:tab w:val="left" w:pos="622"/>
              </w:tabs>
              <w:jc w:val="center"/>
              <w:rPr>
                <w:rFonts w:ascii="Times New Roman" w:eastAsia="Calibri" w:hAnsi="Times New Roman" w:cs="Times New Roman"/>
                <w:b/>
                <w:bCs/>
                <w:iCs/>
                <w:sz w:val="18"/>
                <w:szCs w:val="18"/>
                <w:lang w:eastAsia="lt-LT"/>
              </w:rPr>
            </w:pPr>
            <w:r w:rsidRPr="00AB760D">
              <w:rPr>
                <w:rFonts w:ascii="Times New Roman" w:eastAsia="Calibri" w:hAnsi="Times New Roman" w:cs="Times New Roman"/>
                <w:b/>
                <w:bCs/>
                <w:iCs/>
                <w:sz w:val="18"/>
                <w:szCs w:val="18"/>
                <w:lang w:eastAsia="lt-LT"/>
              </w:rPr>
              <w:t>531</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r w:rsidR="00BB3B93" w:rsidRPr="0042440E" w:rsidTr="005D292B">
        <w:tblPrEx>
          <w:shd w:val="clear" w:color="auto" w:fill="auto"/>
        </w:tblPrEx>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2.</w:t>
            </w:r>
          </w:p>
        </w:tc>
        <w:tc>
          <w:tcPr>
            <w:tcW w:w="2694" w:type="dxa"/>
            <w:shd w:val="clear" w:color="auto" w:fill="auto"/>
            <w:vAlign w:val="center"/>
          </w:tcPr>
          <w:p w:rsidR="00BB3B93" w:rsidRPr="002A49CA" w:rsidRDefault="00BB3B93" w:rsidP="00C358DA">
            <w:pPr>
              <w:widowControl w:val="0"/>
              <w:tabs>
                <w:tab w:val="left" w:pos="622"/>
              </w:tabs>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Privačios investicijos, atitinkančios viešąją paramą įmonėms (subsidijos)</w:t>
            </w:r>
          </w:p>
        </w:tc>
        <w:tc>
          <w:tcPr>
            <w:tcW w:w="1275"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EUR</w:t>
            </w:r>
          </w:p>
        </w:tc>
        <w:tc>
          <w:tcPr>
            <w:tcW w:w="85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BB3B93" w:rsidRPr="00AB760D" w:rsidRDefault="00AB760D" w:rsidP="00C358DA">
            <w:pPr>
              <w:widowControl w:val="0"/>
              <w:tabs>
                <w:tab w:val="left" w:pos="622"/>
              </w:tabs>
              <w:jc w:val="center"/>
              <w:rPr>
                <w:rFonts w:ascii="Times New Roman" w:eastAsia="Calibri" w:hAnsi="Times New Roman" w:cs="Times New Roman"/>
                <w:b/>
                <w:bCs/>
                <w:iCs/>
                <w:sz w:val="18"/>
                <w:szCs w:val="18"/>
                <w:lang w:eastAsia="lt-LT"/>
              </w:rPr>
            </w:pPr>
            <w:r w:rsidRPr="00AB760D">
              <w:rPr>
                <w:rFonts w:ascii="Times New Roman" w:eastAsia="Calibri" w:hAnsi="Times New Roman" w:cs="Times New Roman"/>
                <w:b/>
                <w:bCs/>
                <w:iCs/>
                <w:sz w:val="18"/>
                <w:szCs w:val="18"/>
                <w:lang w:eastAsia="lt-LT"/>
              </w:rPr>
              <w:t>6.580</w:t>
            </w:r>
            <w:r w:rsidR="00BB3B93" w:rsidRPr="00AB760D">
              <w:rPr>
                <w:rFonts w:ascii="Times New Roman" w:eastAsia="Calibri" w:hAnsi="Times New Roman" w:cs="Times New Roman"/>
                <w:b/>
                <w:bCs/>
                <w:iCs/>
                <w:sz w:val="18"/>
                <w:szCs w:val="18"/>
                <w:lang w:eastAsia="lt-LT"/>
              </w:rPr>
              <w:t>.</w:t>
            </w:r>
            <w:r w:rsidRPr="00AB760D">
              <w:rPr>
                <w:rFonts w:ascii="Times New Roman" w:eastAsia="Calibri" w:hAnsi="Times New Roman" w:cs="Times New Roman"/>
                <w:b/>
                <w:bCs/>
                <w:iCs/>
                <w:sz w:val="18"/>
                <w:szCs w:val="18"/>
                <w:lang w:eastAsia="lt-LT"/>
              </w:rPr>
              <w:t>450</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r w:rsidR="00BB3B93" w:rsidRPr="0042440E" w:rsidTr="005D292B">
        <w:tblPrEx>
          <w:shd w:val="clear" w:color="auto" w:fill="auto"/>
        </w:tblPrEx>
        <w:trPr>
          <w:trHeight w:val="687"/>
        </w:trPr>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3.</w:t>
            </w:r>
          </w:p>
        </w:tc>
        <w:tc>
          <w:tcPr>
            <w:tcW w:w="2694" w:type="dxa"/>
            <w:shd w:val="clear" w:color="auto" w:fill="auto"/>
            <w:vAlign w:val="center"/>
          </w:tcPr>
          <w:p w:rsidR="00BB3B93" w:rsidRPr="002A49CA" w:rsidRDefault="00BB3B93" w:rsidP="00C358DA">
            <w:pPr>
              <w:widowControl w:val="0"/>
              <w:tabs>
                <w:tab w:val="left" w:pos="622"/>
              </w:tabs>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Privačios investicijos, atitinkančios viešąją paramą inovacijoms arba MTEP projektams</w:t>
            </w:r>
          </w:p>
        </w:tc>
        <w:tc>
          <w:tcPr>
            <w:tcW w:w="1275"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EUR</w:t>
            </w:r>
          </w:p>
        </w:tc>
        <w:tc>
          <w:tcPr>
            <w:tcW w:w="85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63.088.979</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r w:rsidR="00BB3B93" w:rsidRPr="0042440E" w:rsidTr="005D292B">
        <w:tblPrEx>
          <w:shd w:val="clear" w:color="auto" w:fill="auto"/>
        </w:tblPrEx>
        <w:trPr>
          <w:trHeight w:val="687"/>
        </w:trPr>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4.</w:t>
            </w:r>
          </w:p>
        </w:tc>
        <w:tc>
          <w:tcPr>
            <w:tcW w:w="2694" w:type="dxa"/>
            <w:shd w:val="clear" w:color="auto" w:fill="auto"/>
            <w:vAlign w:val="center"/>
          </w:tcPr>
          <w:p w:rsidR="00BB3B93" w:rsidRPr="004F24A0" w:rsidRDefault="004F24A0" w:rsidP="004F24A0">
            <w:pPr>
              <w:autoSpaceDE w:val="0"/>
              <w:autoSpaceDN w:val="0"/>
              <w:adjustRightInd w:val="0"/>
              <w:rPr>
                <w:rFonts w:ascii="Times New Roman" w:hAnsi="Times New Roman" w:cs="Times New Roman"/>
                <w:b/>
                <w:sz w:val="18"/>
                <w:szCs w:val="18"/>
                <w:lang w:eastAsia="lt-LT"/>
              </w:rPr>
            </w:pPr>
            <w:r>
              <w:rPr>
                <w:rFonts w:ascii="Times New Roman" w:hAnsi="Times New Roman" w:cs="Times New Roman"/>
                <w:b/>
                <w:sz w:val="18"/>
                <w:szCs w:val="18"/>
                <w:lang w:eastAsia="lt-LT"/>
              </w:rPr>
              <w:t xml:space="preserve">Įmonių, bendradarbiaujančių su </w:t>
            </w:r>
            <w:r w:rsidR="00BB3B93" w:rsidRPr="002A49CA">
              <w:rPr>
                <w:rFonts w:ascii="Times New Roman" w:hAnsi="Times New Roman" w:cs="Times New Roman"/>
                <w:b/>
                <w:sz w:val="18"/>
                <w:szCs w:val="18"/>
                <w:lang w:eastAsia="lt-LT"/>
              </w:rPr>
              <w:t>tyrimų institucijomis, skaičius</w:t>
            </w:r>
          </w:p>
        </w:tc>
        <w:tc>
          <w:tcPr>
            <w:tcW w:w="1275"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Įmonės</w:t>
            </w:r>
          </w:p>
        </w:tc>
        <w:tc>
          <w:tcPr>
            <w:tcW w:w="85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75</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r w:rsidR="00BB3B93" w:rsidRPr="0042440E" w:rsidTr="005D292B">
        <w:tblPrEx>
          <w:shd w:val="clear" w:color="auto" w:fill="auto"/>
        </w:tblPrEx>
        <w:trPr>
          <w:trHeight w:val="687"/>
        </w:trPr>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5.</w:t>
            </w:r>
          </w:p>
        </w:tc>
        <w:tc>
          <w:tcPr>
            <w:tcW w:w="2694" w:type="dxa"/>
            <w:shd w:val="clear" w:color="auto" w:fill="auto"/>
            <w:vAlign w:val="center"/>
          </w:tcPr>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Įmonių, gavusių investicijas</w:t>
            </w:r>
          </w:p>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siekiant, kad jos pateiktų naujų</w:t>
            </w:r>
          </w:p>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rinkos produktų, skaičius</w:t>
            </w:r>
          </w:p>
        </w:tc>
        <w:tc>
          <w:tcPr>
            <w:tcW w:w="1275"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Įmonės</w:t>
            </w:r>
          </w:p>
        </w:tc>
        <w:tc>
          <w:tcPr>
            <w:tcW w:w="85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48</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r w:rsidR="00BB3B93" w:rsidRPr="0042440E" w:rsidTr="005D292B">
        <w:tblPrEx>
          <w:shd w:val="clear" w:color="auto" w:fill="auto"/>
        </w:tblPrEx>
        <w:trPr>
          <w:trHeight w:val="687"/>
        </w:trPr>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6.</w:t>
            </w:r>
          </w:p>
        </w:tc>
        <w:tc>
          <w:tcPr>
            <w:tcW w:w="2694" w:type="dxa"/>
            <w:shd w:val="clear" w:color="auto" w:fill="auto"/>
            <w:vAlign w:val="center"/>
          </w:tcPr>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Įmonių, gavusių investicijas</w:t>
            </w:r>
          </w:p>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siekiant, kad jos pateiktų naujų</w:t>
            </w:r>
          </w:p>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įmonės produktų, skaičius</w:t>
            </w:r>
          </w:p>
        </w:tc>
        <w:tc>
          <w:tcPr>
            <w:tcW w:w="1275"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Įmonės</w:t>
            </w:r>
          </w:p>
        </w:tc>
        <w:tc>
          <w:tcPr>
            <w:tcW w:w="85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8</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r w:rsidR="00BB3B93" w:rsidRPr="0042440E" w:rsidTr="005D292B">
        <w:tblPrEx>
          <w:shd w:val="clear" w:color="auto" w:fill="auto"/>
        </w:tblPrEx>
        <w:trPr>
          <w:trHeight w:val="687"/>
        </w:trPr>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7.</w:t>
            </w:r>
          </w:p>
        </w:tc>
        <w:tc>
          <w:tcPr>
            <w:tcW w:w="2694" w:type="dxa"/>
            <w:shd w:val="clear" w:color="auto" w:fill="auto"/>
            <w:vAlign w:val="center"/>
          </w:tcPr>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Investicijas gaunančių įmonių</w:t>
            </w:r>
          </w:p>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skaičius</w:t>
            </w:r>
          </w:p>
        </w:tc>
        <w:tc>
          <w:tcPr>
            <w:tcW w:w="1275"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Įmonės</w:t>
            </w:r>
          </w:p>
        </w:tc>
        <w:tc>
          <w:tcPr>
            <w:tcW w:w="85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BB3B93" w:rsidRPr="002A49CA" w:rsidRDefault="00AB760D" w:rsidP="00C358DA">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561</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r w:rsidR="00BB3B93" w:rsidRPr="0042440E" w:rsidTr="005D292B">
        <w:tblPrEx>
          <w:shd w:val="clear" w:color="auto" w:fill="auto"/>
        </w:tblPrEx>
        <w:trPr>
          <w:trHeight w:val="687"/>
        </w:trPr>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8.</w:t>
            </w:r>
          </w:p>
        </w:tc>
        <w:tc>
          <w:tcPr>
            <w:tcW w:w="2694" w:type="dxa"/>
            <w:shd w:val="clear" w:color="auto" w:fill="auto"/>
            <w:vAlign w:val="center"/>
          </w:tcPr>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Naujų įmonių, gavusių investicijas, skaičius</w:t>
            </w:r>
          </w:p>
        </w:tc>
        <w:tc>
          <w:tcPr>
            <w:tcW w:w="1275"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Įmonės</w:t>
            </w:r>
          </w:p>
        </w:tc>
        <w:tc>
          <w:tcPr>
            <w:tcW w:w="85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40</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r w:rsidR="00BB3B93" w:rsidRPr="0042440E" w:rsidTr="005D292B">
        <w:tblPrEx>
          <w:shd w:val="clear" w:color="auto" w:fill="auto"/>
        </w:tblPrEx>
        <w:trPr>
          <w:trHeight w:val="687"/>
        </w:trPr>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9.</w:t>
            </w:r>
          </w:p>
        </w:tc>
        <w:tc>
          <w:tcPr>
            <w:tcW w:w="2694" w:type="dxa"/>
            <w:shd w:val="clear" w:color="auto" w:fill="auto"/>
            <w:vAlign w:val="center"/>
          </w:tcPr>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rPr>
              <w:t>Nefinansinę paramą gaunančių įmonių skaičius</w:t>
            </w:r>
          </w:p>
        </w:tc>
        <w:tc>
          <w:tcPr>
            <w:tcW w:w="1275"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Įmonės</w:t>
            </w:r>
          </w:p>
        </w:tc>
        <w:tc>
          <w:tcPr>
            <w:tcW w:w="85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30</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r w:rsidR="00BB3B93" w:rsidRPr="0042440E" w:rsidTr="005D292B">
        <w:tblPrEx>
          <w:shd w:val="clear" w:color="auto" w:fill="auto"/>
        </w:tblPrEx>
        <w:trPr>
          <w:trHeight w:val="687"/>
        </w:trPr>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lastRenderedPageBreak/>
              <w:t>10.</w:t>
            </w:r>
          </w:p>
        </w:tc>
        <w:tc>
          <w:tcPr>
            <w:tcW w:w="2694" w:type="dxa"/>
            <w:shd w:val="clear" w:color="auto" w:fill="auto"/>
            <w:vAlign w:val="center"/>
          </w:tcPr>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Įgyvendinti MTEP projektai</w:t>
            </w:r>
          </w:p>
        </w:tc>
        <w:tc>
          <w:tcPr>
            <w:tcW w:w="1275"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Skaičius</w:t>
            </w:r>
          </w:p>
        </w:tc>
        <w:tc>
          <w:tcPr>
            <w:tcW w:w="85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w:t>
            </w:r>
            <w:r w:rsidR="00B101EA">
              <w:rPr>
                <w:rFonts w:ascii="Times New Roman" w:eastAsia="Calibri" w:hAnsi="Times New Roman" w:cs="Times New Roman"/>
                <w:b/>
                <w:bCs/>
                <w:iCs/>
                <w:sz w:val="18"/>
                <w:szCs w:val="18"/>
                <w:lang w:eastAsia="lt-LT"/>
              </w:rPr>
              <w:t>s</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65</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r w:rsidR="00BB3B93" w:rsidRPr="0042440E" w:rsidTr="005D292B">
        <w:tblPrEx>
          <w:shd w:val="clear" w:color="auto" w:fill="auto"/>
        </w:tblPrEx>
        <w:trPr>
          <w:trHeight w:val="687"/>
        </w:trPr>
        <w:tc>
          <w:tcPr>
            <w:tcW w:w="567" w:type="dxa"/>
            <w:shd w:val="clear" w:color="auto" w:fill="auto"/>
            <w:vAlign w:val="center"/>
          </w:tcPr>
          <w:p w:rsidR="00BB3B93" w:rsidRPr="002A49CA" w:rsidRDefault="0036658D" w:rsidP="00C358DA">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11</w:t>
            </w:r>
            <w:r w:rsidR="00BB3B93" w:rsidRPr="002A49CA">
              <w:rPr>
                <w:rFonts w:ascii="Times New Roman" w:eastAsia="Calibri" w:hAnsi="Times New Roman" w:cs="Times New Roman"/>
                <w:b/>
                <w:bCs/>
                <w:iCs/>
                <w:sz w:val="18"/>
                <w:szCs w:val="18"/>
                <w:lang w:eastAsia="lt-LT"/>
              </w:rPr>
              <w:t>.</w:t>
            </w:r>
          </w:p>
        </w:tc>
        <w:tc>
          <w:tcPr>
            <w:tcW w:w="2694" w:type="dxa"/>
            <w:shd w:val="clear" w:color="auto" w:fill="auto"/>
            <w:vAlign w:val="center"/>
          </w:tcPr>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Viešąsias sveikatos priežiūros paslaugas teikiančių įstaigų, kuriose pagerinta paslaugų teikimo infrastruktūra, skaičius</w:t>
            </w:r>
          </w:p>
        </w:tc>
        <w:tc>
          <w:tcPr>
            <w:tcW w:w="1275"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Skaičius</w:t>
            </w:r>
          </w:p>
        </w:tc>
        <w:tc>
          <w:tcPr>
            <w:tcW w:w="85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w:t>
            </w:r>
            <w:r w:rsidR="00F70F43" w:rsidRPr="002A49CA">
              <w:rPr>
                <w:rFonts w:ascii="Times New Roman" w:eastAsia="Calibri" w:hAnsi="Times New Roman" w:cs="Times New Roman"/>
                <w:b/>
                <w:bCs/>
                <w:iCs/>
                <w:sz w:val="18"/>
                <w:szCs w:val="18"/>
                <w:lang w:eastAsia="lt-LT"/>
              </w:rPr>
              <w:t>s</w:t>
            </w:r>
          </w:p>
        </w:tc>
        <w:tc>
          <w:tcPr>
            <w:tcW w:w="1134" w:type="dxa"/>
            <w:shd w:val="clear" w:color="auto" w:fill="auto"/>
            <w:vAlign w:val="center"/>
          </w:tcPr>
          <w:p w:rsidR="00BB3B93" w:rsidRPr="002A49CA" w:rsidRDefault="005243DE" w:rsidP="00C358DA">
            <w:pPr>
              <w:widowControl w:val="0"/>
              <w:tabs>
                <w:tab w:val="left" w:pos="622"/>
              </w:tabs>
              <w:jc w:val="center"/>
              <w:rPr>
                <w:rFonts w:ascii="Times New Roman" w:eastAsia="Calibri" w:hAnsi="Times New Roman" w:cs="Times New Roman"/>
                <w:b/>
                <w:bCs/>
                <w:iCs/>
                <w:sz w:val="18"/>
                <w:szCs w:val="18"/>
                <w:lang w:eastAsia="lt-LT"/>
              </w:rPr>
            </w:pPr>
            <w:r w:rsidRPr="00B56A9D">
              <w:rPr>
                <w:rFonts w:ascii="Times New Roman" w:eastAsia="Calibri" w:hAnsi="Times New Roman" w:cs="Times New Roman"/>
                <w:b/>
                <w:bCs/>
                <w:iCs/>
                <w:sz w:val="18"/>
                <w:szCs w:val="18"/>
                <w:lang w:eastAsia="lt-LT"/>
              </w:rPr>
              <w:t>2</w:t>
            </w:r>
          </w:p>
        </w:tc>
        <w:tc>
          <w:tcPr>
            <w:tcW w:w="1134" w:type="dxa"/>
            <w:shd w:val="clear" w:color="auto" w:fill="auto"/>
            <w:vAlign w:val="center"/>
          </w:tcPr>
          <w:p w:rsidR="00BB3B93" w:rsidRPr="002A49CA" w:rsidRDefault="00BB3B93" w:rsidP="005D292B">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hAnsi="Times New Roman" w:cs="Times New Roman"/>
                <w:b/>
                <w:sz w:val="18"/>
                <w:szCs w:val="18"/>
              </w:rPr>
              <w:t>Duomenys iš projektų</w:t>
            </w:r>
          </w:p>
        </w:tc>
        <w:tc>
          <w:tcPr>
            <w:tcW w:w="1241" w:type="dxa"/>
            <w:shd w:val="clear" w:color="auto" w:fill="auto"/>
            <w:vAlign w:val="center"/>
          </w:tcPr>
          <w:p w:rsidR="00BB3B93" w:rsidRPr="002A49CA" w:rsidRDefault="00BB3B93" w:rsidP="005D292B">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hAnsi="Times New Roman" w:cs="Times New Roman"/>
                <w:b/>
                <w:sz w:val="18"/>
                <w:szCs w:val="18"/>
              </w:rPr>
              <w:t>Kartą per metus</w:t>
            </w:r>
          </w:p>
        </w:tc>
      </w:tr>
      <w:tr w:rsidR="00F70F43" w:rsidRPr="0042440E" w:rsidTr="005D292B">
        <w:tblPrEx>
          <w:shd w:val="clear" w:color="auto" w:fill="auto"/>
        </w:tblPrEx>
        <w:trPr>
          <w:trHeight w:val="687"/>
        </w:trPr>
        <w:tc>
          <w:tcPr>
            <w:tcW w:w="567" w:type="dxa"/>
            <w:shd w:val="clear" w:color="auto" w:fill="auto"/>
            <w:vAlign w:val="center"/>
          </w:tcPr>
          <w:p w:rsidR="00F70F43" w:rsidRPr="002A49CA" w:rsidRDefault="0036658D" w:rsidP="00C358DA">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12</w:t>
            </w:r>
            <w:r w:rsidR="00F70F43" w:rsidRPr="002A49CA">
              <w:rPr>
                <w:rFonts w:ascii="Times New Roman" w:eastAsia="Calibri" w:hAnsi="Times New Roman" w:cs="Times New Roman"/>
                <w:b/>
                <w:bCs/>
                <w:iCs/>
                <w:sz w:val="18"/>
                <w:szCs w:val="18"/>
                <w:lang w:eastAsia="lt-LT"/>
              </w:rPr>
              <w:t>.</w:t>
            </w:r>
          </w:p>
        </w:tc>
        <w:tc>
          <w:tcPr>
            <w:tcW w:w="2694" w:type="dxa"/>
            <w:shd w:val="clear" w:color="auto" w:fill="auto"/>
            <w:vAlign w:val="center"/>
          </w:tcPr>
          <w:p w:rsidR="00F70F43" w:rsidRPr="002A49CA" w:rsidRDefault="00F70F4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Investicijas gavusių mokslo ir studijų institucijų gautų MTEP užsakymų skaičius</w:t>
            </w:r>
          </w:p>
        </w:tc>
        <w:tc>
          <w:tcPr>
            <w:tcW w:w="1275" w:type="dxa"/>
            <w:shd w:val="clear" w:color="auto" w:fill="auto"/>
            <w:vAlign w:val="center"/>
          </w:tcPr>
          <w:p w:rsidR="00F70F43" w:rsidRPr="002A49CA" w:rsidRDefault="00F70F43" w:rsidP="003961A7">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Skaičius</w:t>
            </w:r>
          </w:p>
        </w:tc>
        <w:tc>
          <w:tcPr>
            <w:tcW w:w="851" w:type="dxa"/>
            <w:shd w:val="clear" w:color="auto" w:fill="auto"/>
            <w:vAlign w:val="center"/>
          </w:tcPr>
          <w:p w:rsidR="00F70F43" w:rsidRPr="002A49CA" w:rsidRDefault="00F70F43" w:rsidP="003961A7">
            <w:pPr>
              <w:widowControl w:val="0"/>
              <w:tabs>
                <w:tab w:val="left" w:pos="622"/>
              </w:tabs>
              <w:jc w:val="center"/>
              <w:rPr>
                <w:rFonts w:ascii="Times New Roman" w:eastAsia="Calibri" w:hAnsi="Times New Roman" w:cs="Times New Roman"/>
                <w:b/>
                <w:bCs/>
                <w:iCs/>
                <w:sz w:val="18"/>
                <w:szCs w:val="18"/>
                <w:highlight w:val="yellow"/>
                <w:lang w:eastAsia="lt-LT"/>
              </w:rPr>
            </w:pPr>
            <w:r w:rsidRPr="002A49CA">
              <w:rPr>
                <w:rFonts w:ascii="Times New Roman" w:eastAsia="Calibri" w:hAnsi="Times New Roman" w:cs="Times New Roman"/>
                <w:b/>
                <w:bCs/>
                <w:iCs/>
                <w:sz w:val="18"/>
                <w:szCs w:val="18"/>
                <w:lang w:eastAsia="lt-LT"/>
              </w:rPr>
              <w:t>ERPF</w:t>
            </w:r>
          </w:p>
        </w:tc>
        <w:tc>
          <w:tcPr>
            <w:tcW w:w="1134" w:type="dxa"/>
            <w:shd w:val="clear" w:color="auto" w:fill="auto"/>
            <w:vAlign w:val="center"/>
          </w:tcPr>
          <w:p w:rsidR="00F70F43" w:rsidRPr="002A49CA" w:rsidRDefault="00F70F43" w:rsidP="003961A7">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F70F43" w:rsidRPr="002A49CA" w:rsidRDefault="00AB760D" w:rsidP="00C358DA">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94</w:t>
            </w:r>
          </w:p>
        </w:tc>
        <w:tc>
          <w:tcPr>
            <w:tcW w:w="1134" w:type="dxa"/>
            <w:shd w:val="clear" w:color="auto" w:fill="auto"/>
            <w:vAlign w:val="center"/>
          </w:tcPr>
          <w:p w:rsidR="00F70F43" w:rsidRPr="002A49CA" w:rsidRDefault="00F70F43" w:rsidP="003961A7">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hAnsi="Times New Roman" w:cs="Times New Roman"/>
                <w:b/>
                <w:sz w:val="18"/>
                <w:szCs w:val="18"/>
              </w:rPr>
              <w:t>Duomenys iš projektų</w:t>
            </w:r>
          </w:p>
        </w:tc>
        <w:tc>
          <w:tcPr>
            <w:tcW w:w="1241" w:type="dxa"/>
            <w:shd w:val="clear" w:color="auto" w:fill="auto"/>
            <w:vAlign w:val="center"/>
          </w:tcPr>
          <w:p w:rsidR="00F70F43" w:rsidRPr="002A49CA" w:rsidRDefault="00F70F43" w:rsidP="003961A7">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hAnsi="Times New Roman" w:cs="Times New Roman"/>
                <w:b/>
                <w:sz w:val="18"/>
                <w:szCs w:val="18"/>
              </w:rPr>
              <w:t>Kartą per metus</w:t>
            </w:r>
          </w:p>
        </w:tc>
      </w:tr>
    </w:tbl>
    <w:p w:rsidR="000E330F" w:rsidRDefault="000E330F" w:rsidP="00834115">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834115" w:rsidRPr="0042440E" w:rsidTr="00834115">
        <w:tc>
          <w:tcPr>
            <w:tcW w:w="9746" w:type="dxa"/>
            <w:shd w:val="clear" w:color="auto" w:fill="EEECE1"/>
          </w:tcPr>
          <w:p w:rsidR="00834115" w:rsidRPr="0042440E" w:rsidRDefault="00834115" w:rsidP="00834115">
            <w:pPr>
              <w:widowControl w:val="0"/>
              <w:tabs>
                <w:tab w:val="left" w:pos="622"/>
              </w:tabs>
              <w:jc w:val="both"/>
              <w:rPr>
                <w:rFonts w:ascii="Times New Roman" w:eastAsia="AngsanaUPC" w:hAnsi="Times New Roman" w:cs="Times New Roman"/>
                <w:b/>
                <w:bCs/>
                <w:sz w:val="24"/>
                <w:szCs w:val="24"/>
                <w:lang w:eastAsia="lt-LT"/>
              </w:rPr>
            </w:pPr>
            <w:r w:rsidRPr="0042440E">
              <w:rPr>
                <w:rFonts w:ascii="Times New Roman" w:eastAsia="AngsanaUPC" w:hAnsi="Times New Roman" w:cs="Times New Roman"/>
                <w:b/>
                <w:bCs/>
                <w:i/>
                <w:iCs/>
                <w:sz w:val="24"/>
                <w:szCs w:val="24"/>
                <w:lang w:eastAsia="lt-LT"/>
              </w:rPr>
              <w:t>Projektų / veiksmų atrankos principai</w:t>
            </w:r>
          </w:p>
        </w:tc>
      </w:tr>
      <w:tr w:rsidR="00834115" w:rsidRPr="0042440E" w:rsidTr="00834115">
        <w:tc>
          <w:tcPr>
            <w:tcW w:w="9746" w:type="dxa"/>
            <w:shd w:val="clear" w:color="auto" w:fill="auto"/>
          </w:tcPr>
          <w:p w:rsidR="000C1A5F" w:rsidRPr="002A49CA" w:rsidRDefault="000C1A5F" w:rsidP="000C1A5F">
            <w:pPr>
              <w:widowControl w:val="0"/>
              <w:numPr>
                <w:ilvl w:val="0"/>
                <w:numId w:val="4"/>
              </w:numPr>
              <w:tabs>
                <w:tab w:val="left" w:pos="601"/>
              </w:tabs>
              <w:ind w:left="34" w:firstLine="284"/>
              <w:jc w:val="both"/>
              <w:rPr>
                <w:rFonts w:ascii="Times New Roman" w:eastAsia="AngsanaUPC" w:hAnsi="Times New Roman" w:cs="Times New Roman"/>
                <w:b/>
                <w:bCs/>
                <w:sz w:val="24"/>
                <w:szCs w:val="24"/>
                <w:lang w:eastAsia="lt-LT"/>
              </w:rPr>
            </w:pPr>
            <w:r w:rsidRPr="002A49CA">
              <w:rPr>
                <w:rFonts w:ascii="Times New Roman" w:eastAsia="AngsanaUPC" w:hAnsi="Times New Roman" w:cs="Times New Roman"/>
                <w:b/>
                <w:bCs/>
                <w:sz w:val="24"/>
                <w:szCs w:val="24"/>
                <w:lang w:eastAsia="lt-LT"/>
              </w:rPr>
              <w:t>13.1.</w:t>
            </w:r>
            <w:r w:rsidR="00962485">
              <w:rPr>
                <w:rFonts w:ascii="Times New Roman" w:eastAsia="AngsanaUPC" w:hAnsi="Times New Roman" w:cs="Times New Roman"/>
                <w:b/>
                <w:bCs/>
                <w:sz w:val="24"/>
                <w:szCs w:val="24"/>
                <w:lang w:eastAsia="lt-LT"/>
              </w:rPr>
              <w:t>1</w:t>
            </w:r>
            <w:r w:rsidRPr="002A49CA">
              <w:rPr>
                <w:rFonts w:ascii="Times New Roman" w:eastAsia="AngsanaUPC" w:hAnsi="Times New Roman" w:cs="Times New Roman"/>
                <w:b/>
                <w:bCs/>
                <w:sz w:val="24"/>
                <w:szCs w:val="24"/>
                <w:lang w:eastAsia="lt-LT"/>
              </w:rPr>
              <w:t xml:space="preserve"> konkretų uždavinį įgyvendinantys projektai bus atrenkami</w:t>
            </w:r>
            <w:r w:rsidR="00D61E9B" w:rsidRPr="002A49CA">
              <w:rPr>
                <w:rFonts w:ascii="Times New Roman" w:eastAsia="AngsanaUPC" w:hAnsi="Times New Roman" w:cs="Times New Roman"/>
                <w:b/>
                <w:bCs/>
                <w:sz w:val="24"/>
                <w:szCs w:val="24"/>
                <w:lang w:eastAsia="lt-LT"/>
              </w:rPr>
              <w:t xml:space="preserve"> tęstinės atrankos būdu, </w:t>
            </w:r>
            <w:r w:rsidRPr="002A49CA">
              <w:rPr>
                <w:rFonts w:ascii="Times New Roman" w:eastAsia="AngsanaUPC" w:hAnsi="Times New Roman" w:cs="Times New Roman"/>
                <w:b/>
                <w:bCs/>
                <w:sz w:val="24"/>
                <w:szCs w:val="24"/>
                <w:lang w:eastAsia="lt-LT"/>
              </w:rPr>
              <w:t>projektų konkurso būdu ir valstybės projektų planavimo būdu (tiesiogiai skiriant subsidiją).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834115" w:rsidRPr="0042440E" w:rsidRDefault="000C1A5F" w:rsidP="00583A1B">
            <w:pPr>
              <w:widowControl w:val="0"/>
              <w:tabs>
                <w:tab w:val="left" w:pos="601"/>
              </w:tabs>
              <w:ind w:firstLine="318"/>
              <w:jc w:val="both"/>
              <w:rPr>
                <w:rFonts w:ascii="Times New Roman" w:eastAsia="AngsanaUPC" w:hAnsi="Times New Roman" w:cs="Times New Roman"/>
                <w:bCs/>
                <w:sz w:val="24"/>
                <w:szCs w:val="24"/>
                <w:lang w:eastAsia="lt-LT"/>
              </w:rPr>
            </w:pPr>
            <w:r w:rsidRPr="002A49CA">
              <w:rPr>
                <w:rFonts w:ascii="Times New Roman" w:eastAsia="AngsanaUPC" w:hAnsi="Times New Roman" w:cs="Times New Roman"/>
                <w:b/>
                <w:bCs/>
                <w:sz w:val="24"/>
                <w:szCs w:val="24"/>
                <w:lang w:eastAsia="lt-LT"/>
              </w:rPr>
              <w:t>* Esant pagrįstam poreikiui pagal kiekvieną investicinį prioritetą gali būti taikomi ir kiti projektų atrankos būdai nurodyti pirmojo prioriteto dalyje „Projektų / veiksmų atrankos principai“.</w:t>
            </w:r>
          </w:p>
        </w:tc>
      </w:tr>
    </w:tbl>
    <w:p w:rsidR="00834115" w:rsidRDefault="00834115" w:rsidP="00834115">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834115" w:rsidRPr="0042440E" w:rsidTr="00834115">
        <w:tc>
          <w:tcPr>
            <w:tcW w:w="9746" w:type="dxa"/>
            <w:shd w:val="clear" w:color="auto" w:fill="EEECE1"/>
          </w:tcPr>
          <w:p w:rsidR="00834115" w:rsidRPr="0042440E" w:rsidRDefault="00834115" w:rsidP="00834115">
            <w:pPr>
              <w:widowControl w:val="0"/>
              <w:tabs>
                <w:tab w:val="left" w:pos="622"/>
              </w:tabs>
              <w:jc w:val="both"/>
              <w:rPr>
                <w:rFonts w:ascii="Times New Roman" w:eastAsia="AngsanaUPC" w:hAnsi="Times New Roman" w:cs="Times New Roman"/>
                <w:b/>
                <w:bCs/>
                <w:sz w:val="24"/>
                <w:szCs w:val="24"/>
                <w:lang w:eastAsia="lt-LT"/>
              </w:rPr>
            </w:pPr>
            <w:r w:rsidRPr="0042440E">
              <w:rPr>
                <w:rFonts w:ascii="Times New Roman" w:eastAsia="AngsanaUPC" w:hAnsi="Times New Roman" w:cs="Times New Roman"/>
                <w:b/>
                <w:bCs/>
                <w:i/>
                <w:iCs/>
                <w:sz w:val="24"/>
                <w:szCs w:val="24"/>
                <w:lang w:eastAsia="lt-LT"/>
              </w:rPr>
              <w:t>Finansiniai instrumentai ir jų aprašymas</w:t>
            </w:r>
          </w:p>
        </w:tc>
      </w:tr>
      <w:tr w:rsidR="00834115" w:rsidRPr="0042440E" w:rsidTr="00834115">
        <w:tc>
          <w:tcPr>
            <w:tcW w:w="9746" w:type="dxa"/>
            <w:shd w:val="clear" w:color="auto" w:fill="auto"/>
          </w:tcPr>
          <w:p w:rsidR="00834115" w:rsidRPr="002A49CA" w:rsidRDefault="00FA5078" w:rsidP="00834115">
            <w:pPr>
              <w:widowControl w:val="0"/>
              <w:tabs>
                <w:tab w:val="left" w:pos="622"/>
              </w:tabs>
              <w:ind w:firstLine="624"/>
              <w:jc w:val="both"/>
              <w:rPr>
                <w:rFonts w:ascii="Times New Roman" w:eastAsia="AngsanaUPC" w:hAnsi="Times New Roman" w:cs="Times New Roman"/>
                <w:b/>
                <w:bCs/>
                <w:iCs/>
                <w:sz w:val="24"/>
                <w:szCs w:val="24"/>
                <w:lang w:eastAsia="lt-LT"/>
              </w:rPr>
            </w:pPr>
            <w:r w:rsidRPr="002A49CA">
              <w:rPr>
                <w:rFonts w:ascii="Times New Roman" w:eastAsia="AngsanaUPC" w:hAnsi="Times New Roman" w:cs="Times New Roman"/>
                <w:b/>
                <w:bCs/>
                <w:sz w:val="24"/>
                <w:szCs w:val="24"/>
                <w:lang w:eastAsia="lt-LT"/>
              </w:rPr>
              <w:t>Pagal 13.1.</w:t>
            </w:r>
            <w:r w:rsidR="001C2CAF">
              <w:rPr>
                <w:rFonts w:ascii="Times New Roman" w:eastAsia="AngsanaUPC" w:hAnsi="Times New Roman" w:cs="Times New Roman"/>
                <w:b/>
                <w:bCs/>
                <w:sz w:val="24"/>
                <w:szCs w:val="24"/>
                <w:lang w:eastAsia="lt-LT"/>
              </w:rPr>
              <w:t>1</w:t>
            </w:r>
            <w:r w:rsidRPr="002A49CA">
              <w:rPr>
                <w:rFonts w:ascii="Times New Roman" w:eastAsia="AngsanaUPC" w:hAnsi="Times New Roman" w:cs="Times New Roman"/>
                <w:b/>
                <w:bCs/>
                <w:sz w:val="24"/>
                <w:szCs w:val="24"/>
                <w:lang w:eastAsia="lt-LT"/>
              </w:rPr>
              <w:t xml:space="preserve"> konkretų uždavinį </w:t>
            </w:r>
            <w:r w:rsidRPr="002A49CA">
              <w:rPr>
                <w:rFonts w:ascii="Times New Roman" w:eastAsia="AngsanaUPC" w:hAnsi="Times New Roman" w:cs="Times New Roman"/>
                <w:b/>
                <w:bCs/>
                <w:iCs/>
                <w:sz w:val="24"/>
                <w:szCs w:val="24"/>
                <w:lang w:eastAsia="lt-LT"/>
              </w:rPr>
              <w:t>finansinių instrumentų taikyti nenumatoma.</w:t>
            </w:r>
          </w:p>
        </w:tc>
      </w:tr>
    </w:tbl>
    <w:p w:rsidR="00834115" w:rsidRDefault="00834115" w:rsidP="00834115">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04"/>
        <w:gridCol w:w="7285"/>
      </w:tblGrid>
      <w:tr w:rsidR="00834115" w:rsidRPr="00356CFB" w:rsidTr="00834115">
        <w:tc>
          <w:tcPr>
            <w:tcW w:w="2404" w:type="dxa"/>
            <w:shd w:val="clear" w:color="auto" w:fill="EEECE1"/>
            <w:vAlign w:val="center"/>
          </w:tcPr>
          <w:p w:rsidR="00834115" w:rsidRPr="00356CFB" w:rsidRDefault="00834115" w:rsidP="00834115">
            <w:pPr>
              <w:widowControl w:val="0"/>
              <w:tabs>
                <w:tab w:val="left" w:pos="622"/>
              </w:tabs>
              <w:rPr>
                <w:rFonts w:ascii="Times New Roman" w:eastAsia="AngsanaUPC" w:hAnsi="Times New Roman" w:cs="Times New Roman"/>
                <w:b/>
                <w:bCs/>
                <w:sz w:val="24"/>
                <w:szCs w:val="24"/>
                <w:lang w:eastAsia="lt-LT"/>
              </w:rPr>
            </w:pPr>
            <w:r w:rsidRPr="00356CFB">
              <w:rPr>
                <w:rFonts w:ascii="Times New Roman" w:eastAsia="AngsanaUPC" w:hAnsi="Times New Roman" w:cs="Times New Roman"/>
                <w:b/>
                <w:bCs/>
                <w:sz w:val="24"/>
                <w:szCs w:val="24"/>
                <w:lang w:eastAsia="lt-LT"/>
              </w:rPr>
              <w:t>1</w:t>
            </w:r>
            <w:r>
              <w:rPr>
                <w:rFonts w:ascii="Times New Roman" w:eastAsia="AngsanaUPC" w:hAnsi="Times New Roman" w:cs="Times New Roman"/>
                <w:b/>
                <w:bCs/>
                <w:sz w:val="24"/>
                <w:szCs w:val="24"/>
                <w:lang w:eastAsia="lt-LT"/>
              </w:rPr>
              <w:t>3.1.</w:t>
            </w:r>
            <w:r w:rsidR="001C2CAF">
              <w:rPr>
                <w:rFonts w:ascii="Times New Roman" w:eastAsia="AngsanaUPC" w:hAnsi="Times New Roman" w:cs="Times New Roman"/>
                <w:b/>
                <w:bCs/>
                <w:sz w:val="24"/>
                <w:szCs w:val="24"/>
                <w:lang w:eastAsia="lt-LT"/>
              </w:rPr>
              <w:t>2</w:t>
            </w:r>
            <w:r w:rsidRPr="00356CFB">
              <w:rPr>
                <w:rFonts w:ascii="Times New Roman" w:eastAsia="AngsanaUPC" w:hAnsi="Times New Roman" w:cs="Times New Roman"/>
                <w:b/>
                <w:bCs/>
                <w:sz w:val="24"/>
                <w:szCs w:val="24"/>
                <w:lang w:eastAsia="lt-LT"/>
              </w:rPr>
              <w:t>. KONKRETUS UŽDAVINYS</w:t>
            </w:r>
          </w:p>
        </w:tc>
        <w:tc>
          <w:tcPr>
            <w:tcW w:w="7285" w:type="dxa"/>
            <w:shd w:val="clear" w:color="auto" w:fill="EEECE1"/>
            <w:vAlign w:val="center"/>
          </w:tcPr>
          <w:p w:rsidR="00834115" w:rsidRPr="00356CFB" w:rsidRDefault="00737205" w:rsidP="00834115">
            <w:pPr>
              <w:jc w:val="both"/>
              <w:rPr>
                <w:rFonts w:ascii="Times New Roman" w:eastAsia="Calibri" w:hAnsi="Times New Roman" w:cs="Times New Roman"/>
                <w:b/>
                <w:sz w:val="24"/>
                <w:szCs w:val="24"/>
              </w:rPr>
            </w:pPr>
            <w:r w:rsidRPr="00737205">
              <w:rPr>
                <w:rFonts w:ascii="Times New Roman" w:eastAsia="Calibri" w:hAnsi="Times New Roman" w:cs="Times New Roman"/>
                <w:b/>
                <w:sz w:val="24"/>
                <w:szCs w:val="24"/>
              </w:rPr>
              <w:t>Skatinti ene</w:t>
            </w:r>
            <w:r w:rsidR="0089677D">
              <w:rPr>
                <w:rFonts w:ascii="Times New Roman" w:eastAsia="Calibri" w:hAnsi="Times New Roman" w:cs="Times New Roman"/>
                <w:b/>
                <w:sz w:val="24"/>
                <w:szCs w:val="24"/>
              </w:rPr>
              <w:t>rgetinį efektyvumą</w:t>
            </w:r>
            <w:r w:rsidRPr="00737205">
              <w:rPr>
                <w:rFonts w:ascii="Times New Roman" w:eastAsia="Calibri" w:hAnsi="Times New Roman" w:cs="Times New Roman"/>
                <w:b/>
                <w:sz w:val="24"/>
                <w:szCs w:val="24"/>
              </w:rPr>
              <w:t>, siekiant švelninti poveikį klimato kaitai</w:t>
            </w:r>
          </w:p>
        </w:tc>
      </w:tr>
      <w:tr w:rsidR="00834115" w:rsidRPr="00356CFB" w:rsidTr="00834115">
        <w:tc>
          <w:tcPr>
            <w:tcW w:w="9689" w:type="dxa"/>
            <w:gridSpan w:val="2"/>
            <w:shd w:val="clear" w:color="auto" w:fill="auto"/>
          </w:tcPr>
          <w:p w:rsidR="00834115" w:rsidRPr="002A49CA" w:rsidRDefault="007A02C2" w:rsidP="007A02C2">
            <w:pPr>
              <w:ind w:firstLine="624"/>
              <w:jc w:val="both"/>
              <w:rPr>
                <w:rFonts w:ascii="Times New Roman" w:eastAsia="Calibri" w:hAnsi="Times New Roman" w:cs="Times New Roman"/>
                <w:b/>
                <w:sz w:val="24"/>
                <w:szCs w:val="24"/>
              </w:rPr>
            </w:pPr>
            <w:r w:rsidRPr="002A49CA">
              <w:rPr>
                <w:rFonts w:ascii="Times New Roman" w:eastAsia="Calibri" w:hAnsi="Times New Roman" w:cs="Times New Roman"/>
                <w:b/>
                <w:sz w:val="24"/>
                <w:szCs w:val="24"/>
              </w:rPr>
              <w:t>Transformuojant ekonomiką bei</w:t>
            </w:r>
            <w:r w:rsidR="00857424" w:rsidRPr="002A49CA">
              <w:rPr>
                <w:rFonts w:ascii="Times New Roman" w:eastAsia="Calibri" w:hAnsi="Times New Roman" w:cs="Times New Roman"/>
                <w:b/>
                <w:sz w:val="24"/>
                <w:szCs w:val="24"/>
              </w:rPr>
              <w:t xml:space="preserve"> orientuojant ją tvaraus ir integracinio augimo kryptimi, </w:t>
            </w:r>
            <w:r w:rsidRPr="002A49CA">
              <w:rPr>
                <w:rFonts w:ascii="Times New Roman" w:eastAsia="Calibri" w:hAnsi="Times New Roman" w:cs="Times New Roman"/>
                <w:b/>
                <w:sz w:val="24"/>
                <w:szCs w:val="24"/>
              </w:rPr>
              <w:t>vienas svarbiausių aspektų – Europos žaliojo kurso bei Darnaus vystymosi tikslų siekimas. Moderni, efektyviai išteklius naudojanti ir konkurencinga ekonomika – tai nauja augimo strategija, kuria siekiama teisingos, klestinčios</w:t>
            </w:r>
            <w:r w:rsidR="00A51305" w:rsidRPr="002A49CA">
              <w:rPr>
                <w:rFonts w:ascii="Times New Roman" w:eastAsia="Calibri" w:hAnsi="Times New Roman" w:cs="Times New Roman"/>
                <w:b/>
                <w:sz w:val="24"/>
                <w:szCs w:val="24"/>
              </w:rPr>
              <w:t xml:space="preserve"> ir sveikos visuomenės.</w:t>
            </w:r>
          </w:p>
          <w:p w:rsidR="00A51305" w:rsidRDefault="00A51305" w:rsidP="00061955">
            <w:pPr>
              <w:ind w:firstLine="624"/>
              <w:jc w:val="both"/>
              <w:rPr>
                <w:rFonts w:ascii="Times New Roman" w:eastAsia="Calibri" w:hAnsi="Times New Roman" w:cs="Times New Roman"/>
                <w:b/>
                <w:sz w:val="24"/>
                <w:szCs w:val="24"/>
              </w:rPr>
            </w:pPr>
            <w:r w:rsidRPr="002A49CA">
              <w:rPr>
                <w:rFonts w:ascii="Times New Roman" w:eastAsia="Calibri" w:hAnsi="Times New Roman" w:cs="Times New Roman"/>
                <w:b/>
                <w:sz w:val="24"/>
                <w:szCs w:val="24"/>
              </w:rPr>
              <w:t>Europos Tarybos rekomendacijose pažymima, kad siekiant paremti ekonomikos atsigavimą, labai svarbu paankstinti viešųjų investicinių projektų įgyvendinimą ir skatinti privačiąsias investicijas, imanti</w:t>
            </w:r>
            <w:r w:rsidR="00061955" w:rsidRPr="002A49CA">
              <w:rPr>
                <w:rFonts w:ascii="Times New Roman" w:eastAsia="Calibri" w:hAnsi="Times New Roman" w:cs="Times New Roman"/>
                <w:b/>
                <w:sz w:val="24"/>
                <w:szCs w:val="24"/>
              </w:rPr>
              <w:t>s žaliosios pertvarkos reformos, sutelkti investicijas į švarią ir efektyvią energijos gamybą ir vartojimą.</w:t>
            </w:r>
            <w:r w:rsidRPr="002A49CA">
              <w:rPr>
                <w:rFonts w:ascii="Times New Roman" w:eastAsia="Calibri" w:hAnsi="Times New Roman" w:cs="Times New Roman"/>
                <w:b/>
                <w:sz w:val="24"/>
                <w:szCs w:val="24"/>
              </w:rPr>
              <w:t xml:space="preserve"> Pagal Lietuvos nacionalinį energetikos ir klimato srities veiksmų planą, sumažinti ekonomikos pr</w:t>
            </w:r>
            <w:r w:rsidR="00ED52A0" w:rsidRPr="002A49CA">
              <w:rPr>
                <w:rFonts w:ascii="Times New Roman" w:eastAsia="Calibri" w:hAnsi="Times New Roman" w:cs="Times New Roman"/>
                <w:b/>
                <w:sz w:val="24"/>
                <w:szCs w:val="24"/>
              </w:rPr>
              <w:t>iklausomybę nuo iškastinio kuro</w:t>
            </w:r>
            <w:r w:rsidRPr="002A49CA">
              <w:rPr>
                <w:rFonts w:ascii="Times New Roman" w:eastAsia="Calibri" w:hAnsi="Times New Roman" w:cs="Times New Roman"/>
                <w:b/>
                <w:sz w:val="24"/>
                <w:szCs w:val="24"/>
              </w:rPr>
              <w:t xml:space="preserve"> labai padėtų pastatų energetinio naudingumo didinimas pasinaudojant energijos vartojimo </w:t>
            </w:r>
            <w:r w:rsidR="0066519F">
              <w:rPr>
                <w:rFonts w:ascii="Times New Roman" w:eastAsia="Calibri" w:hAnsi="Times New Roman" w:cs="Times New Roman"/>
                <w:b/>
                <w:sz w:val="24"/>
                <w:szCs w:val="24"/>
              </w:rPr>
              <w:t>efektyvumo sprendimais, šildymo sistemų modernizavimu</w:t>
            </w:r>
            <w:r w:rsidR="00ED52A0" w:rsidRPr="002A49CA">
              <w:rPr>
                <w:rFonts w:ascii="Times New Roman" w:eastAsia="Calibri" w:hAnsi="Times New Roman" w:cs="Times New Roman"/>
                <w:b/>
                <w:sz w:val="24"/>
                <w:szCs w:val="24"/>
              </w:rPr>
              <w:t>. Tikslinės investicijos, kuriomis siekiama spręsti šias problemas, darančios didelį poveikį aplinkai ir sveikatai, skatins ekonomikos augimą ir atsparumą bei padės užtikrinti tvarų atsigavimą po krizės.</w:t>
            </w:r>
          </w:p>
          <w:p w:rsidR="00614764" w:rsidRPr="002A49CA" w:rsidRDefault="0066519F" w:rsidP="00E2019D">
            <w:pPr>
              <w:ind w:firstLine="624"/>
              <w:jc w:val="both"/>
              <w:rPr>
                <w:rFonts w:ascii="Times New Roman" w:eastAsia="Calibri" w:hAnsi="Times New Roman" w:cs="Times New Roman"/>
                <w:b/>
                <w:sz w:val="24"/>
                <w:szCs w:val="24"/>
              </w:rPr>
            </w:pPr>
            <w:r>
              <w:rPr>
                <w:rFonts w:ascii="Times New Roman" w:eastAsia="Calibri" w:hAnsi="Times New Roman" w:cs="Times New Roman"/>
                <w:b/>
                <w:sz w:val="24"/>
                <w:szCs w:val="24"/>
              </w:rPr>
              <w:t>V</w:t>
            </w:r>
            <w:r w:rsidR="00E2019D">
              <w:rPr>
                <w:rFonts w:ascii="Times New Roman" w:eastAsia="Calibri" w:hAnsi="Times New Roman" w:cs="Times New Roman"/>
                <w:b/>
                <w:sz w:val="24"/>
                <w:szCs w:val="24"/>
              </w:rPr>
              <w:t>iešosios infrastruktūros energijos ir išteklių naudojimo efektyvumo finansavimas sieks Europos pavyzdinės iniciatyvos „</w:t>
            </w:r>
            <w:r w:rsidR="00614764">
              <w:rPr>
                <w:rFonts w:ascii="Times New Roman" w:eastAsia="Calibri" w:hAnsi="Times New Roman" w:cs="Times New Roman"/>
                <w:b/>
                <w:sz w:val="24"/>
                <w:szCs w:val="24"/>
              </w:rPr>
              <w:t>Renovacija</w:t>
            </w:r>
            <w:r w:rsidR="00E2019D">
              <w:rPr>
                <w:rFonts w:ascii="Times New Roman" w:eastAsia="Calibri" w:hAnsi="Times New Roman" w:cs="Times New Roman"/>
                <w:b/>
                <w:sz w:val="24"/>
                <w:szCs w:val="24"/>
              </w:rPr>
              <w:t>“ tikslų.</w:t>
            </w:r>
          </w:p>
          <w:p w:rsidR="00061955" w:rsidRPr="0066519F" w:rsidRDefault="00A51305" w:rsidP="0066519F">
            <w:pPr>
              <w:ind w:firstLine="624"/>
              <w:jc w:val="both"/>
              <w:rPr>
                <w:rFonts w:ascii="Times New Roman" w:eastAsia="Calibri" w:hAnsi="Times New Roman" w:cs="Times New Roman"/>
                <w:b/>
                <w:sz w:val="24"/>
                <w:szCs w:val="24"/>
              </w:rPr>
            </w:pPr>
            <w:r w:rsidRPr="002A49CA">
              <w:rPr>
                <w:rFonts w:ascii="Times New Roman" w:eastAsia="Calibri" w:hAnsi="Times New Roman" w:cs="Times New Roman"/>
                <w:b/>
                <w:sz w:val="24"/>
                <w:szCs w:val="24"/>
              </w:rPr>
              <w:t>Didinant ekonomikos atsparumą klimato kaitai bus investuoja</w:t>
            </w:r>
            <w:r w:rsidR="0066519F">
              <w:rPr>
                <w:rFonts w:ascii="Times New Roman" w:eastAsia="Calibri" w:hAnsi="Times New Roman" w:cs="Times New Roman"/>
                <w:b/>
                <w:sz w:val="24"/>
                <w:szCs w:val="24"/>
              </w:rPr>
              <w:t>ma į</w:t>
            </w:r>
            <w:r w:rsidRPr="002A49CA">
              <w:rPr>
                <w:rFonts w:ascii="Times New Roman" w:eastAsia="Calibri" w:hAnsi="Times New Roman" w:cs="Times New Roman"/>
                <w:b/>
                <w:sz w:val="24"/>
                <w:szCs w:val="24"/>
              </w:rPr>
              <w:t xml:space="preserve"> pastatų renovaciją ir jų energetinio e</w:t>
            </w:r>
            <w:r w:rsidR="0066519F">
              <w:rPr>
                <w:rFonts w:ascii="Times New Roman" w:eastAsia="Calibri" w:hAnsi="Times New Roman" w:cs="Times New Roman"/>
                <w:b/>
                <w:sz w:val="24"/>
                <w:szCs w:val="24"/>
              </w:rPr>
              <w:t>fektyvumo didinimą</w:t>
            </w:r>
            <w:r w:rsidRPr="002A49CA">
              <w:rPr>
                <w:rFonts w:ascii="Times New Roman" w:eastAsia="Calibri" w:hAnsi="Times New Roman" w:cs="Times New Roman"/>
                <w:b/>
                <w:sz w:val="24"/>
                <w:szCs w:val="24"/>
              </w:rPr>
              <w:t xml:space="preserve">. </w:t>
            </w:r>
            <w:r w:rsidR="00D91AC8" w:rsidRPr="002A49CA">
              <w:rPr>
                <w:rFonts w:ascii="Times New Roman" w:eastAsia="Calibri" w:hAnsi="Times New Roman" w:cs="Times New Roman"/>
                <w:b/>
                <w:sz w:val="24"/>
                <w:szCs w:val="24"/>
              </w:rPr>
              <w:t>Š</w:t>
            </w:r>
            <w:r w:rsidR="00061955" w:rsidRPr="002A49CA">
              <w:rPr>
                <w:rFonts w:ascii="Times New Roman" w:eastAsia="Calibri" w:hAnsi="Times New Roman" w:cs="Times New Roman"/>
                <w:b/>
                <w:sz w:val="24"/>
                <w:szCs w:val="24"/>
              </w:rPr>
              <w:t xml:space="preserve">ios investicijos </w:t>
            </w:r>
            <w:r w:rsidR="00A04C88" w:rsidRPr="002A49CA">
              <w:rPr>
                <w:rFonts w:ascii="Times New Roman" w:eastAsia="Calibri" w:hAnsi="Times New Roman" w:cs="Times New Roman"/>
                <w:b/>
                <w:sz w:val="24"/>
                <w:szCs w:val="24"/>
              </w:rPr>
              <w:t>paspartins šalies ūkio pokyčius siekiant klimatui draugiško vystymosi.</w:t>
            </w:r>
          </w:p>
        </w:tc>
      </w:tr>
    </w:tbl>
    <w:p w:rsidR="00834115" w:rsidRDefault="00834115" w:rsidP="00834115">
      <w:pPr>
        <w:widowControl w:val="0"/>
        <w:jc w:val="both"/>
        <w:textAlignment w:val="baseline"/>
        <w:rPr>
          <w:rFonts w:ascii="Times New Roman" w:hAnsi="Times New Roman" w:cs="Times New Roman"/>
          <w:i/>
          <w:color w:val="000000"/>
          <w:sz w:val="24"/>
          <w:szCs w:val="24"/>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560"/>
        <w:gridCol w:w="1134"/>
        <w:gridCol w:w="1134"/>
        <w:gridCol w:w="850"/>
        <w:gridCol w:w="992"/>
        <w:gridCol w:w="851"/>
        <w:gridCol w:w="1417"/>
        <w:gridCol w:w="1241"/>
      </w:tblGrid>
      <w:tr w:rsidR="00834115" w:rsidRPr="00356CFB" w:rsidTr="00834115">
        <w:trPr>
          <w:tblHeader/>
        </w:trPr>
        <w:tc>
          <w:tcPr>
            <w:tcW w:w="9746" w:type="dxa"/>
            <w:gridSpan w:val="9"/>
            <w:shd w:val="clear" w:color="auto" w:fill="EEECE1"/>
          </w:tcPr>
          <w:p w:rsidR="00834115" w:rsidRPr="002A49CA" w:rsidRDefault="00834115" w:rsidP="00834115">
            <w:pPr>
              <w:widowControl w:val="0"/>
              <w:tabs>
                <w:tab w:val="left" w:pos="622"/>
              </w:tabs>
              <w:jc w:val="both"/>
              <w:rPr>
                <w:rFonts w:ascii="Times New Roman" w:eastAsia="AngsanaUPC" w:hAnsi="Times New Roman" w:cs="Times New Roman"/>
                <w:b/>
                <w:bCs/>
                <w:i/>
                <w:iCs/>
                <w:sz w:val="18"/>
                <w:szCs w:val="18"/>
                <w:lang w:eastAsia="lt-LT"/>
              </w:rPr>
            </w:pPr>
            <w:r w:rsidRPr="002A49CA">
              <w:rPr>
                <w:rFonts w:ascii="Times New Roman" w:eastAsia="AngsanaUPC" w:hAnsi="Times New Roman" w:cs="Times New Roman"/>
                <w:b/>
                <w:bCs/>
                <w:i/>
                <w:iCs/>
                <w:sz w:val="18"/>
                <w:szCs w:val="18"/>
                <w:lang w:eastAsia="lt-LT"/>
              </w:rPr>
              <w:t>ERPF specialieji programos rezultato rodikliai</w:t>
            </w:r>
          </w:p>
        </w:tc>
      </w:tr>
      <w:tr w:rsidR="00834115" w:rsidRPr="00356CFB" w:rsidTr="00834115">
        <w:tblPrEx>
          <w:shd w:val="clear" w:color="auto" w:fill="auto"/>
        </w:tblPrEx>
        <w:trPr>
          <w:trHeight w:val="868"/>
          <w:tblHeader/>
        </w:trPr>
        <w:tc>
          <w:tcPr>
            <w:tcW w:w="567" w:type="dxa"/>
            <w:shd w:val="clear" w:color="auto" w:fill="EEECE1"/>
            <w:vAlign w:val="center"/>
          </w:tcPr>
          <w:p w:rsidR="00834115" w:rsidRPr="00356CFB" w:rsidRDefault="00834115" w:rsidP="00834115">
            <w:pPr>
              <w:widowControl w:val="0"/>
              <w:tabs>
                <w:tab w:val="left" w:pos="622"/>
              </w:tabs>
              <w:jc w:val="center"/>
              <w:rPr>
                <w:rFonts w:ascii="Times New Roman" w:eastAsia="AngsanaUPC" w:hAnsi="Times New Roman" w:cs="Times New Roman"/>
                <w:b/>
                <w:bCs/>
                <w:iCs/>
                <w:sz w:val="18"/>
                <w:szCs w:val="18"/>
                <w:lang w:eastAsia="lt-LT"/>
              </w:rPr>
            </w:pPr>
            <w:r w:rsidRPr="00356CFB">
              <w:rPr>
                <w:rFonts w:ascii="Times New Roman" w:eastAsia="AngsanaUPC" w:hAnsi="Times New Roman" w:cs="Times New Roman"/>
                <w:b/>
                <w:bCs/>
                <w:iCs/>
                <w:sz w:val="18"/>
                <w:szCs w:val="18"/>
                <w:lang w:eastAsia="lt-LT"/>
              </w:rPr>
              <w:t>Nr.</w:t>
            </w:r>
          </w:p>
        </w:tc>
        <w:tc>
          <w:tcPr>
            <w:tcW w:w="1560" w:type="dxa"/>
            <w:shd w:val="clear" w:color="auto" w:fill="EEECE1"/>
            <w:vAlign w:val="center"/>
          </w:tcPr>
          <w:p w:rsidR="00834115" w:rsidRPr="002A49CA" w:rsidRDefault="00834115" w:rsidP="00834115">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Rodiklio pavadinimas</w:t>
            </w:r>
          </w:p>
        </w:tc>
        <w:tc>
          <w:tcPr>
            <w:tcW w:w="1134" w:type="dxa"/>
            <w:shd w:val="clear" w:color="auto" w:fill="EEECE1"/>
            <w:vAlign w:val="center"/>
          </w:tcPr>
          <w:p w:rsidR="00834115" w:rsidRPr="002A49CA" w:rsidRDefault="00834115" w:rsidP="00834115">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Matavimo vienetas</w:t>
            </w:r>
          </w:p>
        </w:tc>
        <w:tc>
          <w:tcPr>
            <w:tcW w:w="1134" w:type="dxa"/>
            <w:shd w:val="clear" w:color="auto" w:fill="EEECE1"/>
            <w:vAlign w:val="center"/>
          </w:tcPr>
          <w:p w:rsidR="00834115" w:rsidRPr="002A49CA" w:rsidRDefault="00834115" w:rsidP="00834115">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Regiono kategorija</w:t>
            </w:r>
          </w:p>
        </w:tc>
        <w:tc>
          <w:tcPr>
            <w:tcW w:w="850" w:type="dxa"/>
            <w:shd w:val="clear" w:color="auto" w:fill="EEECE1"/>
            <w:vAlign w:val="center"/>
          </w:tcPr>
          <w:p w:rsidR="00834115" w:rsidRPr="002A49CA" w:rsidRDefault="00834115" w:rsidP="00834115">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Pradinė reikšmė</w:t>
            </w:r>
          </w:p>
        </w:tc>
        <w:tc>
          <w:tcPr>
            <w:tcW w:w="992" w:type="dxa"/>
            <w:shd w:val="clear" w:color="auto" w:fill="EEECE1"/>
            <w:vAlign w:val="center"/>
          </w:tcPr>
          <w:p w:rsidR="00834115" w:rsidRPr="002A49CA" w:rsidRDefault="00834115" w:rsidP="00834115">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Pradinės reikšmės metai</w:t>
            </w:r>
          </w:p>
        </w:tc>
        <w:tc>
          <w:tcPr>
            <w:tcW w:w="851" w:type="dxa"/>
            <w:shd w:val="clear" w:color="auto" w:fill="EEECE1"/>
            <w:vAlign w:val="center"/>
          </w:tcPr>
          <w:p w:rsidR="00834115" w:rsidRPr="002A49CA" w:rsidRDefault="00834115" w:rsidP="00834115">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Siektina reikšmė (2023)</w:t>
            </w:r>
          </w:p>
        </w:tc>
        <w:tc>
          <w:tcPr>
            <w:tcW w:w="1417" w:type="dxa"/>
            <w:shd w:val="clear" w:color="auto" w:fill="EEECE1"/>
            <w:vAlign w:val="center"/>
          </w:tcPr>
          <w:p w:rsidR="00834115" w:rsidRPr="002A49CA" w:rsidRDefault="00834115" w:rsidP="00834115">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Duomenų šaltinis</w:t>
            </w:r>
          </w:p>
        </w:tc>
        <w:tc>
          <w:tcPr>
            <w:tcW w:w="1241" w:type="dxa"/>
            <w:shd w:val="clear" w:color="auto" w:fill="EEECE1"/>
            <w:vAlign w:val="center"/>
          </w:tcPr>
          <w:p w:rsidR="00834115" w:rsidRPr="002A49CA" w:rsidRDefault="00834115" w:rsidP="00834115">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Atsiskaitymo dažnumas</w:t>
            </w:r>
          </w:p>
        </w:tc>
      </w:tr>
      <w:tr w:rsidR="00AB760D" w:rsidRPr="00356CFB" w:rsidTr="00D868E7">
        <w:tblPrEx>
          <w:shd w:val="clear" w:color="auto" w:fill="auto"/>
        </w:tblPrEx>
        <w:trPr>
          <w:trHeight w:val="184"/>
        </w:trPr>
        <w:tc>
          <w:tcPr>
            <w:tcW w:w="567" w:type="dxa"/>
            <w:shd w:val="clear" w:color="auto" w:fill="auto"/>
            <w:vAlign w:val="center"/>
          </w:tcPr>
          <w:p w:rsidR="00AB760D" w:rsidRDefault="00DF641B" w:rsidP="00E72A19">
            <w:pPr>
              <w:widowControl w:val="0"/>
              <w:tabs>
                <w:tab w:val="left" w:pos="622"/>
              </w:tabs>
              <w:jc w:val="center"/>
              <w:rPr>
                <w:rFonts w:ascii="Times New Roman" w:eastAsia="AngsanaUPC" w:hAnsi="Times New Roman" w:cs="Times New Roman"/>
                <w:b/>
                <w:bCs/>
                <w:iCs/>
                <w:sz w:val="18"/>
                <w:szCs w:val="18"/>
                <w:lang w:val="en-US" w:eastAsia="lt-LT"/>
              </w:rPr>
            </w:pPr>
            <w:r>
              <w:rPr>
                <w:rFonts w:ascii="Times New Roman" w:eastAsia="AngsanaUPC" w:hAnsi="Times New Roman" w:cs="Times New Roman"/>
                <w:b/>
                <w:bCs/>
                <w:iCs/>
                <w:sz w:val="18"/>
                <w:szCs w:val="18"/>
                <w:lang w:val="en-US" w:eastAsia="lt-LT"/>
              </w:rPr>
              <w:lastRenderedPageBreak/>
              <w:t>1</w:t>
            </w:r>
            <w:r w:rsidR="00AB760D">
              <w:rPr>
                <w:rFonts w:ascii="Times New Roman" w:eastAsia="AngsanaUPC" w:hAnsi="Times New Roman" w:cs="Times New Roman"/>
                <w:b/>
                <w:bCs/>
                <w:iCs/>
                <w:sz w:val="18"/>
                <w:szCs w:val="18"/>
                <w:lang w:val="en-US" w:eastAsia="lt-LT"/>
              </w:rPr>
              <w:t>.</w:t>
            </w:r>
          </w:p>
        </w:tc>
        <w:tc>
          <w:tcPr>
            <w:tcW w:w="1560" w:type="dxa"/>
            <w:shd w:val="clear" w:color="auto" w:fill="auto"/>
            <w:vAlign w:val="center"/>
          </w:tcPr>
          <w:p w:rsidR="00AB760D" w:rsidRPr="002A49CA" w:rsidRDefault="00AB760D" w:rsidP="002C482C">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Sunaudotas galutinės energijos kiekis paslaugų ir namų ūkių sektoriuose</w:t>
            </w:r>
          </w:p>
        </w:tc>
        <w:tc>
          <w:tcPr>
            <w:tcW w:w="1134" w:type="dxa"/>
            <w:shd w:val="clear" w:color="auto" w:fill="auto"/>
            <w:vAlign w:val="center"/>
          </w:tcPr>
          <w:p w:rsidR="00AB760D" w:rsidRPr="002A49CA" w:rsidRDefault="00AB760D" w:rsidP="002C482C">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hAnsi="Times New Roman" w:cs="Times New Roman"/>
                <w:b/>
                <w:sz w:val="18"/>
                <w:szCs w:val="18"/>
                <w:lang w:eastAsia="lt-LT"/>
              </w:rPr>
              <w:t>tūkst. Tne</w:t>
            </w:r>
          </w:p>
        </w:tc>
        <w:tc>
          <w:tcPr>
            <w:tcW w:w="1134" w:type="dxa"/>
            <w:shd w:val="clear" w:color="auto" w:fill="auto"/>
            <w:vAlign w:val="center"/>
          </w:tcPr>
          <w:p w:rsidR="00AB760D" w:rsidRPr="002A49CA" w:rsidRDefault="00AB760D" w:rsidP="002C482C">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Mažiau išsivystęs</w:t>
            </w:r>
          </w:p>
        </w:tc>
        <w:tc>
          <w:tcPr>
            <w:tcW w:w="850" w:type="dxa"/>
            <w:shd w:val="clear" w:color="auto" w:fill="auto"/>
            <w:vAlign w:val="center"/>
          </w:tcPr>
          <w:p w:rsidR="00AB760D" w:rsidRPr="002A49CA" w:rsidRDefault="00AB760D" w:rsidP="002C482C">
            <w:pPr>
              <w:widowControl w:val="0"/>
              <w:tabs>
                <w:tab w:val="left" w:pos="622"/>
              </w:tabs>
              <w:jc w:val="center"/>
              <w:rPr>
                <w:rFonts w:ascii="Times New Roman" w:eastAsia="AngsanaUPC" w:hAnsi="Times New Roman" w:cs="Times New Roman"/>
                <w:b/>
                <w:bCs/>
                <w:iCs/>
                <w:sz w:val="18"/>
                <w:szCs w:val="18"/>
                <w:lang w:eastAsia="lt-LT"/>
              </w:rPr>
            </w:pPr>
            <w:r>
              <w:rPr>
                <w:rFonts w:ascii="Times New Roman" w:hAnsi="Times New Roman" w:cs="Times New Roman"/>
                <w:b/>
                <w:sz w:val="18"/>
                <w:szCs w:val="18"/>
                <w:lang w:eastAsia="lt-LT"/>
              </w:rPr>
              <w:t>2.074,7</w:t>
            </w:r>
          </w:p>
        </w:tc>
        <w:tc>
          <w:tcPr>
            <w:tcW w:w="992" w:type="dxa"/>
            <w:shd w:val="clear" w:color="auto" w:fill="auto"/>
            <w:vAlign w:val="center"/>
          </w:tcPr>
          <w:p w:rsidR="00AB760D" w:rsidRPr="002A49CA" w:rsidRDefault="00AB760D" w:rsidP="002C482C">
            <w:pPr>
              <w:widowControl w:val="0"/>
              <w:tabs>
                <w:tab w:val="left" w:pos="622"/>
              </w:tabs>
              <w:jc w:val="center"/>
              <w:rPr>
                <w:rFonts w:ascii="Times New Roman" w:eastAsia="AngsanaUPC" w:hAnsi="Times New Roman" w:cs="Times New Roman"/>
                <w:b/>
                <w:bCs/>
                <w:iCs/>
                <w:sz w:val="18"/>
                <w:szCs w:val="18"/>
                <w:lang w:eastAsia="lt-LT"/>
              </w:rPr>
            </w:pPr>
            <w:r>
              <w:rPr>
                <w:rFonts w:ascii="Times New Roman" w:eastAsia="AngsanaUPC" w:hAnsi="Times New Roman" w:cs="Times New Roman"/>
                <w:b/>
                <w:bCs/>
                <w:iCs/>
                <w:sz w:val="18"/>
                <w:szCs w:val="18"/>
                <w:lang w:eastAsia="lt-LT"/>
              </w:rPr>
              <w:t>2019</w:t>
            </w:r>
          </w:p>
        </w:tc>
        <w:tc>
          <w:tcPr>
            <w:tcW w:w="851" w:type="dxa"/>
            <w:shd w:val="clear" w:color="auto" w:fill="auto"/>
            <w:vAlign w:val="center"/>
          </w:tcPr>
          <w:p w:rsidR="00AB760D" w:rsidRPr="002A49CA" w:rsidRDefault="00AB760D" w:rsidP="002C482C">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hAnsi="Times New Roman" w:cs="Times New Roman"/>
                <w:b/>
                <w:sz w:val="18"/>
                <w:szCs w:val="18"/>
                <w:lang w:eastAsia="lt-LT"/>
              </w:rPr>
              <w:t>1.680</w:t>
            </w:r>
          </w:p>
        </w:tc>
        <w:tc>
          <w:tcPr>
            <w:tcW w:w="1417" w:type="dxa"/>
            <w:shd w:val="clear" w:color="auto" w:fill="auto"/>
            <w:vAlign w:val="center"/>
          </w:tcPr>
          <w:p w:rsidR="00AB760D" w:rsidRPr="002A49CA" w:rsidRDefault="00AB760D" w:rsidP="002C482C">
            <w:pPr>
              <w:widowControl w:val="0"/>
              <w:tabs>
                <w:tab w:val="left" w:pos="622"/>
              </w:tabs>
              <w:jc w:val="center"/>
              <w:rPr>
                <w:rFonts w:ascii="Times New Roman" w:eastAsia="AngsanaUPC" w:hAnsi="Times New Roman" w:cs="Times New Roman"/>
                <w:b/>
                <w:bCs/>
                <w:iCs/>
                <w:sz w:val="18"/>
                <w:szCs w:val="18"/>
                <w:lang w:eastAsia="lt-LT"/>
              </w:rPr>
            </w:pPr>
            <w:proofErr w:type="gramStart"/>
            <w:r w:rsidRPr="002A49CA">
              <w:rPr>
                <w:rFonts w:ascii="Times New Roman" w:eastAsia="AngsanaUPC" w:hAnsi="Times New Roman" w:cs="Times New Roman"/>
                <w:b/>
                <w:bCs/>
                <w:iCs/>
                <w:sz w:val="18"/>
                <w:szCs w:val="18"/>
                <w:lang w:eastAsia="lt-LT"/>
              </w:rPr>
              <w:t>Lietuvos Statistikos departamentas</w:t>
            </w:r>
            <w:proofErr w:type="gramEnd"/>
          </w:p>
        </w:tc>
        <w:tc>
          <w:tcPr>
            <w:tcW w:w="1241" w:type="dxa"/>
            <w:shd w:val="clear" w:color="auto" w:fill="auto"/>
            <w:vAlign w:val="center"/>
          </w:tcPr>
          <w:p w:rsidR="00AB760D" w:rsidRPr="002A49CA" w:rsidRDefault="00AB760D" w:rsidP="002C482C">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Kartą per metus</w:t>
            </w:r>
          </w:p>
        </w:tc>
      </w:tr>
    </w:tbl>
    <w:p w:rsidR="00834115" w:rsidRDefault="00834115" w:rsidP="00834115">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834115" w:rsidRPr="00356CFB" w:rsidTr="00834115">
        <w:tc>
          <w:tcPr>
            <w:tcW w:w="9746" w:type="dxa"/>
            <w:tcBorders>
              <w:top w:val="single" w:sz="4" w:space="0" w:color="auto"/>
              <w:left w:val="single" w:sz="4" w:space="0" w:color="auto"/>
              <w:bottom w:val="single" w:sz="4" w:space="0" w:color="auto"/>
              <w:right w:val="single" w:sz="4" w:space="0" w:color="auto"/>
            </w:tcBorders>
            <w:shd w:val="clear" w:color="auto" w:fill="EEECE1"/>
          </w:tcPr>
          <w:p w:rsidR="00834115" w:rsidRPr="00537F36" w:rsidRDefault="00957E31" w:rsidP="00537F36">
            <w:pPr>
              <w:pStyle w:val="Sraopastraipa"/>
              <w:widowControl w:val="0"/>
              <w:numPr>
                <w:ilvl w:val="2"/>
                <w:numId w:val="15"/>
              </w:numPr>
              <w:tabs>
                <w:tab w:val="left" w:pos="622"/>
                <w:tab w:val="left" w:pos="1665"/>
              </w:tabs>
              <w:jc w:val="both"/>
              <w:rPr>
                <w:rFonts w:ascii="Times New Roman" w:eastAsia="AngsanaUPC" w:hAnsi="Times New Roman" w:cs="Times New Roman"/>
                <w:bCs/>
                <w:iCs/>
                <w:sz w:val="24"/>
                <w:szCs w:val="24"/>
                <w:lang w:eastAsia="lt-LT"/>
              </w:rPr>
            </w:pPr>
            <w:r>
              <w:rPr>
                <w:rFonts w:ascii="Times New Roman" w:eastAsia="AngsanaUPC" w:hAnsi="Times New Roman" w:cs="Times New Roman"/>
                <w:b/>
                <w:bCs/>
                <w:i/>
                <w:iCs/>
                <w:sz w:val="24"/>
                <w:szCs w:val="24"/>
                <w:lang w:eastAsia="lt-LT"/>
              </w:rPr>
              <w:t xml:space="preserve"> </w:t>
            </w:r>
            <w:r w:rsidR="00834115" w:rsidRPr="00537F36">
              <w:rPr>
                <w:rFonts w:ascii="Times New Roman" w:eastAsia="AngsanaUPC" w:hAnsi="Times New Roman" w:cs="Times New Roman"/>
                <w:b/>
                <w:bCs/>
                <w:i/>
                <w:iCs/>
                <w:sz w:val="24"/>
                <w:szCs w:val="24"/>
                <w:lang w:eastAsia="lt-LT"/>
              </w:rPr>
              <w:t>Konkretaus uždavinio įgyvendinimo veiklos</w:t>
            </w:r>
          </w:p>
        </w:tc>
      </w:tr>
      <w:tr w:rsidR="00834115" w:rsidRPr="00356CFB" w:rsidTr="00834115">
        <w:tc>
          <w:tcPr>
            <w:tcW w:w="9746" w:type="dxa"/>
            <w:shd w:val="clear" w:color="auto" w:fill="auto"/>
          </w:tcPr>
          <w:p w:rsidR="00D868E7" w:rsidRPr="0066519F" w:rsidRDefault="00D868E7" w:rsidP="0066519F">
            <w:pPr>
              <w:pStyle w:val="Sraopastraipa"/>
              <w:numPr>
                <w:ilvl w:val="3"/>
                <w:numId w:val="6"/>
              </w:numPr>
              <w:tabs>
                <w:tab w:val="left" w:pos="743"/>
              </w:tabs>
              <w:ind w:left="34" w:firstLine="284"/>
              <w:jc w:val="both"/>
              <w:rPr>
                <w:rFonts w:ascii="Times New Roman" w:eastAsia="AngsanaUPC" w:hAnsi="Times New Roman" w:cs="Times New Roman"/>
                <w:b/>
                <w:bCs/>
                <w:iCs/>
                <w:sz w:val="24"/>
                <w:szCs w:val="24"/>
                <w:lang w:eastAsia="lt-LT"/>
              </w:rPr>
            </w:pPr>
            <w:r w:rsidRPr="00092E6B">
              <w:rPr>
                <w:rFonts w:ascii="Times New Roman" w:eastAsia="AngsanaUPC" w:hAnsi="Times New Roman" w:cs="Times New Roman"/>
                <w:b/>
                <w:bCs/>
                <w:iCs/>
                <w:sz w:val="24"/>
                <w:szCs w:val="24"/>
                <w:lang w:eastAsia="lt-LT"/>
              </w:rPr>
              <w:t>Valstybinių pastatų atnaujinimas</w:t>
            </w:r>
            <w:r w:rsidR="00737E29" w:rsidRPr="00092E6B">
              <w:rPr>
                <w:rFonts w:ascii="Times New Roman" w:eastAsia="AngsanaUPC" w:hAnsi="Times New Roman" w:cs="Times New Roman"/>
                <w:b/>
                <w:bCs/>
                <w:iCs/>
                <w:sz w:val="24"/>
                <w:szCs w:val="24"/>
                <w:lang w:eastAsia="lt-LT"/>
              </w:rPr>
              <w:t xml:space="preserve">. </w:t>
            </w:r>
            <w:r w:rsidR="00D55ED2" w:rsidRPr="00092E6B">
              <w:rPr>
                <w:rFonts w:ascii="Times New Roman" w:eastAsia="AngsanaUPC" w:hAnsi="Times New Roman" w:cs="Times New Roman"/>
                <w:b/>
                <w:bCs/>
                <w:iCs/>
                <w:sz w:val="24"/>
                <w:szCs w:val="24"/>
                <w:lang w:eastAsia="lt-LT"/>
              </w:rPr>
              <w:t>Planuoja</w:t>
            </w:r>
            <w:r w:rsidR="00040BDB" w:rsidRPr="00092E6B">
              <w:rPr>
                <w:rFonts w:ascii="Times New Roman" w:eastAsia="AngsanaUPC" w:hAnsi="Times New Roman" w:cs="Times New Roman"/>
                <w:b/>
                <w:bCs/>
                <w:iCs/>
                <w:sz w:val="24"/>
                <w:szCs w:val="24"/>
                <w:lang w:eastAsia="lt-LT"/>
              </w:rPr>
              <w:t>ma remti valstybės</w:t>
            </w:r>
            <w:r w:rsidR="00D55ED2" w:rsidRPr="00092E6B">
              <w:rPr>
                <w:rFonts w:ascii="Times New Roman" w:eastAsia="AngsanaUPC" w:hAnsi="Times New Roman" w:cs="Times New Roman"/>
                <w:b/>
                <w:bCs/>
                <w:iCs/>
                <w:sz w:val="24"/>
                <w:szCs w:val="24"/>
                <w:lang w:eastAsia="lt-LT"/>
              </w:rPr>
              <w:t xml:space="preserve"> institucijų ir įstaigų pastatų, prikl</w:t>
            </w:r>
            <w:r w:rsidR="00040BDB" w:rsidRPr="00092E6B">
              <w:rPr>
                <w:rFonts w:ascii="Times New Roman" w:eastAsia="AngsanaUPC" w:hAnsi="Times New Roman" w:cs="Times New Roman"/>
                <w:b/>
                <w:bCs/>
                <w:iCs/>
                <w:sz w:val="24"/>
                <w:szCs w:val="24"/>
                <w:lang w:eastAsia="lt-LT"/>
              </w:rPr>
              <w:t>ausančių valstybės</w:t>
            </w:r>
            <w:r w:rsidR="00D55ED2" w:rsidRPr="00092E6B">
              <w:rPr>
                <w:rFonts w:ascii="Times New Roman" w:eastAsia="AngsanaUPC" w:hAnsi="Times New Roman" w:cs="Times New Roman"/>
                <w:b/>
                <w:bCs/>
                <w:iCs/>
                <w:sz w:val="24"/>
                <w:szCs w:val="24"/>
                <w:lang w:eastAsia="lt-LT"/>
              </w:rPr>
              <w:t xml:space="preserve"> institucijoms ir įstaigoms nuosavybės teise ir (arba) valdomų kitais teisėtais pagrindais, renovavimo priemones (išorinių atitvarų remontą ir (arba) rekonstravimą, pastatų energetikos sistemų modernizavimą ir (arba) </w:t>
            </w:r>
            <w:r w:rsidR="0054153E" w:rsidRPr="00092E6B">
              <w:rPr>
                <w:rFonts w:ascii="Times New Roman" w:eastAsia="AngsanaUPC" w:hAnsi="Times New Roman" w:cs="Times New Roman"/>
                <w:b/>
                <w:bCs/>
                <w:iCs/>
                <w:sz w:val="24"/>
                <w:szCs w:val="24"/>
                <w:lang w:eastAsia="lt-LT"/>
              </w:rPr>
              <w:t>rekonstravimą ir kitas susijusia</w:t>
            </w:r>
            <w:r w:rsidR="00D55ED2" w:rsidRPr="00092E6B">
              <w:rPr>
                <w:rFonts w:ascii="Times New Roman" w:eastAsia="AngsanaUPC" w:hAnsi="Times New Roman" w:cs="Times New Roman"/>
                <w:b/>
                <w:bCs/>
                <w:iCs/>
                <w:sz w:val="24"/>
                <w:szCs w:val="24"/>
                <w:lang w:eastAsia="lt-LT"/>
              </w:rPr>
              <w:t xml:space="preserve">s priemones), siekiant pagerinti pastatų energines savybes, siekiant atitikti ne mažesnę kaip C pastato energinio naudingumo klasę (angl. </w:t>
            </w:r>
            <w:r w:rsidR="00D55ED2" w:rsidRPr="002A71D7">
              <w:rPr>
                <w:rFonts w:ascii="Times New Roman" w:eastAsia="AngsanaUPC" w:hAnsi="Times New Roman" w:cs="Times New Roman"/>
                <w:b/>
                <w:bCs/>
                <w:iCs/>
                <w:sz w:val="24"/>
                <w:szCs w:val="24"/>
                <w:lang w:val="en-US" w:eastAsia="lt-LT"/>
              </w:rPr>
              <w:t>major renovation</w:t>
            </w:r>
            <w:r w:rsidR="00D55ED2" w:rsidRPr="00092E6B">
              <w:rPr>
                <w:rFonts w:ascii="Times New Roman" w:eastAsia="AngsanaUPC" w:hAnsi="Times New Roman" w:cs="Times New Roman"/>
                <w:b/>
                <w:bCs/>
                <w:iCs/>
                <w:sz w:val="24"/>
                <w:szCs w:val="24"/>
                <w:lang w:eastAsia="lt-LT"/>
              </w:rPr>
              <w:t xml:space="preserve">, kaip tai nustatyta Europos Parlamento ir Tarybos direktyvoje 2010/31/EU dėl pastatų energetinio efektyvumo) atsižvelgiant į energinio naudingumo susitarimų principą, </w:t>
            </w:r>
            <w:r w:rsidR="00D55ED2" w:rsidRPr="00B11E89">
              <w:rPr>
                <w:rFonts w:ascii="Times New Roman" w:eastAsia="AngsanaUPC" w:hAnsi="Times New Roman" w:cs="Times New Roman"/>
                <w:b/>
                <w:bCs/>
                <w:iCs/>
                <w:sz w:val="24"/>
                <w:szCs w:val="24"/>
                <w:lang w:eastAsia="lt-LT"/>
              </w:rPr>
              <w:t>taip pat AIE panaudojimo energijos gamybai juose skatinimui.</w:t>
            </w:r>
          </w:p>
        </w:tc>
      </w:tr>
    </w:tbl>
    <w:p w:rsidR="00834115" w:rsidRDefault="00834115" w:rsidP="00834115">
      <w:pPr>
        <w:widowControl w:val="0"/>
        <w:jc w:val="both"/>
        <w:textAlignment w:val="baseline"/>
        <w:rPr>
          <w:rFonts w:ascii="Times New Roman" w:hAnsi="Times New Roman" w:cs="Times New Roman"/>
          <w:i/>
          <w:color w:val="000000"/>
          <w:sz w:val="24"/>
          <w:szCs w:val="24"/>
          <w:u w:val="single"/>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1275"/>
        <w:gridCol w:w="709"/>
        <w:gridCol w:w="1276"/>
        <w:gridCol w:w="1134"/>
        <w:gridCol w:w="1134"/>
        <w:gridCol w:w="1241"/>
      </w:tblGrid>
      <w:tr w:rsidR="00BB3B93" w:rsidRPr="0042440E" w:rsidTr="005D292B">
        <w:trPr>
          <w:tblHeader/>
        </w:trPr>
        <w:tc>
          <w:tcPr>
            <w:tcW w:w="10030" w:type="dxa"/>
            <w:gridSpan w:val="8"/>
            <w:shd w:val="clear" w:color="auto" w:fill="EEECE1"/>
          </w:tcPr>
          <w:p w:rsidR="00BB3B93" w:rsidRPr="002A49CA" w:rsidRDefault="00BB3B93" w:rsidP="00C358DA">
            <w:pPr>
              <w:widowControl w:val="0"/>
              <w:tabs>
                <w:tab w:val="left" w:pos="622"/>
              </w:tabs>
              <w:jc w:val="both"/>
              <w:rPr>
                <w:rFonts w:ascii="Times New Roman" w:eastAsia="AngsanaUPC" w:hAnsi="Times New Roman" w:cs="Times New Roman"/>
                <w:b/>
                <w:bCs/>
                <w:i/>
                <w:iCs/>
                <w:sz w:val="18"/>
                <w:szCs w:val="18"/>
                <w:lang w:eastAsia="lt-LT"/>
              </w:rPr>
            </w:pPr>
            <w:r w:rsidRPr="002A49CA">
              <w:rPr>
                <w:rFonts w:ascii="Times New Roman" w:eastAsia="AngsanaUPC" w:hAnsi="Times New Roman" w:cs="Times New Roman"/>
                <w:b/>
                <w:bCs/>
                <w:i/>
                <w:iCs/>
                <w:sz w:val="18"/>
                <w:szCs w:val="18"/>
                <w:lang w:eastAsia="lt-LT"/>
              </w:rPr>
              <w:t xml:space="preserve">ERPF bendrieji ir specialieji programos produkto rodikliai </w:t>
            </w:r>
          </w:p>
        </w:tc>
      </w:tr>
      <w:tr w:rsidR="00BB3B93" w:rsidRPr="0042440E" w:rsidTr="005D292B">
        <w:tblPrEx>
          <w:shd w:val="clear" w:color="auto" w:fill="auto"/>
        </w:tblPrEx>
        <w:trPr>
          <w:tblHeader/>
        </w:trPr>
        <w:tc>
          <w:tcPr>
            <w:tcW w:w="567"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Nr.</w:t>
            </w:r>
          </w:p>
        </w:tc>
        <w:tc>
          <w:tcPr>
            <w:tcW w:w="2694"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Rodiklio pavadinimas</w:t>
            </w:r>
          </w:p>
        </w:tc>
        <w:tc>
          <w:tcPr>
            <w:tcW w:w="1275"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Matavimo vienetas</w:t>
            </w:r>
          </w:p>
        </w:tc>
        <w:tc>
          <w:tcPr>
            <w:tcW w:w="709"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Fondas</w:t>
            </w:r>
          </w:p>
        </w:tc>
        <w:tc>
          <w:tcPr>
            <w:tcW w:w="1276"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Regiono kategorija</w:t>
            </w:r>
          </w:p>
        </w:tc>
        <w:tc>
          <w:tcPr>
            <w:tcW w:w="1134"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Siektina reikšmė (2023)</w:t>
            </w:r>
          </w:p>
        </w:tc>
        <w:tc>
          <w:tcPr>
            <w:tcW w:w="1134"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Duomenų šaltinis</w:t>
            </w:r>
          </w:p>
        </w:tc>
        <w:tc>
          <w:tcPr>
            <w:tcW w:w="1241" w:type="dxa"/>
            <w:shd w:val="clear" w:color="auto" w:fill="EEECE1"/>
            <w:vAlign w:val="center"/>
          </w:tcPr>
          <w:p w:rsidR="00BB3B93" w:rsidRPr="002A49CA" w:rsidRDefault="00BB3B93" w:rsidP="00C358DA">
            <w:pPr>
              <w:widowControl w:val="0"/>
              <w:tabs>
                <w:tab w:val="left" w:pos="622"/>
              </w:tabs>
              <w:jc w:val="center"/>
              <w:rPr>
                <w:rFonts w:ascii="Times New Roman" w:eastAsia="AngsanaUPC" w:hAnsi="Times New Roman" w:cs="Times New Roman"/>
                <w:b/>
                <w:bCs/>
                <w:iCs/>
                <w:sz w:val="18"/>
                <w:szCs w:val="18"/>
                <w:lang w:eastAsia="lt-LT"/>
              </w:rPr>
            </w:pPr>
            <w:r w:rsidRPr="002A49CA">
              <w:rPr>
                <w:rFonts w:ascii="Times New Roman" w:eastAsia="AngsanaUPC" w:hAnsi="Times New Roman" w:cs="Times New Roman"/>
                <w:b/>
                <w:bCs/>
                <w:iCs/>
                <w:sz w:val="18"/>
                <w:szCs w:val="18"/>
                <w:lang w:eastAsia="lt-LT"/>
              </w:rPr>
              <w:t>Atsiskaitymo dažnumas</w:t>
            </w:r>
          </w:p>
        </w:tc>
      </w:tr>
      <w:tr w:rsidR="00BB3B93" w:rsidRPr="003523F2" w:rsidTr="005D292B">
        <w:tblPrEx>
          <w:shd w:val="clear" w:color="auto" w:fill="auto"/>
        </w:tblPrEx>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1.</w:t>
            </w:r>
          </w:p>
        </w:tc>
        <w:tc>
          <w:tcPr>
            <w:tcW w:w="2694" w:type="dxa"/>
            <w:shd w:val="clear" w:color="auto" w:fill="auto"/>
            <w:vAlign w:val="center"/>
          </w:tcPr>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Bendras metinis šiltnamio efektą sukeliančių dujų kiekio sumažėjimas</w:t>
            </w:r>
          </w:p>
        </w:tc>
        <w:tc>
          <w:tcPr>
            <w:tcW w:w="1275" w:type="dxa"/>
            <w:shd w:val="clear" w:color="auto" w:fill="auto"/>
            <w:vAlign w:val="center"/>
          </w:tcPr>
          <w:p w:rsidR="00BB3B93" w:rsidRPr="002A49CA" w:rsidRDefault="00BB3B93" w:rsidP="00C358DA">
            <w:pPr>
              <w:autoSpaceDE w:val="0"/>
              <w:autoSpaceDN w:val="0"/>
              <w:adjustRightInd w:val="0"/>
              <w:jc w:val="center"/>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t CO2</w:t>
            </w:r>
          </w:p>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hAnsi="Times New Roman" w:cs="Times New Roman"/>
                <w:b/>
                <w:sz w:val="18"/>
                <w:szCs w:val="18"/>
                <w:lang w:eastAsia="lt-LT"/>
              </w:rPr>
              <w:t>ekvivalentu</w:t>
            </w:r>
          </w:p>
        </w:tc>
        <w:tc>
          <w:tcPr>
            <w:tcW w:w="709"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276"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išsivystęs</w:t>
            </w:r>
          </w:p>
        </w:tc>
        <w:tc>
          <w:tcPr>
            <w:tcW w:w="1134" w:type="dxa"/>
            <w:shd w:val="clear" w:color="auto" w:fill="auto"/>
            <w:vAlign w:val="center"/>
          </w:tcPr>
          <w:p w:rsidR="00BB3B93" w:rsidRPr="002A49CA" w:rsidRDefault="000D0868" w:rsidP="00C358DA">
            <w:pPr>
              <w:widowControl w:val="0"/>
              <w:tabs>
                <w:tab w:val="left" w:pos="622"/>
              </w:tabs>
              <w:jc w:val="center"/>
              <w:rPr>
                <w:rFonts w:ascii="Times New Roman" w:eastAsia="Calibri" w:hAnsi="Times New Roman" w:cs="Times New Roman"/>
                <w:b/>
                <w:bCs/>
                <w:iCs/>
                <w:sz w:val="18"/>
                <w:szCs w:val="18"/>
                <w:highlight w:val="yellow"/>
                <w:lang w:eastAsia="lt-LT"/>
              </w:rPr>
            </w:pPr>
            <w:r>
              <w:rPr>
                <w:rFonts w:ascii="Times New Roman" w:eastAsia="Calibri" w:hAnsi="Times New Roman" w:cs="Times New Roman"/>
                <w:b/>
                <w:bCs/>
                <w:iCs/>
                <w:sz w:val="18"/>
                <w:szCs w:val="18"/>
                <w:lang w:eastAsia="lt-LT"/>
              </w:rPr>
              <w:t>1.217</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r w:rsidR="00BB3B93" w:rsidRPr="003523F2" w:rsidTr="005D292B">
        <w:tblPrEx>
          <w:shd w:val="clear" w:color="auto" w:fill="auto"/>
        </w:tblPrEx>
        <w:tc>
          <w:tcPr>
            <w:tcW w:w="567"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2.</w:t>
            </w:r>
          </w:p>
        </w:tc>
        <w:tc>
          <w:tcPr>
            <w:tcW w:w="2694" w:type="dxa"/>
            <w:shd w:val="clear" w:color="auto" w:fill="auto"/>
            <w:vAlign w:val="center"/>
          </w:tcPr>
          <w:p w:rsidR="00BB3B93" w:rsidRPr="002A49CA" w:rsidRDefault="00BB3B93" w:rsidP="00C358DA">
            <w:pPr>
              <w:autoSpaceDE w:val="0"/>
              <w:autoSpaceDN w:val="0"/>
              <w:adjustRightInd w:val="0"/>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Metinis pirminės energijos suvartojimo viešuosiuose pastatuose sumažėjimas</w:t>
            </w:r>
          </w:p>
        </w:tc>
        <w:tc>
          <w:tcPr>
            <w:tcW w:w="1275" w:type="dxa"/>
            <w:shd w:val="clear" w:color="auto" w:fill="auto"/>
            <w:vAlign w:val="center"/>
          </w:tcPr>
          <w:p w:rsidR="00BB3B93" w:rsidRPr="002A49CA" w:rsidRDefault="00BB3B93" w:rsidP="00C358DA">
            <w:pPr>
              <w:autoSpaceDE w:val="0"/>
              <w:autoSpaceDN w:val="0"/>
              <w:adjustRightInd w:val="0"/>
              <w:jc w:val="center"/>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kWh/m.</w:t>
            </w:r>
          </w:p>
        </w:tc>
        <w:tc>
          <w:tcPr>
            <w:tcW w:w="709"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ERPF</w:t>
            </w:r>
          </w:p>
        </w:tc>
        <w:tc>
          <w:tcPr>
            <w:tcW w:w="1276"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Mažiau išsivystę</w:t>
            </w:r>
          </w:p>
        </w:tc>
        <w:tc>
          <w:tcPr>
            <w:tcW w:w="1134" w:type="dxa"/>
            <w:shd w:val="clear" w:color="auto" w:fill="auto"/>
            <w:vAlign w:val="center"/>
          </w:tcPr>
          <w:p w:rsidR="00BB3B93" w:rsidRPr="002A49CA" w:rsidRDefault="000D0868" w:rsidP="00C358DA">
            <w:pPr>
              <w:widowControl w:val="0"/>
              <w:tabs>
                <w:tab w:val="left" w:pos="622"/>
              </w:tabs>
              <w:jc w:val="center"/>
              <w:rPr>
                <w:rFonts w:ascii="Times New Roman" w:eastAsia="Calibri" w:hAnsi="Times New Roman" w:cs="Times New Roman"/>
                <w:b/>
                <w:bCs/>
                <w:iCs/>
                <w:sz w:val="18"/>
                <w:szCs w:val="18"/>
                <w:lang w:eastAsia="lt-LT"/>
              </w:rPr>
            </w:pPr>
            <w:r>
              <w:rPr>
                <w:rFonts w:ascii="Times New Roman" w:eastAsia="Calibri" w:hAnsi="Times New Roman" w:cs="Times New Roman"/>
                <w:b/>
                <w:bCs/>
                <w:iCs/>
                <w:sz w:val="18"/>
                <w:szCs w:val="18"/>
                <w:lang w:eastAsia="lt-LT"/>
              </w:rPr>
              <w:t>12.175</w:t>
            </w:r>
            <w:r w:rsidR="00BB3B93" w:rsidRPr="002A49CA">
              <w:rPr>
                <w:rFonts w:ascii="Times New Roman" w:eastAsia="Calibri" w:hAnsi="Times New Roman" w:cs="Times New Roman"/>
                <w:b/>
                <w:bCs/>
                <w:iCs/>
                <w:sz w:val="18"/>
                <w:szCs w:val="18"/>
                <w:lang w:eastAsia="lt-LT"/>
              </w:rPr>
              <w:t>.000</w:t>
            </w:r>
          </w:p>
        </w:tc>
        <w:tc>
          <w:tcPr>
            <w:tcW w:w="1134"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BB3B93" w:rsidRPr="002A49CA" w:rsidRDefault="00BB3B93" w:rsidP="00C358DA">
            <w:pPr>
              <w:widowControl w:val="0"/>
              <w:tabs>
                <w:tab w:val="left" w:pos="622"/>
              </w:tabs>
              <w:jc w:val="center"/>
              <w:rPr>
                <w:rFonts w:ascii="Times New Roman" w:eastAsia="Calibri" w:hAnsi="Times New Roman" w:cs="Times New Roman"/>
                <w:b/>
                <w:bCs/>
                <w:iCs/>
                <w:sz w:val="18"/>
                <w:szCs w:val="18"/>
                <w:lang w:eastAsia="lt-LT"/>
              </w:rPr>
            </w:pPr>
            <w:r w:rsidRPr="002A49CA">
              <w:rPr>
                <w:rFonts w:ascii="Times New Roman" w:eastAsia="Calibri" w:hAnsi="Times New Roman" w:cs="Times New Roman"/>
                <w:b/>
                <w:bCs/>
                <w:iCs/>
                <w:sz w:val="18"/>
                <w:szCs w:val="18"/>
                <w:lang w:eastAsia="lt-LT"/>
              </w:rPr>
              <w:t>Kartą per metus</w:t>
            </w:r>
          </w:p>
        </w:tc>
      </w:tr>
    </w:tbl>
    <w:p w:rsidR="00BB3B93" w:rsidRDefault="00BB3B93" w:rsidP="00834115">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834115" w:rsidRPr="0042440E" w:rsidTr="00834115">
        <w:tc>
          <w:tcPr>
            <w:tcW w:w="9746" w:type="dxa"/>
            <w:shd w:val="clear" w:color="auto" w:fill="EEECE1"/>
          </w:tcPr>
          <w:p w:rsidR="00834115" w:rsidRPr="0042440E" w:rsidRDefault="00834115" w:rsidP="00834115">
            <w:pPr>
              <w:widowControl w:val="0"/>
              <w:tabs>
                <w:tab w:val="left" w:pos="622"/>
              </w:tabs>
              <w:jc w:val="both"/>
              <w:rPr>
                <w:rFonts w:ascii="Times New Roman" w:eastAsia="AngsanaUPC" w:hAnsi="Times New Roman" w:cs="Times New Roman"/>
                <w:b/>
                <w:bCs/>
                <w:sz w:val="24"/>
                <w:szCs w:val="24"/>
                <w:lang w:eastAsia="lt-LT"/>
              </w:rPr>
            </w:pPr>
            <w:r w:rsidRPr="0042440E">
              <w:rPr>
                <w:rFonts w:ascii="Times New Roman" w:eastAsia="AngsanaUPC" w:hAnsi="Times New Roman" w:cs="Times New Roman"/>
                <w:b/>
                <w:bCs/>
                <w:i/>
                <w:iCs/>
                <w:sz w:val="24"/>
                <w:szCs w:val="24"/>
                <w:lang w:eastAsia="lt-LT"/>
              </w:rPr>
              <w:t>Projektų / veiksmų atrankos principai</w:t>
            </w:r>
          </w:p>
        </w:tc>
      </w:tr>
      <w:tr w:rsidR="00834115" w:rsidRPr="0042440E" w:rsidTr="00834115">
        <w:tc>
          <w:tcPr>
            <w:tcW w:w="9746" w:type="dxa"/>
            <w:shd w:val="clear" w:color="auto" w:fill="auto"/>
          </w:tcPr>
          <w:p w:rsidR="000C1A5F" w:rsidRPr="002A49CA" w:rsidRDefault="000C1A5F" w:rsidP="000C1A5F">
            <w:pPr>
              <w:widowControl w:val="0"/>
              <w:numPr>
                <w:ilvl w:val="0"/>
                <w:numId w:val="4"/>
              </w:numPr>
              <w:tabs>
                <w:tab w:val="left" w:pos="601"/>
              </w:tabs>
              <w:ind w:left="34" w:firstLine="284"/>
              <w:jc w:val="both"/>
              <w:rPr>
                <w:rFonts w:ascii="Times New Roman" w:eastAsia="AngsanaUPC" w:hAnsi="Times New Roman" w:cs="Times New Roman"/>
                <w:b/>
                <w:bCs/>
                <w:sz w:val="24"/>
                <w:szCs w:val="24"/>
                <w:lang w:eastAsia="lt-LT"/>
              </w:rPr>
            </w:pPr>
            <w:r w:rsidRPr="002A49CA">
              <w:rPr>
                <w:rFonts w:ascii="Times New Roman" w:eastAsia="AngsanaUPC" w:hAnsi="Times New Roman" w:cs="Times New Roman"/>
                <w:b/>
                <w:bCs/>
                <w:sz w:val="24"/>
                <w:szCs w:val="24"/>
                <w:lang w:eastAsia="lt-LT"/>
              </w:rPr>
              <w:t>13.1.</w:t>
            </w:r>
            <w:r w:rsidR="001C2CAF">
              <w:rPr>
                <w:rFonts w:ascii="Times New Roman" w:eastAsia="AngsanaUPC" w:hAnsi="Times New Roman" w:cs="Times New Roman"/>
                <w:b/>
                <w:bCs/>
                <w:sz w:val="24"/>
                <w:szCs w:val="24"/>
                <w:lang w:eastAsia="lt-LT"/>
              </w:rPr>
              <w:t>2</w:t>
            </w:r>
            <w:r w:rsidRPr="002A49CA">
              <w:rPr>
                <w:rFonts w:ascii="Times New Roman" w:eastAsia="AngsanaUPC" w:hAnsi="Times New Roman" w:cs="Times New Roman"/>
                <w:b/>
                <w:bCs/>
                <w:sz w:val="24"/>
                <w:szCs w:val="24"/>
                <w:lang w:eastAsia="lt-LT"/>
              </w:rPr>
              <w:t xml:space="preserve"> konkretų uždavinį įgyvendinantys projektai bus atrenkami</w:t>
            </w:r>
            <w:r w:rsidR="00DE15C5">
              <w:rPr>
                <w:rFonts w:ascii="Times New Roman" w:eastAsia="AngsanaUPC" w:hAnsi="Times New Roman" w:cs="Times New Roman"/>
                <w:b/>
                <w:bCs/>
                <w:sz w:val="24"/>
                <w:szCs w:val="24"/>
                <w:lang w:eastAsia="lt-LT"/>
              </w:rPr>
              <w:t xml:space="preserve"> tęstinės projektų atrankos būdu</w:t>
            </w:r>
            <w:r w:rsidRPr="002A49CA">
              <w:rPr>
                <w:rFonts w:ascii="Times New Roman" w:eastAsia="AngsanaUPC" w:hAnsi="Times New Roman" w:cs="Times New Roman"/>
                <w:b/>
                <w:bCs/>
                <w:sz w:val="24"/>
                <w:szCs w:val="24"/>
                <w:lang w:eastAsia="lt-LT"/>
              </w:rPr>
              <w:t>. Jeigu nusprendžiama, kad konkrečiam projektui dotacijos skiriamos tiesiogiai, ši procedūra turi atitikti sąlygas, nustatytas Bendrųjų nuostatų reglamento 125.3 str. (a) dalyje (ii) punkte, kuriuo reikalaujama, kad dotacijų skyrimo procedūra turi būti nediskriminuojanti ir skaidri.</w:t>
            </w:r>
          </w:p>
          <w:p w:rsidR="00834115" w:rsidRPr="0042440E" w:rsidRDefault="000C1A5F" w:rsidP="00583A1B">
            <w:pPr>
              <w:widowControl w:val="0"/>
              <w:tabs>
                <w:tab w:val="left" w:pos="601"/>
              </w:tabs>
              <w:ind w:firstLine="318"/>
              <w:jc w:val="both"/>
              <w:rPr>
                <w:rFonts w:ascii="Times New Roman" w:eastAsia="AngsanaUPC" w:hAnsi="Times New Roman" w:cs="Times New Roman"/>
                <w:bCs/>
                <w:sz w:val="24"/>
                <w:szCs w:val="24"/>
                <w:lang w:eastAsia="lt-LT"/>
              </w:rPr>
            </w:pPr>
            <w:r w:rsidRPr="002A49CA">
              <w:rPr>
                <w:rFonts w:ascii="Times New Roman" w:eastAsia="AngsanaUPC" w:hAnsi="Times New Roman" w:cs="Times New Roman"/>
                <w:b/>
                <w:bCs/>
                <w:sz w:val="24"/>
                <w:szCs w:val="24"/>
                <w:lang w:eastAsia="lt-LT"/>
              </w:rPr>
              <w:t>* Esant pagrįstam poreikiui pagal kiekvieną investicinį prioritetą gali būti taikomi ir kiti projektų atrankos būdai nurodyti pirmojo prioriteto dalyje „Projektų / veiksmų atrankos principai“.</w:t>
            </w:r>
          </w:p>
        </w:tc>
      </w:tr>
    </w:tbl>
    <w:p w:rsidR="00834115" w:rsidRDefault="00834115" w:rsidP="00834115">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1C2CAF" w:rsidRPr="0042440E" w:rsidTr="00661C6F">
        <w:tc>
          <w:tcPr>
            <w:tcW w:w="9746" w:type="dxa"/>
            <w:shd w:val="clear" w:color="auto" w:fill="EEECE1"/>
          </w:tcPr>
          <w:p w:rsidR="001C2CAF" w:rsidRPr="0042440E" w:rsidRDefault="001C2CAF" w:rsidP="00661C6F">
            <w:pPr>
              <w:widowControl w:val="0"/>
              <w:tabs>
                <w:tab w:val="left" w:pos="622"/>
              </w:tabs>
              <w:jc w:val="both"/>
              <w:rPr>
                <w:rFonts w:ascii="Times New Roman" w:eastAsia="AngsanaUPC" w:hAnsi="Times New Roman" w:cs="Times New Roman"/>
                <w:b/>
                <w:bCs/>
                <w:sz w:val="24"/>
                <w:szCs w:val="24"/>
                <w:lang w:eastAsia="lt-LT"/>
              </w:rPr>
            </w:pPr>
            <w:r w:rsidRPr="001C2CAF">
              <w:rPr>
                <w:rFonts w:ascii="Times New Roman" w:eastAsia="AngsanaUPC" w:hAnsi="Times New Roman" w:cs="Times New Roman"/>
                <w:b/>
                <w:bCs/>
                <w:i/>
                <w:iCs/>
                <w:sz w:val="24"/>
                <w:szCs w:val="24"/>
                <w:lang w:eastAsia="lt-LT"/>
              </w:rPr>
              <w:t>Finansiniai instrumentai ir jų aprašymas</w:t>
            </w:r>
          </w:p>
        </w:tc>
      </w:tr>
      <w:tr w:rsidR="001C2CAF" w:rsidRPr="0042440E" w:rsidTr="00661C6F">
        <w:tc>
          <w:tcPr>
            <w:tcW w:w="9746" w:type="dxa"/>
            <w:shd w:val="clear" w:color="auto" w:fill="auto"/>
          </w:tcPr>
          <w:p w:rsidR="001C2CAF" w:rsidRPr="0042440E" w:rsidRDefault="001C2CAF" w:rsidP="00661C6F">
            <w:pPr>
              <w:widowControl w:val="0"/>
              <w:tabs>
                <w:tab w:val="left" w:pos="601"/>
              </w:tabs>
              <w:ind w:firstLine="318"/>
              <w:jc w:val="both"/>
              <w:rPr>
                <w:rFonts w:ascii="Times New Roman" w:eastAsia="AngsanaUPC" w:hAnsi="Times New Roman" w:cs="Times New Roman"/>
                <w:bCs/>
                <w:sz w:val="24"/>
                <w:szCs w:val="24"/>
                <w:lang w:eastAsia="lt-LT"/>
              </w:rPr>
            </w:pPr>
            <w:r w:rsidRPr="003823DA">
              <w:rPr>
                <w:rFonts w:ascii="Times New Roman" w:eastAsia="AngsanaUPC" w:hAnsi="Times New Roman" w:cs="Times New Roman"/>
                <w:b/>
                <w:bCs/>
                <w:sz w:val="24"/>
                <w:szCs w:val="24"/>
                <w:lang w:eastAsia="lt-LT"/>
              </w:rPr>
              <w:t>Energijo</w:t>
            </w:r>
            <w:r>
              <w:rPr>
                <w:rFonts w:ascii="Times New Roman" w:eastAsia="AngsanaUPC" w:hAnsi="Times New Roman" w:cs="Times New Roman"/>
                <w:b/>
                <w:bCs/>
                <w:sz w:val="24"/>
                <w:szCs w:val="24"/>
                <w:lang w:eastAsia="lt-LT"/>
              </w:rPr>
              <w:t>s vartojimo efektyvumo didinimo</w:t>
            </w:r>
            <w:r w:rsidRPr="003823DA">
              <w:rPr>
                <w:rFonts w:ascii="Times New Roman" w:eastAsia="AngsanaUPC" w:hAnsi="Times New Roman" w:cs="Times New Roman"/>
                <w:b/>
                <w:bCs/>
                <w:sz w:val="24"/>
                <w:szCs w:val="24"/>
                <w:lang w:eastAsia="lt-LT"/>
              </w:rPr>
              <w:t xml:space="preserve"> viešojoje infrastruktūroje</w:t>
            </w:r>
            <w:r>
              <w:rPr>
                <w:rFonts w:ascii="Times New Roman" w:eastAsia="AngsanaUPC" w:hAnsi="Times New Roman" w:cs="Times New Roman"/>
                <w:b/>
                <w:bCs/>
                <w:sz w:val="24"/>
                <w:szCs w:val="24"/>
                <w:lang w:eastAsia="lt-LT"/>
              </w:rPr>
              <w:t xml:space="preserve"> projektams finansuoti numatoma subsidijas deri</w:t>
            </w:r>
            <w:r w:rsidR="0089677D">
              <w:rPr>
                <w:rFonts w:ascii="Times New Roman" w:eastAsia="AngsanaUPC" w:hAnsi="Times New Roman" w:cs="Times New Roman"/>
                <w:b/>
                <w:bCs/>
                <w:sz w:val="24"/>
                <w:szCs w:val="24"/>
                <w:lang w:eastAsia="lt-LT"/>
              </w:rPr>
              <w:t>nti su finansinėmis priemonėmis, kurios finansuojamos iš 4 prioriteto lėšų.</w:t>
            </w:r>
          </w:p>
        </w:tc>
      </w:tr>
    </w:tbl>
    <w:p w:rsidR="001C2CAF" w:rsidRDefault="001C2CAF" w:rsidP="00834115">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6378"/>
        <w:gridCol w:w="1875"/>
      </w:tblGrid>
      <w:tr w:rsidR="00C52CE6" w:rsidRPr="002A49CA" w:rsidTr="00C52CE6">
        <w:trPr>
          <w:tblHeader/>
        </w:trPr>
        <w:tc>
          <w:tcPr>
            <w:tcW w:w="9813" w:type="dxa"/>
            <w:gridSpan w:val="4"/>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
                <w:iCs/>
                <w:sz w:val="18"/>
                <w:szCs w:val="18"/>
              </w:rPr>
            </w:pPr>
            <w:r w:rsidRPr="002A49CA">
              <w:rPr>
                <w:rFonts w:ascii="Times New Roman" w:eastAsia="Calibri" w:hAnsi="Times New Roman" w:cs="Times New Roman"/>
                <w:b/>
                <w:bCs/>
                <w:i/>
                <w:iCs/>
                <w:sz w:val="18"/>
                <w:szCs w:val="18"/>
              </w:rPr>
              <w:t>Intervencinių veiksmų sritis</w:t>
            </w:r>
          </w:p>
        </w:tc>
      </w:tr>
      <w:tr w:rsidR="00C52CE6" w:rsidRPr="002A49CA" w:rsidTr="00C52CE6">
        <w:tc>
          <w:tcPr>
            <w:tcW w:w="851"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Fondas</w:t>
            </w:r>
          </w:p>
        </w:tc>
        <w:tc>
          <w:tcPr>
            <w:tcW w:w="709"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Kodas</w:t>
            </w:r>
          </w:p>
        </w:tc>
        <w:tc>
          <w:tcPr>
            <w:tcW w:w="6378"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Pavadinimas</w:t>
            </w:r>
          </w:p>
        </w:tc>
        <w:tc>
          <w:tcPr>
            <w:tcW w:w="1875" w:type="dxa"/>
            <w:shd w:val="clear" w:color="auto" w:fill="EEECE1" w:themeFill="background2"/>
            <w:vAlign w:val="center"/>
          </w:tcPr>
          <w:p w:rsidR="00C52CE6" w:rsidRPr="002A49CA" w:rsidRDefault="00C52CE6" w:rsidP="00C52CE6">
            <w:pPr>
              <w:widowControl w:val="0"/>
              <w:tabs>
                <w:tab w:val="left" w:pos="622"/>
              </w:tabs>
              <w:jc w:val="center"/>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Finansinė proporcija (eurais)</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013</w:t>
            </w:r>
          </w:p>
        </w:tc>
        <w:tc>
          <w:tcPr>
            <w:tcW w:w="6378" w:type="dxa"/>
            <w:shd w:val="clear" w:color="auto" w:fill="auto"/>
          </w:tcPr>
          <w:p w:rsidR="00C52CE6" w:rsidRPr="00184056"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lang w:val="en-US"/>
              </w:rPr>
              <w:t xml:space="preserve">Siekiant </w:t>
            </w:r>
            <w:r w:rsidRPr="00184056">
              <w:rPr>
                <w:rFonts w:ascii="Times New Roman" w:hAnsi="Times New Roman" w:cs="Times New Roman"/>
                <w:b/>
                <w:sz w:val="18"/>
                <w:szCs w:val="18"/>
              </w:rPr>
              <w:t>efektyvaus energijos vartojimo vykdoma viešosios infrastruktūros</w:t>
            </w:r>
          </w:p>
          <w:p w:rsidR="00C52CE6" w:rsidRPr="002A49CA" w:rsidRDefault="00C52CE6" w:rsidP="00C52CE6">
            <w:pPr>
              <w:widowControl w:val="0"/>
              <w:tabs>
                <w:tab w:val="left" w:pos="622"/>
              </w:tabs>
              <w:rPr>
                <w:rFonts w:ascii="Times New Roman" w:hAnsi="Times New Roman" w:cs="Times New Roman"/>
                <w:b/>
                <w:sz w:val="18"/>
                <w:szCs w:val="18"/>
                <w:lang w:val="en-US"/>
              </w:rPr>
            </w:pPr>
            <w:r w:rsidRPr="00184056">
              <w:rPr>
                <w:rFonts w:ascii="Times New Roman" w:hAnsi="Times New Roman" w:cs="Times New Roman"/>
                <w:b/>
                <w:sz w:val="18"/>
                <w:szCs w:val="18"/>
              </w:rPr>
              <w:t>renovacija, parodomieji projektai ir pagalbinės priemonės</w:t>
            </w:r>
          </w:p>
        </w:tc>
        <w:tc>
          <w:tcPr>
            <w:tcW w:w="1875" w:type="dxa"/>
            <w:shd w:val="clear" w:color="auto" w:fill="auto"/>
            <w:vAlign w:val="center"/>
          </w:tcPr>
          <w:p w:rsidR="00C52CE6" w:rsidRPr="00C37690" w:rsidRDefault="00B14033" w:rsidP="00C52CE6">
            <w:pPr>
              <w:widowControl w:val="0"/>
              <w:tabs>
                <w:tab w:val="left" w:pos="622"/>
              </w:tabs>
              <w:jc w:val="right"/>
              <w:rPr>
                <w:rFonts w:ascii="Times New Roman" w:eastAsia="AngsanaUPC" w:hAnsi="Times New Roman" w:cs="Times New Roman"/>
                <w:b/>
                <w:bCs/>
                <w:sz w:val="18"/>
                <w:szCs w:val="18"/>
                <w:lang w:eastAsia="lt-LT"/>
              </w:rPr>
            </w:pPr>
            <w:r w:rsidRPr="00C37690">
              <w:rPr>
                <w:rFonts w:ascii="Times New Roman" w:eastAsia="AngsanaUPC" w:hAnsi="Times New Roman" w:cs="Times New Roman"/>
                <w:b/>
                <w:bCs/>
                <w:sz w:val="18"/>
                <w:szCs w:val="18"/>
                <w:lang w:eastAsia="lt-LT"/>
              </w:rPr>
              <w:t>22.300</w:t>
            </w:r>
            <w:r w:rsidR="00C52CE6" w:rsidRPr="00C37690">
              <w:rPr>
                <w:rFonts w:ascii="Times New Roman" w:eastAsia="AngsanaUPC" w:hAnsi="Times New Roman" w:cs="Times New Roman"/>
                <w:b/>
                <w:bCs/>
                <w:sz w:val="18"/>
                <w:szCs w:val="18"/>
                <w:lang w:eastAsia="lt-LT"/>
              </w:rPr>
              <w:t>.000</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053</w:t>
            </w:r>
          </w:p>
        </w:tc>
        <w:tc>
          <w:tcPr>
            <w:tcW w:w="6378" w:type="dxa"/>
            <w:shd w:val="clear" w:color="auto" w:fill="auto"/>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bCs/>
                <w:iCs/>
                <w:sz w:val="18"/>
                <w:szCs w:val="18"/>
              </w:rPr>
              <w:t>Sveikatos priežiūros infrastruktūra</w:t>
            </w:r>
          </w:p>
        </w:tc>
        <w:tc>
          <w:tcPr>
            <w:tcW w:w="1875" w:type="dxa"/>
            <w:shd w:val="clear" w:color="auto" w:fill="auto"/>
            <w:vAlign w:val="center"/>
          </w:tcPr>
          <w:p w:rsidR="00C52CE6" w:rsidRPr="00C37690" w:rsidRDefault="00B14033" w:rsidP="00C52CE6">
            <w:pPr>
              <w:widowControl w:val="0"/>
              <w:tabs>
                <w:tab w:val="left" w:pos="622"/>
              </w:tabs>
              <w:jc w:val="right"/>
              <w:rPr>
                <w:rFonts w:ascii="Times New Roman" w:eastAsia="AngsanaUPC" w:hAnsi="Times New Roman" w:cs="Times New Roman"/>
                <w:b/>
                <w:bCs/>
                <w:sz w:val="18"/>
                <w:szCs w:val="18"/>
                <w:lang w:eastAsia="lt-LT"/>
              </w:rPr>
            </w:pPr>
            <w:r w:rsidRPr="00C37690">
              <w:rPr>
                <w:rFonts w:ascii="Times New Roman" w:eastAsia="AngsanaUPC" w:hAnsi="Times New Roman" w:cs="Times New Roman"/>
                <w:b/>
                <w:bCs/>
                <w:iCs/>
                <w:sz w:val="18"/>
                <w:szCs w:val="18"/>
                <w:lang w:eastAsia="lt-LT"/>
              </w:rPr>
              <w:t>16.3</w:t>
            </w:r>
            <w:r w:rsidR="00C52CE6" w:rsidRPr="00C37690">
              <w:rPr>
                <w:rFonts w:ascii="Times New Roman" w:eastAsia="AngsanaUPC" w:hAnsi="Times New Roman" w:cs="Times New Roman"/>
                <w:b/>
                <w:bCs/>
                <w:iCs/>
                <w:sz w:val="18"/>
                <w:szCs w:val="18"/>
                <w:lang w:eastAsia="lt-LT"/>
              </w:rPr>
              <w:t>00.000</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056</w:t>
            </w:r>
          </w:p>
        </w:tc>
        <w:tc>
          <w:tcPr>
            <w:tcW w:w="6378"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lang w:eastAsia="lt-LT"/>
              </w:rPr>
              <w:t>Investicijos į MVĮ infrastruktūrą, gebėjimus ir įrangą, tiesiogiai susijusius su moksliniais tyrimais ir inovacijų diegimo veikla</w:t>
            </w:r>
          </w:p>
        </w:tc>
        <w:tc>
          <w:tcPr>
            <w:tcW w:w="1875" w:type="dxa"/>
            <w:shd w:val="clear" w:color="auto" w:fill="auto"/>
            <w:vAlign w:val="center"/>
          </w:tcPr>
          <w:p w:rsidR="00C52CE6" w:rsidRPr="00B14033" w:rsidRDefault="00C52CE6" w:rsidP="00C52CE6">
            <w:pPr>
              <w:widowControl w:val="0"/>
              <w:tabs>
                <w:tab w:val="left" w:pos="622"/>
              </w:tabs>
              <w:jc w:val="right"/>
              <w:rPr>
                <w:rFonts w:ascii="Times New Roman" w:eastAsia="AngsanaUPC" w:hAnsi="Times New Roman" w:cs="Times New Roman"/>
                <w:b/>
                <w:bCs/>
                <w:sz w:val="18"/>
                <w:szCs w:val="18"/>
                <w:lang w:eastAsia="lt-LT"/>
              </w:rPr>
            </w:pPr>
            <w:r w:rsidRPr="00B14033">
              <w:rPr>
                <w:rFonts w:ascii="Times New Roman" w:eastAsia="AngsanaUPC" w:hAnsi="Times New Roman" w:cs="Times New Roman"/>
                <w:b/>
                <w:bCs/>
                <w:sz w:val="18"/>
                <w:szCs w:val="18"/>
                <w:lang w:eastAsia="lt-LT"/>
              </w:rPr>
              <w:t>78.943.794</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057</w:t>
            </w:r>
          </w:p>
        </w:tc>
        <w:tc>
          <w:tcPr>
            <w:tcW w:w="6378"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Investicijos į didelių įmonių infrastruktūrą, gebėjimus ir įrangą, tiesiogiai susijusius su moksliniais tyrimais ir inovacijų diegimo veikla</w:t>
            </w:r>
          </w:p>
        </w:tc>
        <w:tc>
          <w:tcPr>
            <w:tcW w:w="1875" w:type="dxa"/>
            <w:shd w:val="clear" w:color="auto" w:fill="auto"/>
            <w:vAlign w:val="center"/>
          </w:tcPr>
          <w:p w:rsidR="00C52CE6" w:rsidRPr="00B14033" w:rsidRDefault="00C52CE6" w:rsidP="00C52CE6">
            <w:pPr>
              <w:widowControl w:val="0"/>
              <w:tabs>
                <w:tab w:val="left" w:pos="622"/>
              </w:tabs>
              <w:jc w:val="right"/>
              <w:rPr>
                <w:rFonts w:ascii="Times New Roman" w:eastAsia="AngsanaUPC" w:hAnsi="Times New Roman" w:cs="Times New Roman"/>
                <w:b/>
                <w:bCs/>
                <w:iCs/>
                <w:sz w:val="18"/>
                <w:szCs w:val="18"/>
                <w:lang w:eastAsia="lt-LT"/>
              </w:rPr>
            </w:pPr>
            <w:r w:rsidRPr="00B14033">
              <w:rPr>
                <w:rFonts w:ascii="Times New Roman" w:eastAsia="AngsanaUPC" w:hAnsi="Times New Roman" w:cs="Times New Roman"/>
                <w:b/>
                <w:bCs/>
                <w:iCs/>
                <w:sz w:val="18"/>
                <w:szCs w:val="18"/>
                <w:lang w:eastAsia="lt-LT"/>
              </w:rPr>
              <w:t>10.503.038</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lastRenderedPageBreak/>
              <w:t>ERPF</w:t>
            </w:r>
          </w:p>
        </w:tc>
        <w:tc>
          <w:tcPr>
            <w:tcW w:w="709"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060</w:t>
            </w:r>
          </w:p>
        </w:tc>
        <w:tc>
          <w:tcPr>
            <w:tcW w:w="6378"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lang w:eastAsia="lt-LT"/>
              </w:rPr>
            </w:pPr>
            <w:r w:rsidRPr="002A49CA">
              <w:rPr>
                <w:rFonts w:ascii="Times New Roman" w:hAnsi="Times New Roman" w:cs="Times New Roman"/>
                <w:b/>
                <w:bCs/>
                <w:sz w:val="18"/>
                <w:szCs w:val="18"/>
                <w:lang w:eastAsia="lt-LT"/>
              </w:rPr>
              <w:t>Viešuose mokslinių tyrimų centruose ir kompetencijos centruose, taip pat jų tinkluose vykdomi moksliniai tyrimai ir inovacijų diegimo veikla</w:t>
            </w:r>
          </w:p>
        </w:tc>
        <w:tc>
          <w:tcPr>
            <w:tcW w:w="1875" w:type="dxa"/>
            <w:shd w:val="clear" w:color="auto" w:fill="auto"/>
            <w:vAlign w:val="center"/>
          </w:tcPr>
          <w:p w:rsidR="00C52CE6" w:rsidRPr="00C37690" w:rsidRDefault="00882055" w:rsidP="00C52CE6">
            <w:pPr>
              <w:widowControl w:val="0"/>
              <w:tabs>
                <w:tab w:val="left" w:pos="622"/>
              </w:tabs>
              <w:jc w:val="right"/>
              <w:rPr>
                <w:rFonts w:ascii="Times New Roman" w:eastAsia="AngsanaUPC" w:hAnsi="Times New Roman" w:cs="Times New Roman"/>
                <w:b/>
                <w:bCs/>
                <w:iCs/>
                <w:sz w:val="18"/>
                <w:szCs w:val="18"/>
                <w:lang w:eastAsia="lt-LT"/>
              </w:rPr>
            </w:pPr>
            <w:r w:rsidRPr="00C37690">
              <w:rPr>
                <w:rFonts w:ascii="Times New Roman" w:eastAsia="AngsanaUPC" w:hAnsi="Times New Roman" w:cs="Times New Roman"/>
                <w:b/>
                <w:bCs/>
                <w:iCs/>
                <w:sz w:val="18"/>
                <w:szCs w:val="18"/>
                <w:lang w:eastAsia="lt-LT"/>
              </w:rPr>
              <w:t>18.900.000</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061</w:t>
            </w:r>
          </w:p>
        </w:tc>
        <w:tc>
          <w:tcPr>
            <w:tcW w:w="6378" w:type="dxa"/>
            <w:shd w:val="clear" w:color="auto" w:fill="auto"/>
            <w:vAlign w:val="center"/>
          </w:tcPr>
          <w:p w:rsidR="00C52CE6" w:rsidRPr="00B360C5" w:rsidRDefault="00C52CE6" w:rsidP="00C52CE6">
            <w:pPr>
              <w:widowControl w:val="0"/>
              <w:tabs>
                <w:tab w:val="left" w:pos="622"/>
              </w:tabs>
              <w:rPr>
                <w:rFonts w:ascii="Times New Roman" w:hAnsi="Times New Roman" w:cs="Times New Roman"/>
                <w:b/>
                <w:sz w:val="18"/>
                <w:szCs w:val="18"/>
                <w:lang w:eastAsia="lt-LT"/>
              </w:rPr>
            </w:pPr>
            <w:r w:rsidRPr="002A49CA">
              <w:rPr>
                <w:rFonts w:ascii="Times New Roman" w:eastAsia="Calibri" w:hAnsi="Times New Roman" w:cs="Times New Roman"/>
                <w:b/>
                <w:bCs/>
                <w:iCs/>
                <w:sz w:val="18"/>
                <w:szCs w:val="18"/>
              </w:rPr>
              <w:t xml:space="preserve">Privačiuose mokslinių tyrimų centruose, taip pat jų tinkluose vykdomi moksliniai tyrimai ir inovacijų diegimo </w:t>
            </w:r>
            <w:r w:rsidRPr="008E0DF5">
              <w:rPr>
                <w:rFonts w:ascii="Times New Roman" w:eastAsia="Calibri" w:hAnsi="Times New Roman" w:cs="Times New Roman"/>
                <w:b/>
                <w:bCs/>
                <w:iCs/>
                <w:sz w:val="18"/>
                <w:szCs w:val="18"/>
              </w:rPr>
              <w:t>veikla</w:t>
            </w:r>
          </w:p>
        </w:tc>
        <w:tc>
          <w:tcPr>
            <w:tcW w:w="1875" w:type="dxa"/>
            <w:shd w:val="clear" w:color="auto" w:fill="auto"/>
            <w:vAlign w:val="center"/>
          </w:tcPr>
          <w:p w:rsidR="00C52CE6" w:rsidRPr="00092E6B" w:rsidRDefault="00C52CE6" w:rsidP="00C52CE6">
            <w:pPr>
              <w:widowControl w:val="0"/>
              <w:tabs>
                <w:tab w:val="left" w:pos="622"/>
              </w:tabs>
              <w:jc w:val="right"/>
              <w:rPr>
                <w:rFonts w:ascii="Times New Roman" w:eastAsia="AngsanaUPC" w:hAnsi="Times New Roman" w:cs="Times New Roman"/>
                <w:b/>
                <w:bCs/>
                <w:iCs/>
                <w:sz w:val="18"/>
                <w:szCs w:val="18"/>
                <w:lang w:eastAsia="lt-LT"/>
              </w:rPr>
            </w:pPr>
            <w:r w:rsidRPr="00092E6B">
              <w:rPr>
                <w:rFonts w:ascii="Times New Roman" w:eastAsia="AngsanaUPC" w:hAnsi="Times New Roman" w:cs="Times New Roman"/>
                <w:b/>
                <w:bCs/>
                <w:iCs/>
                <w:sz w:val="18"/>
                <w:szCs w:val="18"/>
                <w:lang w:eastAsia="lt-LT"/>
              </w:rPr>
              <w:t>41.753.168</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062</w:t>
            </w:r>
          </w:p>
        </w:tc>
        <w:tc>
          <w:tcPr>
            <w:tcW w:w="6378" w:type="dxa"/>
            <w:shd w:val="clear" w:color="auto" w:fill="auto"/>
            <w:vAlign w:val="center"/>
          </w:tcPr>
          <w:p w:rsidR="00C52CE6" w:rsidRPr="008E0DF5" w:rsidRDefault="00C52CE6" w:rsidP="00C52CE6">
            <w:pPr>
              <w:widowControl w:val="0"/>
              <w:tabs>
                <w:tab w:val="left" w:pos="622"/>
              </w:tabs>
              <w:rPr>
                <w:rFonts w:ascii="Times New Roman" w:hAnsi="Times New Roman" w:cs="Times New Roman"/>
                <w:b/>
                <w:sz w:val="18"/>
                <w:szCs w:val="18"/>
                <w:lang w:eastAsia="lt-LT"/>
              </w:rPr>
            </w:pPr>
            <w:r w:rsidRPr="002A49CA">
              <w:rPr>
                <w:rFonts w:ascii="Times New Roman" w:eastAsia="Calibri" w:hAnsi="Times New Roman" w:cs="Times New Roman"/>
                <w:b/>
                <w:bCs/>
                <w:iCs/>
                <w:sz w:val="18"/>
                <w:szCs w:val="18"/>
              </w:rPr>
              <w:t>Technologijų perdavimas ir universitetų bei įmonių bendradarbiavimas, visų pirma naudingas MVĮ</w:t>
            </w:r>
          </w:p>
        </w:tc>
        <w:tc>
          <w:tcPr>
            <w:tcW w:w="1875" w:type="dxa"/>
            <w:shd w:val="clear" w:color="auto" w:fill="auto"/>
            <w:vAlign w:val="center"/>
          </w:tcPr>
          <w:p w:rsidR="00C52CE6" w:rsidRPr="00092E6B" w:rsidRDefault="00C52CE6" w:rsidP="00C52CE6">
            <w:pPr>
              <w:widowControl w:val="0"/>
              <w:tabs>
                <w:tab w:val="left" w:pos="622"/>
              </w:tabs>
              <w:jc w:val="right"/>
              <w:rPr>
                <w:rFonts w:ascii="Times New Roman" w:eastAsia="AngsanaUPC" w:hAnsi="Times New Roman" w:cs="Times New Roman"/>
                <w:b/>
                <w:bCs/>
                <w:iCs/>
                <w:sz w:val="18"/>
                <w:szCs w:val="18"/>
                <w:lang w:eastAsia="lt-LT"/>
              </w:rPr>
            </w:pPr>
            <w:r>
              <w:rPr>
                <w:rFonts w:ascii="Times New Roman" w:eastAsia="AngsanaUPC" w:hAnsi="Times New Roman" w:cs="Times New Roman"/>
                <w:b/>
                <w:bCs/>
                <w:iCs/>
                <w:sz w:val="18"/>
                <w:szCs w:val="18"/>
                <w:lang w:eastAsia="lt-LT"/>
              </w:rPr>
              <w:t>11</w:t>
            </w:r>
            <w:r w:rsidRPr="00092E6B">
              <w:rPr>
                <w:rFonts w:ascii="Times New Roman" w:eastAsia="AngsanaUPC" w:hAnsi="Times New Roman" w:cs="Times New Roman"/>
                <w:b/>
                <w:bCs/>
                <w:iCs/>
                <w:sz w:val="18"/>
                <w:szCs w:val="18"/>
                <w:lang w:eastAsia="lt-LT"/>
              </w:rPr>
              <w:t>.800.000</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067</w:t>
            </w:r>
          </w:p>
        </w:tc>
        <w:tc>
          <w:tcPr>
            <w:tcW w:w="6378"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MVĮ verslo vystymas, parama verslumui ir inkubatoriams (įskaitant paramą pumpurinėms ir atskirtosioms įmonėms)</w:t>
            </w:r>
          </w:p>
        </w:tc>
        <w:tc>
          <w:tcPr>
            <w:tcW w:w="1875" w:type="dxa"/>
            <w:shd w:val="clear" w:color="auto" w:fill="auto"/>
            <w:vAlign w:val="center"/>
          </w:tcPr>
          <w:p w:rsidR="00C52CE6" w:rsidRPr="00092E6B" w:rsidRDefault="00C52CE6" w:rsidP="00C52CE6">
            <w:pPr>
              <w:widowControl w:val="0"/>
              <w:tabs>
                <w:tab w:val="left" w:pos="622"/>
              </w:tabs>
              <w:jc w:val="right"/>
              <w:rPr>
                <w:rFonts w:ascii="Times New Roman" w:eastAsia="AngsanaUPC" w:hAnsi="Times New Roman" w:cs="Times New Roman"/>
                <w:b/>
                <w:bCs/>
                <w:iCs/>
                <w:sz w:val="18"/>
                <w:szCs w:val="18"/>
                <w:lang w:eastAsia="lt-LT"/>
              </w:rPr>
            </w:pPr>
            <w:r w:rsidRPr="00092E6B">
              <w:rPr>
                <w:rFonts w:ascii="Times New Roman" w:eastAsia="AngsanaUPC" w:hAnsi="Times New Roman" w:cs="Times New Roman"/>
                <w:b/>
                <w:bCs/>
                <w:iCs/>
                <w:sz w:val="18"/>
                <w:szCs w:val="18"/>
                <w:lang w:eastAsia="lt-LT"/>
              </w:rPr>
              <w:t>38.000.000</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076</w:t>
            </w:r>
          </w:p>
        </w:tc>
        <w:tc>
          <w:tcPr>
            <w:tcW w:w="6378"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Su kultūra ir kūryba susijusio MVĮ turto plėtojimas ir populiarinimas</w:t>
            </w:r>
          </w:p>
        </w:tc>
        <w:tc>
          <w:tcPr>
            <w:tcW w:w="1875" w:type="dxa"/>
            <w:shd w:val="clear" w:color="auto" w:fill="auto"/>
            <w:vAlign w:val="center"/>
          </w:tcPr>
          <w:p w:rsidR="00C52CE6" w:rsidRPr="00092E6B" w:rsidRDefault="00C52CE6" w:rsidP="00C52CE6">
            <w:pPr>
              <w:widowControl w:val="0"/>
              <w:tabs>
                <w:tab w:val="left" w:pos="622"/>
              </w:tabs>
              <w:jc w:val="right"/>
              <w:rPr>
                <w:rFonts w:ascii="Times New Roman" w:eastAsia="AngsanaUPC" w:hAnsi="Times New Roman" w:cs="Times New Roman"/>
                <w:b/>
                <w:bCs/>
                <w:iCs/>
                <w:sz w:val="18"/>
                <w:szCs w:val="18"/>
                <w:lang w:eastAsia="lt-LT"/>
              </w:rPr>
            </w:pPr>
            <w:r w:rsidRPr="00092E6B">
              <w:rPr>
                <w:rFonts w:ascii="Times New Roman" w:eastAsia="AngsanaUPC" w:hAnsi="Times New Roman" w:cs="Times New Roman"/>
                <w:b/>
                <w:bCs/>
                <w:iCs/>
                <w:sz w:val="18"/>
                <w:szCs w:val="18"/>
                <w:lang w:eastAsia="lt-LT"/>
              </w:rPr>
              <w:t>4.160.000</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077</w:t>
            </w:r>
          </w:p>
        </w:tc>
        <w:tc>
          <w:tcPr>
            <w:tcW w:w="6378"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Pačiose MVĮ arba joms teikiamų kultūrinių ir kūrybinių paslaugų plėtojimas ir populiarinimas</w:t>
            </w:r>
          </w:p>
        </w:tc>
        <w:tc>
          <w:tcPr>
            <w:tcW w:w="1875" w:type="dxa"/>
            <w:shd w:val="clear" w:color="auto" w:fill="auto"/>
            <w:vAlign w:val="center"/>
          </w:tcPr>
          <w:p w:rsidR="00C52CE6" w:rsidRPr="00092E6B" w:rsidRDefault="00C52CE6" w:rsidP="00C52CE6">
            <w:pPr>
              <w:widowControl w:val="0"/>
              <w:tabs>
                <w:tab w:val="left" w:pos="622"/>
              </w:tabs>
              <w:jc w:val="right"/>
              <w:rPr>
                <w:rFonts w:ascii="Times New Roman" w:eastAsia="AngsanaUPC" w:hAnsi="Times New Roman" w:cs="Times New Roman"/>
                <w:b/>
                <w:bCs/>
                <w:iCs/>
                <w:sz w:val="18"/>
                <w:szCs w:val="18"/>
                <w:lang w:eastAsia="lt-LT"/>
              </w:rPr>
            </w:pPr>
            <w:r w:rsidRPr="00092E6B">
              <w:rPr>
                <w:rFonts w:ascii="Times New Roman" w:eastAsia="AngsanaUPC" w:hAnsi="Times New Roman" w:cs="Times New Roman"/>
                <w:b/>
                <w:bCs/>
                <w:iCs/>
                <w:sz w:val="18"/>
                <w:szCs w:val="18"/>
                <w:lang w:eastAsia="lt-LT"/>
              </w:rPr>
              <w:t>11.340.000</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rPr>
            </w:pPr>
            <w:r w:rsidRPr="002A49CA">
              <w:rPr>
                <w:rFonts w:ascii="Times New Roman" w:hAnsi="Times New Roman" w:cs="Times New Roman"/>
                <w:b/>
                <w:sz w:val="18"/>
                <w:szCs w:val="18"/>
              </w:rPr>
              <w:t>082</w:t>
            </w:r>
          </w:p>
        </w:tc>
        <w:tc>
          <w:tcPr>
            <w:tcW w:w="6378" w:type="dxa"/>
            <w:shd w:val="clear" w:color="auto" w:fill="auto"/>
            <w:vAlign w:val="center"/>
          </w:tcPr>
          <w:p w:rsidR="00C52CE6" w:rsidRPr="002A49CA" w:rsidRDefault="00C52CE6" w:rsidP="00C52CE6">
            <w:pPr>
              <w:widowControl w:val="0"/>
              <w:tabs>
                <w:tab w:val="left" w:pos="622"/>
              </w:tabs>
              <w:rPr>
                <w:rFonts w:ascii="Times New Roman" w:hAnsi="Times New Roman" w:cs="Times New Roman"/>
                <w:b/>
                <w:sz w:val="18"/>
                <w:szCs w:val="18"/>
                <w:lang w:eastAsia="lt-LT"/>
              </w:rPr>
            </w:pPr>
            <w:r w:rsidRPr="002A49CA">
              <w:rPr>
                <w:rFonts w:ascii="Times New Roman" w:hAnsi="Times New Roman" w:cs="Times New Roman"/>
                <w:b/>
                <w:sz w:val="18"/>
                <w:szCs w:val="18"/>
                <w:lang w:eastAsia="lt-LT"/>
              </w:rPr>
              <w:t>IRT paslaugos ir taikomosios programos, skirtos MVĮ (įskaitant e. prekybą, e. verslą ir tinkle vykdomus verslo procesus), gyvosioms laboratorijoms, interneto verslininkams ir IRT pradedančiosioms įmonėms</w:t>
            </w:r>
          </w:p>
        </w:tc>
        <w:tc>
          <w:tcPr>
            <w:tcW w:w="1875" w:type="dxa"/>
            <w:shd w:val="clear" w:color="auto" w:fill="auto"/>
            <w:vAlign w:val="center"/>
          </w:tcPr>
          <w:p w:rsidR="00C52CE6" w:rsidRPr="00C37690" w:rsidRDefault="00B14033" w:rsidP="00C52CE6">
            <w:pPr>
              <w:widowControl w:val="0"/>
              <w:tabs>
                <w:tab w:val="left" w:pos="622"/>
              </w:tabs>
              <w:jc w:val="right"/>
              <w:rPr>
                <w:rFonts w:ascii="Times New Roman" w:eastAsia="AngsanaUPC" w:hAnsi="Times New Roman" w:cs="Times New Roman"/>
                <w:b/>
                <w:bCs/>
                <w:iCs/>
                <w:sz w:val="18"/>
                <w:szCs w:val="18"/>
                <w:lang w:eastAsia="lt-LT"/>
              </w:rPr>
            </w:pPr>
            <w:r w:rsidRPr="00C37690">
              <w:rPr>
                <w:rFonts w:ascii="Times New Roman" w:eastAsia="AngsanaUPC" w:hAnsi="Times New Roman" w:cs="Times New Roman"/>
                <w:b/>
                <w:bCs/>
                <w:iCs/>
                <w:sz w:val="18"/>
                <w:szCs w:val="18"/>
                <w:lang w:eastAsia="lt-LT"/>
              </w:rPr>
              <w:t>40</w:t>
            </w:r>
            <w:r w:rsidR="00C52CE6" w:rsidRPr="00C37690">
              <w:rPr>
                <w:rFonts w:ascii="Times New Roman" w:eastAsia="AngsanaUPC" w:hAnsi="Times New Roman" w:cs="Times New Roman"/>
                <w:b/>
                <w:bCs/>
                <w:iCs/>
                <w:sz w:val="18"/>
                <w:szCs w:val="18"/>
                <w:lang w:eastAsia="lt-LT"/>
              </w:rPr>
              <w:t>.000.000</w:t>
            </w:r>
          </w:p>
        </w:tc>
      </w:tr>
    </w:tbl>
    <w:p w:rsidR="00C52CE6" w:rsidRPr="002A49CA" w:rsidRDefault="00C52CE6" w:rsidP="00C52CE6">
      <w:pPr>
        <w:widowControl w:val="0"/>
        <w:shd w:val="clear" w:color="auto" w:fill="FFFFFF"/>
        <w:jc w:val="both"/>
        <w:textAlignment w:val="baseline"/>
        <w:rPr>
          <w:rFonts w:ascii="Times New Roman" w:hAnsi="Times New Roman" w:cs="Times New Roman"/>
          <w:b/>
          <w:i/>
          <w:color w:val="000000"/>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08"/>
      </w:tblGrid>
      <w:tr w:rsidR="00C52CE6" w:rsidRPr="002A49CA" w:rsidTr="00C52CE6">
        <w:tc>
          <w:tcPr>
            <w:tcW w:w="9746" w:type="dxa"/>
            <w:gridSpan w:val="4"/>
            <w:shd w:val="clear" w:color="auto" w:fill="EEECE1" w:themeFill="background2"/>
          </w:tcPr>
          <w:p w:rsidR="00C52CE6" w:rsidRPr="002A49CA" w:rsidRDefault="00C52CE6" w:rsidP="00C52CE6">
            <w:pPr>
              <w:widowControl w:val="0"/>
              <w:tabs>
                <w:tab w:val="left" w:pos="622"/>
              </w:tabs>
              <w:jc w:val="both"/>
              <w:rPr>
                <w:rFonts w:ascii="Times New Roman" w:eastAsia="Calibri" w:hAnsi="Times New Roman" w:cs="Times New Roman"/>
                <w:b/>
                <w:i/>
                <w:iCs/>
                <w:sz w:val="18"/>
                <w:szCs w:val="18"/>
              </w:rPr>
            </w:pPr>
            <w:r w:rsidRPr="002A49CA">
              <w:rPr>
                <w:rFonts w:ascii="Times New Roman" w:eastAsia="Calibri" w:hAnsi="Times New Roman" w:cs="Times New Roman"/>
                <w:b/>
                <w:bCs/>
                <w:i/>
                <w:iCs/>
                <w:sz w:val="18"/>
                <w:szCs w:val="18"/>
              </w:rPr>
              <w:t>Finansavimo forma</w:t>
            </w:r>
          </w:p>
        </w:tc>
      </w:tr>
      <w:tr w:rsidR="00C52CE6" w:rsidRPr="002A49CA" w:rsidTr="00C52CE6">
        <w:tc>
          <w:tcPr>
            <w:tcW w:w="851"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Fondas</w:t>
            </w:r>
          </w:p>
        </w:tc>
        <w:tc>
          <w:tcPr>
            <w:tcW w:w="709"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Kodas</w:t>
            </w:r>
          </w:p>
        </w:tc>
        <w:tc>
          <w:tcPr>
            <w:tcW w:w="6378"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Pavadinimas</w:t>
            </w:r>
          </w:p>
        </w:tc>
        <w:tc>
          <w:tcPr>
            <w:tcW w:w="1808" w:type="dxa"/>
            <w:shd w:val="clear" w:color="auto" w:fill="EEECE1" w:themeFill="background2"/>
            <w:vAlign w:val="center"/>
          </w:tcPr>
          <w:p w:rsidR="00C52CE6" w:rsidRPr="002A49CA" w:rsidRDefault="00C52CE6" w:rsidP="00C52CE6">
            <w:pPr>
              <w:widowControl w:val="0"/>
              <w:tabs>
                <w:tab w:val="left" w:pos="622"/>
              </w:tabs>
              <w:jc w:val="center"/>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Finansinė proporcija (eurais)</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01</w:t>
            </w:r>
          </w:p>
        </w:tc>
        <w:tc>
          <w:tcPr>
            <w:tcW w:w="6378" w:type="dxa"/>
            <w:shd w:val="clear" w:color="auto" w:fill="auto"/>
            <w:vAlign w:val="center"/>
          </w:tcPr>
          <w:p w:rsidR="00C52CE6" w:rsidRPr="002A49CA" w:rsidRDefault="00C52CE6" w:rsidP="00C52CE6">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Negrąžinamoji subsidija</w:t>
            </w:r>
          </w:p>
        </w:tc>
        <w:tc>
          <w:tcPr>
            <w:tcW w:w="1808" w:type="dxa"/>
            <w:shd w:val="clear" w:color="auto" w:fill="auto"/>
            <w:vAlign w:val="center"/>
          </w:tcPr>
          <w:p w:rsidR="00C52CE6" w:rsidRPr="002A49CA" w:rsidRDefault="005470E7" w:rsidP="00C52CE6">
            <w:pPr>
              <w:widowControl w:val="0"/>
              <w:tabs>
                <w:tab w:val="left" w:pos="622"/>
              </w:tabs>
              <w:jc w:val="right"/>
              <w:rPr>
                <w:rFonts w:ascii="Times New Roman" w:eastAsia="AngsanaUPC" w:hAnsi="Times New Roman" w:cs="Times New Roman"/>
                <w:b/>
                <w:bCs/>
                <w:sz w:val="18"/>
                <w:szCs w:val="18"/>
                <w:lang w:eastAsia="lt-LT"/>
              </w:rPr>
            </w:pPr>
            <w:r>
              <w:rPr>
                <w:rFonts w:ascii="Times New Roman" w:eastAsia="AngsanaUPC" w:hAnsi="Times New Roman" w:cs="Times New Roman"/>
                <w:b/>
                <w:bCs/>
                <w:sz w:val="18"/>
                <w:szCs w:val="18"/>
                <w:lang w:eastAsia="lt-LT"/>
              </w:rPr>
              <w:t>271.7</w:t>
            </w:r>
            <w:bookmarkStart w:id="3" w:name="_GoBack"/>
            <w:bookmarkEnd w:id="3"/>
            <w:r w:rsidR="00957E31" w:rsidRPr="00C37690">
              <w:rPr>
                <w:rFonts w:ascii="Times New Roman" w:eastAsia="AngsanaUPC" w:hAnsi="Times New Roman" w:cs="Times New Roman"/>
                <w:b/>
                <w:bCs/>
                <w:sz w:val="18"/>
                <w:szCs w:val="18"/>
                <w:lang w:eastAsia="lt-LT"/>
              </w:rPr>
              <w:t>0</w:t>
            </w:r>
            <w:r w:rsidR="00C52CE6" w:rsidRPr="00C37690">
              <w:rPr>
                <w:rFonts w:ascii="Times New Roman" w:eastAsia="AngsanaUPC" w:hAnsi="Times New Roman" w:cs="Times New Roman"/>
                <w:b/>
                <w:bCs/>
                <w:sz w:val="18"/>
                <w:szCs w:val="18"/>
                <w:lang w:eastAsia="lt-LT"/>
              </w:rPr>
              <w:t>0.000</w:t>
            </w:r>
          </w:p>
        </w:tc>
      </w:tr>
      <w:tr w:rsidR="005470E7" w:rsidRPr="002A49CA" w:rsidTr="00C52CE6">
        <w:tc>
          <w:tcPr>
            <w:tcW w:w="851" w:type="dxa"/>
            <w:shd w:val="clear" w:color="auto" w:fill="auto"/>
            <w:vAlign w:val="center"/>
          </w:tcPr>
          <w:p w:rsidR="005470E7" w:rsidRPr="002A49CA" w:rsidRDefault="005470E7" w:rsidP="00C52CE6">
            <w:pPr>
              <w:widowControl w:val="0"/>
              <w:tabs>
                <w:tab w:val="left" w:pos="622"/>
              </w:tabs>
              <w:rPr>
                <w:rFonts w:ascii="Times New Roman" w:eastAsia="AngsanaUPC" w:hAnsi="Times New Roman" w:cs="Times New Roman"/>
                <w:b/>
                <w:bCs/>
                <w:sz w:val="18"/>
                <w:szCs w:val="18"/>
                <w:lang w:eastAsia="lt-LT"/>
              </w:rPr>
            </w:pPr>
            <w:r>
              <w:rPr>
                <w:rFonts w:ascii="Times New Roman" w:eastAsia="AngsanaUPC" w:hAnsi="Times New Roman" w:cs="Times New Roman"/>
                <w:b/>
                <w:bCs/>
                <w:sz w:val="18"/>
                <w:szCs w:val="18"/>
                <w:lang w:eastAsia="lt-LT"/>
              </w:rPr>
              <w:t>ERPF</w:t>
            </w:r>
          </w:p>
        </w:tc>
        <w:tc>
          <w:tcPr>
            <w:tcW w:w="709" w:type="dxa"/>
            <w:shd w:val="clear" w:color="auto" w:fill="auto"/>
            <w:vAlign w:val="center"/>
          </w:tcPr>
          <w:p w:rsidR="005470E7" w:rsidRPr="002A49CA" w:rsidRDefault="005470E7" w:rsidP="00C52CE6">
            <w:pPr>
              <w:widowControl w:val="0"/>
              <w:tabs>
                <w:tab w:val="left" w:pos="622"/>
              </w:tabs>
              <w:rPr>
                <w:rFonts w:ascii="Times New Roman" w:eastAsia="AngsanaUPC" w:hAnsi="Times New Roman" w:cs="Times New Roman"/>
                <w:b/>
                <w:bCs/>
                <w:sz w:val="18"/>
                <w:szCs w:val="18"/>
                <w:lang w:eastAsia="lt-LT"/>
              </w:rPr>
            </w:pPr>
            <w:r>
              <w:rPr>
                <w:rFonts w:ascii="Times New Roman" w:eastAsia="AngsanaUPC" w:hAnsi="Times New Roman" w:cs="Times New Roman"/>
                <w:b/>
                <w:bCs/>
                <w:sz w:val="18"/>
                <w:szCs w:val="18"/>
                <w:lang w:eastAsia="lt-LT"/>
              </w:rPr>
              <w:t>02</w:t>
            </w:r>
          </w:p>
        </w:tc>
        <w:tc>
          <w:tcPr>
            <w:tcW w:w="6378" w:type="dxa"/>
            <w:shd w:val="clear" w:color="auto" w:fill="auto"/>
            <w:vAlign w:val="center"/>
          </w:tcPr>
          <w:p w:rsidR="005470E7" w:rsidRPr="002A49CA" w:rsidRDefault="005470E7" w:rsidP="00C52CE6">
            <w:pPr>
              <w:widowControl w:val="0"/>
              <w:tabs>
                <w:tab w:val="left" w:pos="622"/>
              </w:tabs>
              <w:rPr>
                <w:rFonts w:ascii="Times New Roman" w:eastAsia="AngsanaUPC" w:hAnsi="Times New Roman" w:cs="Times New Roman"/>
                <w:b/>
                <w:bCs/>
                <w:sz w:val="18"/>
                <w:szCs w:val="18"/>
                <w:lang w:eastAsia="lt-LT"/>
              </w:rPr>
            </w:pPr>
            <w:r>
              <w:rPr>
                <w:rFonts w:ascii="Times New Roman" w:eastAsia="AngsanaUPC" w:hAnsi="Times New Roman" w:cs="Times New Roman"/>
                <w:b/>
                <w:bCs/>
                <w:sz w:val="18"/>
                <w:szCs w:val="18"/>
                <w:lang w:eastAsia="lt-LT"/>
              </w:rPr>
              <w:t>Gražinamoji subsidija</w:t>
            </w:r>
          </w:p>
        </w:tc>
        <w:tc>
          <w:tcPr>
            <w:tcW w:w="1808" w:type="dxa"/>
            <w:shd w:val="clear" w:color="auto" w:fill="auto"/>
            <w:vAlign w:val="center"/>
          </w:tcPr>
          <w:p w:rsidR="005470E7" w:rsidRPr="00C37690" w:rsidRDefault="005470E7" w:rsidP="00C52CE6">
            <w:pPr>
              <w:widowControl w:val="0"/>
              <w:tabs>
                <w:tab w:val="left" w:pos="622"/>
              </w:tabs>
              <w:jc w:val="right"/>
              <w:rPr>
                <w:rFonts w:ascii="Times New Roman" w:eastAsia="AngsanaUPC" w:hAnsi="Times New Roman" w:cs="Times New Roman"/>
                <w:b/>
                <w:bCs/>
                <w:sz w:val="18"/>
                <w:szCs w:val="18"/>
                <w:lang w:eastAsia="lt-LT"/>
              </w:rPr>
            </w:pPr>
            <w:r>
              <w:rPr>
                <w:rFonts w:ascii="Times New Roman" w:eastAsia="AngsanaUPC" w:hAnsi="Times New Roman" w:cs="Times New Roman"/>
                <w:b/>
                <w:bCs/>
                <w:sz w:val="18"/>
                <w:szCs w:val="18"/>
                <w:lang w:eastAsia="lt-LT"/>
              </w:rPr>
              <w:t>22.300.000</w:t>
            </w:r>
          </w:p>
        </w:tc>
      </w:tr>
    </w:tbl>
    <w:p w:rsidR="00C52CE6" w:rsidRPr="002A49CA" w:rsidRDefault="00C52CE6" w:rsidP="00C52CE6">
      <w:pPr>
        <w:widowControl w:val="0"/>
        <w:shd w:val="clear" w:color="auto" w:fill="FFFFFF"/>
        <w:jc w:val="both"/>
        <w:textAlignment w:val="baseline"/>
        <w:rPr>
          <w:rFonts w:ascii="Times New Roman" w:hAnsi="Times New Roman" w:cs="Times New Roman"/>
          <w:b/>
          <w:i/>
          <w:color w:val="000000"/>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08"/>
      </w:tblGrid>
      <w:tr w:rsidR="00C52CE6" w:rsidRPr="002A49CA" w:rsidTr="00C52CE6">
        <w:tc>
          <w:tcPr>
            <w:tcW w:w="9746" w:type="dxa"/>
            <w:gridSpan w:val="4"/>
            <w:shd w:val="clear" w:color="auto" w:fill="EEECE1" w:themeFill="background2"/>
          </w:tcPr>
          <w:p w:rsidR="00C52CE6" w:rsidRPr="002A49CA" w:rsidRDefault="00C52CE6" w:rsidP="00C52CE6">
            <w:pPr>
              <w:widowControl w:val="0"/>
              <w:tabs>
                <w:tab w:val="left" w:pos="622"/>
              </w:tabs>
              <w:jc w:val="both"/>
              <w:rPr>
                <w:rFonts w:ascii="Times New Roman" w:eastAsia="Calibri" w:hAnsi="Times New Roman" w:cs="Times New Roman"/>
                <w:b/>
                <w:i/>
                <w:iCs/>
                <w:sz w:val="18"/>
                <w:szCs w:val="18"/>
              </w:rPr>
            </w:pPr>
            <w:r w:rsidRPr="002A49CA">
              <w:rPr>
                <w:rFonts w:ascii="Times New Roman" w:eastAsia="Calibri" w:hAnsi="Times New Roman" w:cs="Times New Roman"/>
                <w:b/>
                <w:bCs/>
                <w:i/>
                <w:iCs/>
                <w:sz w:val="18"/>
                <w:szCs w:val="18"/>
              </w:rPr>
              <w:t>Teritorijų tipas</w:t>
            </w:r>
          </w:p>
        </w:tc>
      </w:tr>
      <w:tr w:rsidR="00C52CE6" w:rsidRPr="002A49CA" w:rsidTr="00C52CE6">
        <w:tc>
          <w:tcPr>
            <w:tcW w:w="851"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Fondas</w:t>
            </w:r>
          </w:p>
        </w:tc>
        <w:tc>
          <w:tcPr>
            <w:tcW w:w="709"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Kodas</w:t>
            </w:r>
          </w:p>
        </w:tc>
        <w:tc>
          <w:tcPr>
            <w:tcW w:w="6378"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Pavadinimas</w:t>
            </w:r>
          </w:p>
        </w:tc>
        <w:tc>
          <w:tcPr>
            <w:tcW w:w="1808" w:type="dxa"/>
            <w:shd w:val="clear" w:color="auto" w:fill="EEECE1" w:themeFill="background2"/>
            <w:vAlign w:val="center"/>
          </w:tcPr>
          <w:p w:rsidR="00C52CE6" w:rsidRPr="002A49CA" w:rsidRDefault="00C52CE6" w:rsidP="00C52CE6">
            <w:pPr>
              <w:widowControl w:val="0"/>
              <w:tabs>
                <w:tab w:val="left" w:pos="622"/>
              </w:tabs>
              <w:jc w:val="center"/>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Finansinė proporcija (eurais)</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07</w:t>
            </w:r>
          </w:p>
        </w:tc>
        <w:tc>
          <w:tcPr>
            <w:tcW w:w="6378" w:type="dxa"/>
            <w:shd w:val="clear" w:color="auto" w:fill="auto"/>
            <w:vAlign w:val="center"/>
          </w:tcPr>
          <w:p w:rsidR="00C52CE6" w:rsidRPr="002A49CA" w:rsidRDefault="00C52CE6" w:rsidP="00C52CE6">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Netaikoma</w:t>
            </w:r>
          </w:p>
        </w:tc>
        <w:tc>
          <w:tcPr>
            <w:tcW w:w="1808" w:type="dxa"/>
            <w:shd w:val="clear" w:color="auto" w:fill="auto"/>
            <w:vAlign w:val="center"/>
          </w:tcPr>
          <w:p w:rsidR="00C52CE6" w:rsidRPr="00C37690" w:rsidRDefault="00957E31" w:rsidP="00C52CE6">
            <w:pPr>
              <w:widowControl w:val="0"/>
              <w:tabs>
                <w:tab w:val="left" w:pos="622"/>
              </w:tabs>
              <w:jc w:val="right"/>
              <w:rPr>
                <w:rFonts w:ascii="Times New Roman" w:eastAsia="AngsanaUPC" w:hAnsi="Times New Roman" w:cs="Times New Roman"/>
                <w:b/>
                <w:bCs/>
                <w:sz w:val="18"/>
                <w:szCs w:val="18"/>
                <w:lang w:eastAsia="lt-LT"/>
              </w:rPr>
            </w:pPr>
            <w:r w:rsidRPr="00C37690">
              <w:rPr>
                <w:rFonts w:ascii="Times New Roman" w:eastAsia="AngsanaUPC" w:hAnsi="Times New Roman" w:cs="Times New Roman"/>
                <w:b/>
                <w:bCs/>
                <w:sz w:val="18"/>
                <w:szCs w:val="18"/>
                <w:lang w:eastAsia="lt-LT"/>
              </w:rPr>
              <w:t>294.0</w:t>
            </w:r>
            <w:r w:rsidR="00C52CE6" w:rsidRPr="00C37690">
              <w:rPr>
                <w:rFonts w:ascii="Times New Roman" w:eastAsia="AngsanaUPC" w:hAnsi="Times New Roman" w:cs="Times New Roman"/>
                <w:b/>
                <w:bCs/>
                <w:sz w:val="18"/>
                <w:szCs w:val="18"/>
                <w:lang w:eastAsia="lt-LT"/>
              </w:rPr>
              <w:t>00.000</w:t>
            </w:r>
          </w:p>
        </w:tc>
      </w:tr>
    </w:tbl>
    <w:p w:rsidR="00C52CE6" w:rsidRPr="002A49CA" w:rsidRDefault="00C52CE6" w:rsidP="00C52CE6">
      <w:pPr>
        <w:widowControl w:val="0"/>
        <w:shd w:val="clear" w:color="auto" w:fill="FFFFFF"/>
        <w:jc w:val="both"/>
        <w:textAlignment w:val="baseline"/>
        <w:rPr>
          <w:rFonts w:ascii="Times New Roman" w:hAnsi="Times New Roman" w:cs="Times New Roman"/>
          <w:b/>
          <w:i/>
          <w:color w:val="000000"/>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08"/>
      </w:tblGrid>
      <w:tr w:rsidR="00C52CE6" w:rsidRPr="002A49CA" w:rsidTr="00C52CE6">
        <w:tc>
          <w:tcPr>
            <w:tcW w:w="9746" w:type="dxa"/>
            <w:gridSpan w:val="4"/>
            <w:shd w:val="clear" w:color="auto" w:fill="EEECE1" w:themeFill="background2"/>
          </w:tcPr>
          <w:p w:rsidR="00C52CE6" w:rsidRPr="002A49CA" w:rsidRDefault="00C52CE6" w:rsidP="00C52CE6">
            <w:pPr>
              <w:widowControl w:val="0"/>
              <w:tabs>
                <w:tab w:val="left" w:pos="622"/>
              </w:tabs>
              <w:jc w:val="both"/>
              <w:rPr>
                <w:rFonts w:ascii="Times New Roman" w:eastAsia="Calibri" w:hAnsi="Times New Roman" w:cs="Times New Roman"/>
                <w:b/>
                <w:i/>
                <w:iCs/>
                <w:sz w:val="18"/>
                <w:szCs w:val="18"/>
              </w:rPr>
            </w:pPr>
            <w:r w:rsidRPr="002A49CA">
              <w:rPr>
                <w:rFonts w:ascii="Times New Roman" w:eastAsia="Calibri" w:hAnsi="Times New Roman" w:cs="Times New Roman"/>
                <w:b/>
                <w:bCs/>
                <w:i/>
                <w:iCs/>
                <w:sz w:val="18"/>
                <w:szCs w:val="18"/>
              </w:rPr>
              <w:t>Teritorinės paramos paskirstymo priemonės</w:t>
            </w:r>
          </w:p>
        </w:tc>
      </w:tr>
      <w:tr w:rsidR="00C52CE6" w:rsidRPr="002A49CA" w:rsidTr="00C52CE6">
        <w:trPr>
          <w:trHeight w:val="550"/>
        </w:trPr>
        <w:tc>
          <w:tcPr>
            <w:tcW w:w="851"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Fondas</w:t>
            </w:r>
          </w:p>
        </w:tc>
        <w:tc>
          <w:tcPr>
            <w:tcW w:w="709"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Kodas</w:t>
            </w:r>
          </w:p>
        </w:tc>
        <w:tc>
          <w:tcPr>
            <w:tcW w:w="6378" w:type="dxa"/>
            <w:shd w:val="clear" w:color="auto" w:fill="EEECE1" w:themeFill="background2"/>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Pavadinimas</w:t>
            </w:r>
          </w:p>
        </w:tc>
        <w:tc>
          <w:tcPr>
            <w:tcW w:w="1808" w:type="dxa"/>
            <w:shd w:val="clear" w:color="auto" w:fill="EEECE1" w:themeFill="background2"/>
            <w:vAlign w:val="center"/>
          </w:tcPr>
          <w:p w:rsidR="00C52CE6" w:rsidRPr="002A49CA" w:rsidRDefault="00C52CE6" w:rsidP="00C52CE6">
            <w:pPr>
              <w:widowControl w:val="0"/>
              <w:tabs>
                <w:tab w:val="left" w:pos="622"/>
              </w:tabs>
              <w:jc w:val="center"/>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Finansinė proporcija (eurais)</w:t>
            </w:r>
          </w:p>
        </w:tc>
      </w:tr>
      <w:tr w:rsidR="00C52CE6" w:rsidRPr="002A49CA" w:rsidTr="00C52CE6">
        <w:tc>
          <w:tcPr>
            <w:tcW w:w="851" w:type="dxa"/>
            <w:shd w:val="clear" w:color="auto" w:fill="auto"/>
            <w:vAlign w:val="center"/>
          </w:tcPr>
          <w:p w:rsidR="00C52CE6" w:rsidRPr="002A49CA" w:rsidRDefault="00C52CE6" w:rsidP="00C52CE6">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ERPF</w:t>
            </w:r>
          </w:p>
        </w:tc>
        <w:tc>
          <w:tcPr>
            <w:tcW w:w="709" w:type="dxa"/>
            <w:shd w:val="clear" w:color="auto" w:fill="auto"/>
            <w:vAlign w:val="center"/>
          </w:tcPr>
          <w:p w:rsidR="00C52CE6" w:rsidRPr="002A49CA" w:rsidRDefault="00C52CE6" w:rsidP="00C52CE6">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07</w:t>
            </w:r>
          </w:p>
        </w:tc>
        <w:tc>
          <w:tcPr>
            <w:tcW w:w="6378" w:type="dxa"/>
            <w:shd w:val="clear" w:color="auto" w:fill="auto"/>
            <w:vAlign w:val="center"/>
          </w:tcPr>
          <w:p w:rsidR="00C52CE6" w:rsidRPr="002A49CA" w:rsidRDefault="00C52CE6" w:rsidP="00C52CE6">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Netaikoma</w:t>
            </w:r>
          </w:p>
        </w:tc>
        <w:tc>
          <w:tcPr>
            <w:tcW w:w="1808" w:type="dxa"/>
            <w:shd w:val="clear" w:color="auto" w:fill="auto"/>
            <w:vAlign w:val="center"/>
          </w:tcPr>
          <w:p w:rsidR="00C52CE6" w:rsidRPr="00C37690" w:rsidRDefault="00957E31" w:rsidP="00C52CE6">
            <w:pPr>
              <w:widowControl w:val="0"/>
              <w:tabs>
                <w:tab w:val="left" w:pos="622"/>
              </w:tabs>
              <w:jc w:val="right"/>
              <w:rPr>
                <w:rFonts w:ascii="Times New Roman" w:eastAsia="AngsanaUPC" w:hAnsi="Times New Roman" w:cs="Times New Roman"/>
                <w:b/>
                <w:bCs/>
                <w:sz w:val="18"/>
                <w:szCs w:val="18"/>
                <w:lang w:eastAsia="lt-LT"/>
              </w:rPr>
            </w:pPr>
            <w:r w:rsidRPr="00C37690">
              <w:rPr>
                <w:rFonts w:ascii="Times New Roman" w:eastAsia="AngsanaUPC" w:hAnsi="Times New Roman" w:cs="Times New Roman"/>
                <w:b/>
                <w:bCs/>
                <w:sz w:val="18"/>
                <w:szCs w:val="18"/>
                <w:lang w:eastAsia="lt-LT"/>
              </w:rPr>
              <w:t>294.0</w:t>
            </w:r>
            <w:r w:rsidR="00C52CE6" w:rsidRPr="00C37690">
              <w:rPr>
                <w:rFonts w:ascii="Times New Roman" w:eastAsia="AngsanaUPC" w:hAnsi="Times New Roman" w:cs="Times New Roman"/>
                <w:b/>
                <w:bCs/>
                <w:sz w:val="18"/>
                <w:szCs w:val="18"/>
                <w:lang w:eastAsia="lt-LT"/>
              </w:rPr>
              <w:t>00.000</w:t>
            </w:r>
          </w:p>
        </w:tc>
      </w:tr>
    </w:tbl>
    <w:p w:rsidR="0095182B" w:rsidRDefault="0095182B" w:rsidP="0095182B">
      <w:pPr>
        <w:widowControl w:val="0"/>
        <w:spacing w:before="100" w:beforeAutospacing="1" w:after="100" w:afterAutospacing="1"/>
        <w:jc w:val="both"/>
        <w:textAlignment w:val="baseline"/>
        <w:rPr>
          <w:rFonts w:ascii="Times New Roman" w:hAnsi="Times New Roman" w:cs="Times New Roman"/>
          <w:i/>
          <w:color w:val="000000"/>
          <w:sz w:val="24"/>
          <w:szCs w:val="24"/>
          <w:u w:val="single"/>
        </w:rPr>
      </w:pPr>
      <w:r>
        <w:rPr>
          <w:rFonts w:ascii="Times New Roman" w:hAnsi="Times New Roman" w:cs="Times New Roman"/>
          <w:i/>
          <w:sz w:val="24"/>
          <w:szCs w:val="24"/>
          <w:u w:val="single"/>
        </w:rPr>
        <w:t>12. Papildyti</w:t>
      </w:r>
      <w:r w:rsidRPr="00697AD2">
        <w:rPr>
          <w:rFonts w:ascii="Times New Roman" w:hAnsi="Times New Roman" w:cs="Times New Roman"/>
          <w:i/>
          <w:sz w:val="24"/>
          <w:szCs w:val="24"/>
          <w:u w:val="single"/>
        </w:rPr>
        <w:t xml:space="preserve"> Veiksmų programos 2 skirsnio „Prioritetų aprašymas“ </w:t>
      </w:r>
      <w:r>
        <w:rPr>
          <w:rFonts w:ascii="Times New Roman" w:hAnsi="Times New Roman" w:cs="Times New Roman"/>
          <w:i/>
          <w:sz w:val="24"/>
          <w:szCs w:val="24"/>
          <w:u w:val="single"/>
        </w:rPr>
        <w:t>nauju 14 prioritetu</w:t>
      </w:r>
      <w:r w:rsidRPr="00D1015C">
        <w:rPr>
          <w:rFonts w:ascii="Times New Roman" w:hAnsi="Times New Roman" w:cs="Times New Roman"/>
          <w:i/>
          <w:sz w:val="24"/>
          <w:szCs w:val="24"/>
          <w:u w:val="single"/>
        </w:rPr>
        <w:t xml:space="preserve"> „</w:t>
      </w:r>
      <w:r w:rsidRPr="006C4F1E">
        <w:rPr>
          <w:rFonts w:ascii="Times New Roman" w:hAnsi="Times New Roman" w:cs="Times New Roman"/>
          <w:i/>
          <w:sz w:val="24"/>
          <w:szCs w:val="24"/>
          <w:u w:val="single"/>
        </w:rPr>
        <w:t xml:space="preserve">Veiksmų, skirtų COVID-19 pandemijos sukeltai krizei </w:t>
      </w:r>
      <w:r w:rsidR="00957E31">
        <w:rPr>
          <w:rFonts w:ascii="Times New Roman" w:hAnsi="Times New Roman" w:cs="Times New Roman"/>
          <w:i/>
          <w:sz w:val="24"/>
          <w:szCs w:val="24"/>
          <w:u w:val="single"/>
        </w:rPr>
        <w:t>įveikti, skatinimas, siekiant didinti užimtumą ir socialinę įtrauktį</w:t>
      </w:r>
      <w:r>
        <w:rPr>
          <w:rFonts w:ascii="Times New Roman" w:hAnsi="Times New Roman" w:cs="Times New Roman"/>
          <w:i/>
          <w:sz w:val="24"/>
          <w:szCs w:val="24"/>
          <w:u w:val="single"/>
        </w:rPr>
        <w:t>“ ir</w:t>
      </w:r>
      <w:r w:rsidRPr="00697AD2">
        <w:rPr>
          <w:rFonts w:ascii="Times New Roman" w:hAnsi="Times New Roman" w:cs="Times New Roman"/>
          <w:i/>
          <w:color w:val="000000"/>
          <w:sz w:val="24"/>
          <w:szCs w:val="24"/>
          <w:u w:val="single"/>
        </w:rPr>
        <w:t xml:space="preserve"> išdėstyti j</w:t>
      </w:r>
      <w:r>
        <w:rPr>
          <w:rFonts w:ascii="Times New Roman" w:hAnsi="Times New Roman" w:cs="Times New Roman"/>
          <w:i/>
          <w:color w:val="000000"/>
          <w:sz w:val="24"/>
          <w:szCs w:val="24"/>
          <w:u w:val="single"/>
        </w:rPr>
        <w:t>į</w:t>
      </w:r>
      <w:r w:rsidRPr="00697AD2">
        <w:rPr>
          <w:rFonts w:ascii="Times New Roman" w:hAnsi="Times New Roman" w:cs="Times New Roman"/>
          <w:i/>
          <w:color w:val="000000"/>
          <w:sz w:val="24"/>
          <w:szCs w:val="24"/>
          <w:u w:val="single"/>
        </w:rPr>
        <w:t xml:space="preserve"> taip: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95182B" w:rsidRPr="00D55ED2" w:rsidTr="00C52CE6">
        <w:trPr>
          <w:trHeight w:val="416"/>
        </w:trPr>
        <w:tc>
          <w:tcPr>
            <w:tcW w:w="9746" w:type="dxa"/>
            <w:shd w:val="clear" w:color="auto" w:fill="EEECE1"/>
            <w:vAlign w:val="center"/>
          </w:tcPr>
          <w:p w:rsidR="0095182B" w:rsidRPr="00D55ED2" w:rsidRDefault="0095182B" w:rsidP="00C52CE6">
            <w:pPr>
              <w:keepNext/>
              <w:jc w:val="both"/>
              <w:outlineLvl w:val="1"/>
              <w:rPr>
                <w:rFonts w:ascii="Times New Roman" w:eastAsia="AngsanaUPC" w:hAnsi="Times New Roman" w:cs="Times New Roman"/>
                <w:b/>
                <w:bCs/>
                <w:iCs/>
                <w:sz w:val="24"/>
                <w:szCs w:val="28"/>
                <w:lang w:eastAsia="lt-LT"/>
              </w:rPr>
            </w:pPr>
            <w:r>
              <w:rPr>
                <w:rFonts w:ascii="Times New Roman" w:eastAsia="AngsanaUPC" w:hAnsi="Times New Roman" w:cs="Times New Roman"/>
                <w:b/>
                <w:bCs/>
                <w:iCs/>
                <w:sz w:val="24"/>
                <w:szCs w:val="28"/>
                <w:lang w:eastAsia="lt-LT"/>
              </w:rPr>
              <w:t>14</w:t>
            </w:r>
            <w:r w:rsidRPr="00D55ED2">
              <w:rPr>
                <w:rFonts w:ascii="Times New Roman" w:eastAsia="AngsanaUPC" w:hAnsi="Times New Roman" w:cs="Times New Roman"/>
                <w:b/>
                <w:bCs/>
                <w:iCs/>
                <w:sz w:val="24"/>
                <w:szCs w:val="28"/>
                <w:lang w:eastAsia="lt-LT"/>
              </w:rPr>
              <w:t xml:space="preserve"> PRIORITETAS. </w:t>
            </w:r>
            <w:r w:rsidRPr="00E5740B">
              <w:rPr>
                <w:rFonts w:ascii="Times New Roman" w:eastAsia="AngsanaUPC" w:hAnsi="Times New Roman" w:cs="Times New Roman"/>
                <w:b/>
                <w:bCs/>
                <w:iCs/>
                <w:sz w:val="24"/>
                <w:szCs w:val="28"/>
                <w:lang w:eastAsia="lt-LT"/>
              </w:rPr>
              <w:t>VEIKSMŲ, SKIRTŲ COVID-19 PANDEMIJOS SUKELTAI KRIZEI ĮVEIKTI, SKATINIMAS</w:t>
            </w:r>
            <w:r w:rsidR="002F705A">
              <w:rPr>
                <w:rFonts w:ascii="Times New Roman" w:eastAsia="AngsanaUPC" w:hAnsi="Times New Roman" w:cs="Times New Roman"/>
                <w:b/>
                <w:bCs/>
                <w:iCs/>
                <w:sz w:val="24"/>
                <w:szCs w:val="28"/>
                <w:lang w:eastAsia="lt-LT"/>
              </w:rPr>
              <w:t>, SIEKIANT DIDINTI UŽIMTUMĄ IR SOCIALINĘ ĮTRAUKTĮ</w:t>
            </w:r>
          </w:p>
        </w:tc>
      </w:tr>
      <w:tr w:rsidR="0095182B" w:rsidRPr="00D55ED2" w:rsidTr="00C52CE6">
        <w:trPr>
          <w:trHeight w:val="294"/>
        </w:trPr>
        <w:tc>
          <w:tcPr>
            <w:tcW w:w="9746" w:type="dxa"/>
            <w:shd w:val="clear" w:color="auto" w:fill="auto"/>
            <w:vAlign w:val="center"/>
          </w:tcPr>
          <w:p w:rsidR="008154BF" w:rsidRPr="00FA48BC" w:rsidRDefault="00DF37EA" w:rsidP="00C52CE6">
            <w:pPr>
              <w:widowControl w:val="0"/>
              <w:tabs>
                <w:tab w:val="left" w:pos="622"/>
              </w:tabs>
              <w:ind w:firstLine="624"/>
              <w:jc w:val="both"/>
              <w:rPr>
                <w:rFonts w:ascii="Times New Roman" w:eastAsia="AngsanaUPC" w:hAnsi="Times New Roman" w:cs="Times New Roman"/>
                <w:b/>
                <w:bCs/>
                <w:sz w:val="24"/>
                <w:szCs w:val="24"/>
                <w:lang w:eastAsia="lt-LT"/>
              </w:rPr>
            </w:pPr>
            <w:r w:rsidRPr="00FA48BC">
              <w:rPr>
                <w:rFonts w:ascii="Times New Roman" w:eastAsia="AngsanaUPC" w:hAnsi="Times New Roman" w:cs="Times New Roman"/>
                <w:b/>
                <w:bCs/>
                <w:sz w:val="24"/>
                <w:szCs w:val="24"/>
                <w:lang w:eastAsia="lt-LT"/>
              </w:rPr>
              <w:t xml:space="preserve">COVID-19 pandemija sukėlė staigų ir gilų globalų nuosmukį. Šiomis neapibrėžtumo </w:t>
            </w:r>
            <w:r w:rsidR="00DE6454" w:rsidRPr="00FA48BC">
              <w:rPr>
                <w:rFonts w:ascii="Times New Roman" w:eastAsia="AngsanaUPC" w:hAnsi="Times New Roman" w:cs="Times New Roman"/>
                <w:b/>
                <w:bCs/>
                <w:sz w:val="24"/>
                <w:szCs w:val="24"/>
                <w:lang w:eastAsia="lt-LT"/>
              </w:rPr>
              <w:t xml:space="preserve">sąlygomis išlieka daug neaiškumų, visų pirma, kiek laiko ši krizė truks ir kaip iš tikrųjų ji paveiks šalies gyvenimą ir ekonomiką. </w:t>
            </w:r>
            <w:r w:rsidR="008154BF" w:rsidRPr="00FA48BC">
              <w:rPr>
                <w:rFonts w:ascii="Times New Roman" w:eastAsia="AngsanaUPC" w:hAnsi="Times New Roman" w:cs="Times New Roman"/>
                <w:b/>
                <w:bCs/>
                <w:sz w:val="24"/>
                <w:szCs w:val="24"/>
                <w:lang w:eastAsia="lt-LT"/>
              </w:rPr>
              <w:t>Pandemija sukūrė papildomą spaudimą sveikatos priežiūros sistemai</w:t>
            </w:r>
            <w:r w:rsidR="00FA48BC" w:rsidRPr="00FA48BC">
              <w:rPr>
                <w:rFonts w:ascii="Times New Roman" w:eastAsia="AngsanaUPC" w:hAnsi="Times New Roman" w:cs="Times New Roman"/>
                <w:b/>
                <w:bCs/>
                <w:sz w:val="24"/>
                <w:szCs w:val="24"/>
                <w:lang w:eastAsia="lt-LT"/>
              </w:rPr>
              <w:t xml:space="preserve">, </w:t>
            </w:r>
            <w:r w:rsidR="008154BF" w:rsidRPr="00FA48BC">
              <w:rPr>
                <w:rFonts w:ascii="Times New Roman" w:eastAsia="AngsanaUPC" w:hAnsi="Times New Roman" w:cs="Times New Roman"/>
                <w:b/>
                <w:bCs/>
                <w:sz w:val="24"/>
                <w:szCs w:val="24"/>
                <w:lang w:eastAsia="lt-LT"/>
              </w:rPr>
              <w:t>suvaržė sveikatos paslaugų prieinamumo galimybes, o jai suvaldyti nustatyti socialinės ir ekonominės veiklos apribojimai ryškiai atsiliepė užimtumo rodikliams</w:t>
            </w:r>
            <w:r w:rsidR="00FA48BC" w:rsidRPr="00FA48BC">
              <w:rPr>
                <w:rFonts w:ascii="Times New Roman" w:eastAsia="AngsanaUPC" w:hAnsi="Times New Roman" w:cs="Times New Roman"/>
                <w:b/>
                <w:bCs/>
                <w:sz w:val="24"/>
                <w:szCs w:val="24"/>
                <w:lang w:eastAsia="lt-LT"/>
              </w:rPr>
              <w:t xml:space="preserve"> ir sukūrė visą eilę</w:t>
            </w:r>
            <w:r w:rsidR="008154BF" w:rsidRPr="00FA48BC">
              <w:rPr>
                <w:rFonts w:ascii="Times New Roman" w:eastAsia="AngsanaUPC" w:hAnsi="Times New Roman" w:cs="Times New Roman"/>
                <w:b/>
                <w:bCs/>
                <w:sz w:val="24"/>
                <w:szCs w:val="24"/>
                <w:lang w:eastAsia="lt-LT"/>
              </w:rPr>
              <w:t xml:space="preserve"> socialinių sunkumų</w:t>
            </w:r>
            <w:r w:rsidR="00FA48BC" w:rsidRPr="00FA48BC">
              <w:rPr>
                <w:rFonts w:ascii="Times New Roman" w:eastAsia="AngsanaUPC" w:hAnsi="Times New Roman" w:cs="Times New Roman"/>
                <w:b/>
                <w:bCs/>
                <w:sz w:val="24"/>
                <w:szCs w:val="24"/>
                <w:lang w:eastAsia="lt-LT"/>
              </w:rPr>
              <w:t>.</w:t>
            </w:r>
          </w:p>
          <w:p w:rsidR="0095182B" w:rsidRPr="00FA48BC" w:rsidRDefault="00DE6454" w:rsidP="00FA48BC">
            <w:pPr>
              <w:widowControl w:val="0"/>
              <w:tabs>
                <w:tab w:val="left" w:pos="622"/>
              </w:tabs>
              <w:ind w:firstLine="624"/>
              <w:jc w:val="both"/>
              <w:rPr>
                <w:rFonts w:ascii="Times New Roman" w:eastAsia="AngsanaUPC" w:hAnsi="Times New Roman" w:cs="Times New Roman"/>
                <w:bCs/>
                <w:sz w:val="24"/>
                <w:szCs w:val="24"/>
                <w:highlight w:val="yellow"/>
                <w:lang w:eastAsia="lt-LT"/>
              </w:rPr>
            </w:pPr>
            <w:r w:rsidRPr="00FA48BC">
              <w:rPr>
                <w:rFonts w:ascii="Times New Roman" w:eastAsia="AngsanaUPC" w:hAnsi="Times New Roman" w:cs="Times New Roman"/>
                <w:b/>
                <w:bCs/>
                <w:sz w:val="24"/>
                <w:szCs w:val="24"/>
                <w:lang w:eastAsia="lt-LT"/>
              </w:rPr>
              <w:t xml:space="preserve">Susiklosčiusios aplinkybės formuoja poreikį apsaugoti Lietuvos gyventojus, jų </w:t>
            </w:r>
            <w:r w:rsidR="00FA48BC" w:rsidRPr="00FA48BC">
              <w:rPr>
                <w:rFonts w:ascii="Times New Roman" w:eastAsia="AngsanaUPC" w:hAnsi="Times New Roman" w:cs="Times New Roman"/>
                <w:b/>
                <w:bCs/>
                <w:sz w:val="24"/>
                <w:szCs w:val="24"/>
                <w:lang w:eastAsia="lt-LT"/>
              </w:rPr>
              <w:t>darbo vietas</w:t>
            </w:r>
            <w:r w:rsidRPr="00FA48BC">
              <w:rPr>
                <w:rFonts w:ascii="Times New Roman" w:eastAsia="AngsanaUPC" w:hAnsi="Times New Roman" w:cs="Times New Roman"/>
                <w:b/>
                <w:bCs/>
                <w:sz w:val="24"/>
                <w:szCs w:val="24"/>
                <w:lang w:eastAsia="lt-LT"/>
              </w:rPr>
              <w:t>, kartu užtikrinant teisingumą, atsparumą ir makroekonominį stabilumą</w:t>
            </w:r>
            <w:r w:rsidR="00FA48BC" w:rsidRPr="00FA48BC">
              <w:rPr>
                <w:rFonts w:ascii="Times New Roman" w:eastAsia="AngsanaUPC" w:hAnsi="Times New Roman" w:cs="Times New Roman"/>
                <w:b/>
                <w:bCs/>
                <w:sz w:val="24"/>
                <w:szCs w:val="24"/>
                <w:lang w:eastAsia="lt-LT"/>
              </w:rPr>
              <w:t xml:space="preserve">. Todėl siekiant </w:t>
            </w:r>
            <w:r w:rsidRPr="00FA48BC">
              <w:rPr>
                <w:rFonts w:ascii="Times New Roman" w:eastAsia="AngsanaUPC" w:hAnsi="Times New Roman" w:cs="Times New Roman"/>
                <w:b/>
                <w:bCs/>
                <w:sz w:val="24"/>
                <w:szCs w:val="24"/>
                <w:lang w:eastAsia="lt-LT"/>
              </w:rPr>
              <w:t>teigiamo postūmio užimtumo perspektyvoms</w:t>
            </w:r>
            <w:r w:rsidR="00957E31">
              <w:rPr>
                <w:rFonts w:ascii="Times New Roman" w:eastAsia="AngsanaUPC" w:hAnsi="Times New Roman" w:cs="Times New Roman"/>
                <w:b/>
                <w:bCs/>
                <w:sz w:val="24"/>
                <w:szCs w:val="24"/>
                <w:lang w:eastAsia="lt-LT"/>
              </w:rPr>
              <w:t>, socialinei</w:t>
            </w:r>
            <w:r w:rsidR="007E2A74">
              <w:rPr>
                <w:rFonts w:ascii="Times New Roman" w:eastAsia="AngsanaUPC" w:hAnsi="Times New Roman" w:cs="Times New Roman"/>
                <w:b/>
                <w:bCs/>
                <w:sz w:val="24"/>
                <w:szCs w:val="24"/>
                <w:lang w:eastAsia="lt-LT"/>
              </w:rPr>
              <w:t xml:space="preserve"> apsaugai</w:t>
            </w:r>
            <w:r w:rsidR="0095182B" w:rsidRPr="00FA48BC">
              <w:rPr>
                <w:rFonts w:ascii="Times New Roman" w:eastAsia="AngsanaUPC" w:hAnsi="Times New Roman" w:cs="Times New Roman"/>
                <w:b/>
                <w:bCs/>
                <w:sz w:val="24"/>
                <w:szCs w:val="24"/>
                <w:lang w:eastAsia="lt-LT"/>
              </w:rPr>
              <w:t>,</w:t>
            </w:r>
            <w:r w:rsidR="0095182B" w:rsidRPr="00C32827">
              <w:rPr>
                <w:rFonts w:ascii="Times New Roman" w:eastAsia="AngsanaUPC" w:hAnsi="Times New Roman" w:cs="Times New Roman"/>
                <w:b/>
                <w:bCs/>
                <w:sz w:val="24"/>
                <w:szCs w:val="24"/>
                <w:lang w:eastAsia="lt-LT"/>
              </w:rPr>
              <w:t xml:space="preserve"> 1</w:t>
            </w:r>
            <w:r w:rsidR="0095182B">
              <w:rPr>
                <w:rFonts w:ascii="Times New Roman" w:eastAsia="AngsanaUPC" w:hAnsi="Times New Roman" w:cs="Times New Roman"/>
                <w:b/>
                <w:bCs/>
                <w:sz w:val="24"/>
                <w:szCs w:val="24"/>
                <w:lang w:eastAsia="lt-LT"/>
              </w:rPr>
              <w:t>4</w:t>
            </w:r>
            <w:r w:rsidR="0095182B" w:rsidRPr="00C32827">
              <w:rPr>
                <w:rFonts w:ascii="Times New Roman" w:eastAsia="AngsanaUPC" w:hAnsi="Times New Roman" w:cs="Times New Roman"/>
                <w:b/>
                <w:bCs/>
                <w:sz w:val="24"/>
                <w:szCs w:val="24"/>
                <w:lang w:eastAsia="lt-LT"/>
              </w:rPr>
              <w:t xml:space="preserve"> prioriteto investicijos bus </w:t>
            </w:r>
            <w:r w:rsidR="0095182B">
              <w:rPr>
                <w:rFonts w:ascii="Times New Roman" w:eastAsia="AngsanaUPC" w:hAnsi="Times New Roman" w:cs="Times New Roman"/>
                <w:b/>
                <w:bCs/>
                <w:sz w:val="24"/>
                <w:szCs w:val="24"/>
                <w:lang w:eastAsia="lt-LT"/>
              </w:rPr>
              <w:t>koncentruojamos į</w:t>
            </w:r>
            <w:r w:rsidR="0036658D">
              <w:rPr>
                <w:rFonts w:ascii="Times New Roman" w:eastAsia="AngsanaUPC" w:hAnsi="Times New Roman" w:cs="Times New Roman"/>
                <w:b/>
                <w:bCs/>
                <w:sz w:val="24"/>
                <w:szCs w:val="24"/>
                <w:lang w:eastAsia="lt-LT"/>
              </w:rPr>
              <w:t xml:space="preserve"> užimtumo didinimą ir darbuotojų</w:t>
            </w:r>
            <w:r w:rsidR="0095182B" w:rsidRPr="00C32827">
              <w:rPr>
                <w:rFonts w:ascii="Times New Roman" w:eastAsia="AngsanaUPC" w:hAnsi="Times New Roman" w:cs="Times New Roman"/>
                <w:b/>
                <w:bCs/>
                <w:sz w:val="24"/>
                <w:szCs w:val="24"/>
                <w:lang w:eastAsia="lt-LT"/>
              </w:rPr>
              <w:t xml:space="preserve"> prisitaikymą prie besikeičiančios darbo rinkos bei </w:t>
            </w:r>
            <w:r w:rsidR="0036658D">
              <w:rPr>
                <w:rFonts w:ascii="Times New Roman" w:eastAsia="AngsanaUPC" w:hAnsi="Times New Roman" w:cs="Times New Roman"/>
                <w:b/>
                <w:bCs/>
                <w:sz w:val="24"/>
                <w:szCs w:val="24"/>
                <w:lang w:eastAsia="lt-LT"/>
              </w:rPr>
              <w:t xml:space="preserve">tuo pačiu jų </w:t>
            </w:r>
            <w:r w:rsidR="0095182B" w:rsidRPr="00C32827">
              <w:rPr>
                <w:rFonts w:ascii="Times New Roman" w:eastAsia="AngsanaUPC" w:hAnsi="Times New Roman" w:cs="Times New Roman"/>
                <w:b/>
                <w:bCs/>
                <w:sz w:val="24"/>
                <w:szCs w:val="24"/>
                <w:lang w:eastAsia="lt-LT"/>
              </w:rPr>
              <w:t>socialinės atskirties m</w:t>
            </w:r>
            <w:r w:rsidR="00957E31">
              <w:rPr>
                <w:rFonts w:ascii="Times New Roman" w:eastAsia="AngsanaUPC" w:hAnsi="Times New Roman" w:cs="Times New Roman"/>
                <w:b/>
                <w:bCs/>
                <w:sz w:val="24"/>
                <w:szCs w:val="24"/>
                <w:lang w:eastAsia="lt-LT"/>
              </w:rPr>
              <w:t>ažinimą</w:t>
            </w:r>
            <w:r w:rsidR="0095182B" w:rsidRPr="00C32827">
              <w:rPr>
                <w:rFonts w:ascii="Times New Roman" w:eastAsia="AngsanaUPC" w:hAnsi="Times New Roman" w:cs="Times New Roman"/>
                <w:b/>
                <w:bCs/>
                <w:sz w:val="24"/>
                <w:szCs w:val="24"/>
                <w:lang w:eastAsia="lt-LT"/>
              </w:rPr>
              <w:t>.</w:t>
            </w:r>
          </w:p>
          <w:p w:rsidR="0095182B" w:rsidRPr="001F4C4B" w:rsidRDefault="00C52CE6" w:rsidP="00C52CE6">
            <w:pPr>
              <w:widowControl w:val="0"/>
              <w:tabs>
                <w:tab w:val="left" w:pos="622"/>
              </w:tabs>
              <w:ind w:firstLine="624"/>
              <w:jc w:val="both"/>
              <w:rPr>
                <w:rFonts w:ascii="Times New Roman" w:eastAsia="AngsanaUPC" w:hAnsi="Times New Roman" w:cs="Times New Roman"/>
                <w:bCs/>
                <w:sz w:val="24"/>
                <w:szCs w:val="24"/>
                <w:lang w:eastAsia="lt-LT"/>
              </w:rPr>
            </w:pPr>
            <w:r w:rsidRPr="00FA48BC">
              <w:rPr>
                <w:rFonts w:ascii="Times New Roman" w:eastAsia="AngsanaUPC" w:hAnsi="Times New Roman" w:cs="Times New Roman"/>
                <w:b/>
                <w:bCs/>
                <w:sz w:val="24"/>
                <w:szCs w:val="24"/>
                <w:lang w:eastAsia="lt-LT"/>
              </w:rPr>
              <w:t xml:space="preserve">Siekiant </w:t>
            </w:r>
            <w:r w:rsidR="0095182B" w:rsidRPr="00FA48BC">
              <w:rPr>
                <w:rFonts w:ascii="Times New Roman" w:eastAsia="AngsanaUPC" w:hAnsi="Times New Roman" w:cs="Times New Roman"/>
                <w:b/>
                <w:bCs/>
                <w:sz w:val="24"/>
                <w:szCs w:val="24"/>
                <w:lang w:eastAsia="lt-LT"/>
              </w:rPr>
              <w:t>užtikrinti ekonomikos atsigavimą dėl COVID-19 krizės ir didinti jos atsparumą ateityje bei užtikrinti socialinę apsaugą pažeidžiamiausioms visuomenės grupėms</w:t>
            </w:r>
            <w:r w:rsidRPr="00FA48BC">
              <w:rPr>
                <w:rFonts w:ascii="Times New Roman" w:eastAsia="AngsanaUPC" w:hAnsi="Times New Roman" w:cs="Times New Roman"/>
                <w:b/>
                <w:bCs/>
                <w:sz w:val="24"/>
                <w:szCs w:val="24"/>
                <w:lang w:eastAsia="lt-LT"/>
              </w:rPr>
              <w:t>,</w:t>
            </w:r>
            <w:r w:rsidR="0095182B" w:rsidRPr="00FA48BC">
              <w:rPr>
                <w:rFonts w:ascii="Times New Roman" w:eastAsia="AngsanaUPC" w:hAnsi="Times New Roman" w:cs="Times New Roman"/>
                <w:b/>
                <w:bCs/>
                <w:sz w:val="24"/>
                <w:szCs w:val="24"/>
                <w:lang w:eastAsia="lt-LT"/>
              </w:rPr>
              <w:t xml:space="preserve"> ESF lėšomis numa</w:t>
            </w:r>
            <w:r w:rsidR="00957E31">
              <w:rPr>
                <w:rFonts w:ascii="Times New Roman" w:eastAsia="AngsanaUPC" w:hAnsi="Times New Roman" w:cs="Times New Roman"/>
                <w:b/>
                <w:bCs/>
                <w:sz w:val="24"/>
                <w:szCs w:val="24"/>
                <w:lang w:eastAsia="lt-LT"/>
              </w:rPr>
              <w:t>toma plėsti ADRP priemonių</w:t>
            </w:r>
            <w:r w:rsidR="0095182B" w:rsidRPr="00FA48BC">
              <w:rPr>
                <w:rFonts w:ascii="Times New Roman" w:eastAsia="AngsanaUPC" w:hAnsi="Times New Roman" w:cs="Times New Roman"/>
                <w:b/>
                <w:bCs/>
                <w:sz w:val="24"/>
                <w:szCs w:val="24"/>
                <w:lang w:eastAsia="lt-LT"/>
              </w:rPr>
              <w:t xml:space="preserve"> aprėptį, sudaryti sąlygas gyventojams įgyti reikiamą kvalifikaciją, pakeisti turimą kvalifikaciją ar jos dalį, atitinkančią besikeičianči</w:t>
            </w:r>
            <w:r w:rsidR="00957E31">
              <w:rPr>
                <w:rFonts w:ascii="Times New Roman" w:eastAsia="AngsanaUPC" w:hAnsi="Times New Roman" w:cs="Times New Roman"/>
                <w:b/>
                <w:bCs/>
                <w:sz w:val="24"/>
                <w:szCs w:val="24"/>
                <w:lang w:eastAsia="lt-LT"/>
              </w:rPr>
              <w:t>os darbo rinkos poreikius</w:t>
            </w:r>
            <w:r w:rsidR="0095182B" w:rsidRPr="00FA48BC">
              <w:rPr>
                <w:rFonts w:ascii="Times New Roman" w:eastAsia="AngsanaUPC" w:hAnsi="Times New Roman" w:cs="Times New Roman"/>
                <w:b/>
                <w:bCs/>
                <w:sz w:val="24"/>
                <w:szCs w:val="24"/>
                <w:lang w:eastAsia="lt-LT"/>
              </w:rPr>
              <w:t>.</w:t>
            </w:r>
          </w:p>
        </w:tc>
      </w:tr>
    </w:tbl>
    <w:p w:rsidR="0095182B" w:rsidRDefault="0095182B" w:rsidP="0095182B">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10"/>
        <w:gridCol w:w="7336"/>
      </w:tblGrid>
      <w:tr w:rsidR="0095182B" w:rsidRPr="00356CFB" w:rsidTr="00C52CE6">
        <w:tc>
          <w:tcPr>
            <w:tcW w:w="2410" w:type="dxa"/>
            <w:shd w:val="clear" w:color="auto" w:fill="EEECE1"/>
          </w:tcPr>
          <w:p w:rsidR="0095182B" w:rsidRPr="00356CFB" w:rsidRDefault="0095182B" w:rsidP="00C52CE6">
            <w:pPr>
              <w:widowControl w:val="0"/>
              <w:tabs>
                <w:tab w:val="left" w:pos="622"/>
              </w:tabs>
              <w:jc w:val="both"/>
              <w:rPr>
                <w:rFonts w:ascii="Times New Roman" w:eastAsia="AngsanaUPC" w:hAnsi="Times New Roman" w:cs="Times New Roman"/>
                <w:b/>
                <w:bCs/>
                <w:sz w:val="24"/>
                <w:szCs w:val="24"/>
                <w:lang w:eastAsia="lt-LT"/>
              </w:rPr>
            </w:pPr>
            <w:r w:rsidRPr="00356CFB">
              <w:rPr>
                <w:rFonts w:ascii="Times New Roman" w:eastAsia="AngsanaUPC" w:hAnsi="Times New Roman" w:cs="Times New Roman"/>
                <w:b/>
                <w:bCs/>
                <w:sz w:val="24"/>
                <w:szCs w:val="24"/>
                <w:lang w:eastAsia="lt-LT"/>
              </w:rPr>
              <w:t>FONDAS</w:t>
            </w:r>
          </w:p>
        </w:tc>
        <w:tc>
          <w:tcPr>
            <w:tcW w:w="7336" w:type="dxa"/>
            <w:shd w:val="clear" w:color="auto" w:fill="EEECE1"/>
          </w:tcPr>
          <w:p w:rsidR="0095182B" w:rsidRPr="001F4C4B" w:rsidRDefault="0095182B" w:rsidP="00C52CE6">
            <w:pPr>
              <w:widowControl w:val="0"/>
              <w:tabs>
                <w:tab w:val="left" w:pos="622"/>
              </w:tabs>
              <w:jc w:val="both"/>
              <w:rPr>
                <w:rFonts w:ascii="Times New Roman" w:eastAsia="AngsanaUPC" w:hAnsi="Times New Roman" w:cs="Times New Roman"/>
                <w:b/>
                <w:bCs/>
                <w:sz w:val="24"/>
                <w:szCs w:val="24"/>
                <w:lang w:eastAsia="lt-LT"/>
              </w:rPr>
            </w:pPr>
            <w:r>
              <w:rPr>
                <w:rFonts w:ascii="Times New Roman" w:eastAsia="AngsanaUPC" w:hAnsi="Times New Roman" w:cs="Times New Roman"/>
                <w:b/>
                <w:bCs/>
                <w:sz w:val="24"/>
                <w:szCs w:val="24"/>
                <w:lang w:eastAsia="lt-LT"/>
              </w:rPr>
              <w:t>Europos socialinis</w:t>
            </w:r>
            <w:r w:rsidRPr="00B1282C">
              <w:rPr>
                <w:rFonts w:ascii="Times New Roman" w:eastAsia="AngsanaUPC" w:hAnsi="Times New Roman" w:cs="Times New Roman"/>
                <w:b/>
                <w:bCs/>
                <w:sz w:val="24"/>
                <w:szCs w:val="24"/>
                <w:lang w:eastAsia="lt-LT"/>
              </w:rPr>
              <w:t xml:space="preserve"> fondas</w:t>
            </w:r>
          </w:p>
        </w:tc>
      </w:tr>
    </w:tbl>
    <w:p w:rsidR="0095182B" w:rsidRDefault="0095182B" w:rsidP="0095182B">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404"/>
        <w:gridCol w:w="7285"/>
      </w:tblGrid>
      <w:tr w:rsidR="0095182B" w:rsidRPr="00356CFB" w:rsidTr="00C52CE6">
        <w:tc>
          <w:tcPr>
            <w:tcW w:w="2404" w:type="dxa"/>
            <w:shd w:val="clear" w:color="auto" w:fill="EEECE1"/>
            <w:vAlign w:val="center"/>
          </w:tcPr>
          <w:p w:rsidR="0095182B" w:rsidRPr="00356CFB" w:rsidRDefault="0095182B" w:rsidP="00C52CE6">
            <w:pPr>
              <w:widowControl w:val="0"/>
              <w:tabs>
                <w:tab w:val="left" w:pos="622"/>
              </w:tabs>
              <w:rPr>
                <w:rFonts w:ascii="Times New Roman" w:eastAsia="AngsanaUPC" w:hAnsi="Times New Roman" w:cs="Times New Roman"/>
                <w:b/>
                <w:bCs/>
                <w:sz w:val="24"/>
                <w:szCs w:val="24"/>
                <w:lang w:eastAsia="lt-LT"/>
              </w:rPr>
            </w:pPr>
            <w:r w:rsidRPr="00356CFB">
              <w:rPr>
                <w:rFonts w:ascii="Times New Roman" w:eastAsia="AngsanaUPC" w:hAnsi="Times New Roman" w:cs="Times New Roman"/>
                <w:b/>
                <w:bCs/>
                <w:sz w:val="24"/>
                <w:szCs w:val="24"/>
                <w:lang w:eastAsia="lt-LT"/>
              </w:rPr>
              <w:t>1</w:t>
            </w:r>
            <w:r>
              <w:rPr>
                <w:rFonts w:ascii="Times New Roman" w:eastAsia="AngsanaUPC" w:hAnsi="Times New Roman" w:cs="Times New Roman"/>
                <w:b/>
                <w:bCs/>
                <w:sz w:val="24"/>
                <w:szCs w:val="24"/>
                <w:lang w:eastAsia="lt-LT"/>
              </w:rPr>
              <w:t>4</w:t>
            </w:r>
            <w:r w:rsidRPr="00356CFB">
              <w:rPr>
                <w:rFonts w:ascii="Times New Roman" w:eastAsia="AngsanaUPC" w:hAnsi="Times New Roman" w:cs="Times New Roman"/>
                <w:b/>
                <w:bCs/>
                <w:sz w:val="24"/>
                <w:szCs w:val="24"/>
                <w:lang w:eastAsia="lt-LT"/>
              </w:rPr>
              <w:t xml:space="preserve">.1.1. </w:t>
            </w:r>
            <w:r w:rsidRPr="00356CFB">
              <w:rPr>
                <w:rFonts w:ascii="Times New Roman" w:eastAsia="AngsanaUPC" w:hAnsi="Times New Roman" w:cs="Times New Roman"/>
                <w:b/>
                <w:bCs/>
                <w:sz w:val="24"/>
                <w:szCs w:val="24"/>
                <w:lang w:eastAsia="lt-LT"/>
              </w:rPr>
              <w:lastRenderedPageBreak/>
              <w:t>KONKRETUS UŽDAVINYS</w:t>
            </w:r>
          </w:p>
        </w:tc>
        <w:tc>
          <w:tcPr>
            <w:tcW w:w="7285" w:type="dxa"/>
            <w:shd w:val="clear" w:color="auto" w:fill="EEECE1"/>
            <w:vAlign w:val="center"/>
          </w:tcPr>
          <w:p w:rsidR="0095182B" w:rsidRPr="00356CFB" w:rsidRDefault="0095182B" w:rsidP="00C52CE6">
            <w:pPr>
              <w:jc w:val="both"/>
              <w:rPr>
                <w:rFonts w:ascii="Times New Roman" w:eastAsia="Calibri" w:hAnsi="Times New Roman" w:cs="Times New Roman"/>
                <w:b/>
                <w:sz w:val="24"/>
                <w:szCs w:val="24"/>
              </w:rPr>
            </w:pPr>
            <w:r w:rsidRPr="00781445">
              <w:rPr>
                <w:rFonts w:ascii="Times New Roman" w:eastAsia="Calibri" w:hAnsi="Times New Roman" w:cs="Times New Roman"/>
                <w:b/>
                <w:sz w:val="24"/>
                <w:szCs w:val="24"/>
              </w:rPr>
              <w:lastRenderedPageBreak/>
              <w:t xml:space="preserve">Didinti gyventojų užimtumą, prisitaikymą prie besikeičiančios darbo </w:t>
            </w:r>
            <w:r w:rsidRPr="00781445">
              <w:rPr>
                <w:rFonts w:ascii="Times New Roman" w:eastAsia="Calibri" w:hAnsi="Times New Roman" w:cs="Times New Roman"/>
                <w:b/>
                <w:sz w:val="24"/>
                <w:szCs w:val="24"/>
              </w:rPr>
              <w:lastRenderedPageBreak/>
              <w:t>rinkos ir atsparumą pan</w:t>
            </w:r>
            <w:r w:rsidR="00114410">
              <w:rPr>
                <w:rFonts w:ascii="Times New Roman" w:eastAsia="Calibri" w:hAnsi="Times New Roman" w:cs="Times New Roman"/>
                <w:b/>
                <w:sz w:val="24"/>
                <w:szCs w:val="24"/>
              </w:rPr>
              <w:t>demijos sukeliamiems</w:t>
            </w:r>
            <w:r w:rsidRPr="00781445">
              <w:rPr>
                <w:rFonts w:ascii="Times New Roman" w:eastAsia="Calibri" w:hAnsi="Times New Roman" w:cs="Times New Roman"/>
                <w:b/>
                <w:sz w:val="24"/>
                <w:szCs w:val="24"/>
              </w:rPr>
              <w:t xml:space="preserve"> iššūkiams</w:t>
            </w:r>
          </w:p>
        </w:tc>
      </w:tr>
      <w:tr w:rsidR="0095182B" w:rsidRPr="00356CFB" w:rsidTr="00C52CE6">
        <w:tc>
          <w:tcPr>
            <w:tcW w:w="9689" w:type="dxa"/>
            <w:gridSpan w:val="2"/>
            <w:shd w:val="clear" w:color="auto" w:fill="auto"/>
          </w:tcPr>
          <w:p w:rsidR="0095182B" w:rsidRPr="00C32827" w:rsidRDefault="0095182B" w:rsidP="00C52CE6">
            <w:pPr>
              <w:ind w:firstLine="624"/>
              <w:jc w:val="both"/>
              <w:rPr>
                <w:rFonts w:ascii="Times New Roman" w:eastAsia="Calibri" w:hAnsi="Times New Roman" w:cs="Times New Roman"/>
                <w:b/>
                <w:sz w:val="24"/>
                <w:szCs w:val="24"/>
              </w:rPr>
            </w:pPr>
            <w:r w:rsidRPr="00C32827">
              <w:rPr>
                <w:rFonts w:ascii="Times New Roman" w:eastAsia="Calibri" w:hAnsi="Times New Roman" w:cs="Times New Roman"/>
                <w:b/>
                <w:sz w:val="24"/>
                <w:szCs w:val="24"/>
              </w:rPr>
              <w:lastRenderedPageBreak/>
              <w:t xml:space="preserve">Prieš koronaviruso pandemiją dalyvavimas darbo rinkoje buvo aktyvus, o nedarbo lygis žemas, tačiau dėl krizės kilo naujų iššūkių. </w:t>
            </w:r>
            <w:r w:rsidRPr="0036658D">
              <w:rPr>
                <w:rFonts w:ascii="Times New Roman" w:hAnsi="Times New Roman" w:cs="Times New Roman"/>
                <w:b/>
                <w:sz w:val="24"/>
                <w:szCs w:val="24"/>
                <w:lang w:eastAsia="lt-LT"/>
              </w:rPr>
              <w:t>Nedarbo lygis, lyginant 2020 m. kovo 16 d. ir 2020 m. rugpjūčio 3 d., išaugo nuo 9,3 proc. iki 13,2 proc., bedarbių skaičius – nuo 160 tūkst. iki 228 tūkst.</w:t>
            </w:r>
            <w:r w:rsidRPr="00C32827">
              <w:rPr>
                <w:rFonts w:ascii="Times New Roman" w:hAnsi="Times New Roman" w:cs="Times New Roman"/>
                <w:b/>
                <w:sz w:val="24"/>
                <w:szCs w:val="24"/>
                <w:lang w:eastAsia="lt-LT"/>
              </w:rPr>
              <w:t xml:space="preserve"> </w:t>
            </w:r>
            <w:r w:rsidRPr="00C32827">
              <w:rPr>
                <w:rFonts w:ascii="Times New Roman" w:eastAsia="Calibri" w:hAnsi="Times New Roman" w:cs="Times New Roman"/>
                <w:b/>
                <w:sz w:val="24"/>
                <w:szCs w:val="24"/>
              </w:rPr>
              <w:t xml:space="preserve">Norint, kad Lietuvos ekonomika atsigautų po COVID-19, reikalingos ilgalaikio poveikio investicijos, užtikrinančios socialinės ir ekonominės gerovės augimą. </w:t>
            </w:r>
          </w:p>
          <w:p w:rsidR="0095182B" w:rsidRPr="00C32827" w:rsidRDefault="0095182B" w:rsidP="00C52CE6">
            <w:pPr>
              <w:ind w:firstLine="624"/>
              <w:jc w:val="both"/>
              <w:rPr>
                <w:rFonts w:ascii="Times New Roman" w:eastAsia="Calibri" w:hAnsi="Times New Roman" w:cs="Times New Roman"/>
                <w:b/>
                <w:sz w:val="24"/>
                <w:szCs w:val="24"/>
              </w:rPr>
            </w:pPr>
            <w:r w:rsidRPr="00C32827">
              <w:rPr>
                <w:rFonts w:ascii="Times New Roman" w:eastAsia="Calibri" w:hAnsi="Times New Roman" w:cs="Times New Roman"/>
                <w:b/>
                <w:sz w:val="24"/>
                <w:szCs w:val="24"/>
              </w:rPr>
              <w:t xml:space="preserve">Viena iš būtinų sąlygų ekonomikos vystymuisi ilgalaikėje perspektyvoje – kvalifikuota ir darbo rinkos poreikius atitinkanti darbo jėga, ypač aukštą pridėtinę vertę kuriančiose srityse. Būtina išlaikyti ir padidinti kvalifikuotų, darbingų, sveikų ir motyvuotų dirbti (laimingų) žmonių skaičių, padidinti Lietuvos gyventojų, galinčių kurti individualią ir visuomenės gerovę, skaičių. Šio uždavinio lėšomis bus investuojama, į aktyvias darbo rinkos politikos (ADRP) </w:t>
            </w:r>
            <w:r w:rsidRPr="00957E31">
              <w:rPr>
                <w:rFonts w:ascii="Times New Roman" w:eastAsia="Calibri" w:hAnsi="Times New Roman" w:cs="Times New Roman"/>
                <w:b/>
                <w:sz w:val="24"/>
                <w:szCs w:val="24"/>
              </w:rPr>
              <w:t>priemones ir greitą darbo jėgos perkvalifikavimą prisitaikant prie nuolat kintančių rinkos poreikių.</w:t>
            </w:r>
            <w:r w:rsidRPr="00C32827">
              <w:rPr>
                <w:rFonts w:ascii="Times New Roman" w:eastAsia="Calibri" w:hAnsi="Times New Roman" w:cs="Times New Roman"/>
                <w:b/>
                <w:sz w:val="24"/>
                <w:szCs w:val="24"/>
              </w:rPr>
              <w:t xml:space="preserve"> 2008 ir 2009 metų ekonomikos krizės padarinių švelninimo patirtis parodė, kad ADRP priemonės turėjo teigiamą poveikį sprendžiant nedarbo problemas, labiau kvalifikuotą darbo jėgą pritraukiant į įvairius ūkio sektorius. Intervencijos darė įtaką užimtumo rodiklių kaitai, prisidėjo prie neigiamų tendencijų mažinimo. Europos Tarybos rekomendacijose Lietuvai 2020 m. taip pat pažymima, kad siekiant švelninti krizės poveikį užimtumui, reikalinga didinti ADRP priemonių ir kitų priemonių, skirtų darbo jėgos kvalifikacijai keisti ir kelti, finansavimą bei aprėpti ir skatinti gerinti įgūdžius.</w:t>
            </w:r>
            <w:r w:rsidR="00F55DBB">
              <w:rPr>
                <w:rFonts w:ascii="Times New Roman" w:eastAsia="Calibri" w:hAnsi="Times New Roman" w:cs="Times New Roman"/>
                <w:b/>
                <w:sz w:val="24"/>
                <w:szCs w:val="24"/>
              </w:rPr>
              <w:t xml:space="preserve"> </w:t>
            </w:r>
          </w:p>
          <w:p w:rsidR="0095182B" w:rsidRPr="00957E31" w:rsidRDefault="00F55DBB" w:rsidP="00957E31">
            <w:pPr>
              <w:tabs>
                <w:tab w:val="left" w:pos="-1164"/>
                <w:tab w:val="left" w:pos="-960"/>
              </w:tabs>
              <w:autoSpaceDE w:val="0"/>
              <w:autoSpaceDN w:val="0"/>
              <w:adjustRightInd w:val="0"/>
              <w:ind w:firstLine="60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Investicijos </w:t>
            </w:r>
            <w:r w:rsidRPr="00F55DBB">
              <w:rPr>
                <w:rFonts w:ascii="Times New Roman" w:eastAsia="Calibri" w:hAnsi="Times New Roman" w:cs="Times New Roman"/>
                <w:b/>
                <w:bCs/>
                <w:sz w:val="24"/>
                <w:szCs w:val="24"/>
              </w:rPr>
              <w:t>į persikvalifik</w:t>
            </w:r>
            <w:r>
              <w:rPr>
                <w:rFonts w:ascii="Times New Roman" w:eastAsia="Calibri" w:hAnsi="Times New Roman" w:cs="Times New Roman"/>
                <w:b/>
                <w:bCs/>
                <w:sz w:val="24"/>
                <w:szCs w:val="24"/>
              </w:rPr>
              <w:t>avimą ir įgūdžių</w:t>
            </w:r>
            <w:r w:rsidR="00826BD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tobulinimą</w:t>
            </w:r>
            <w:r w:rsidR="00C95F53">
              <w:rPr>
                <w:rFonts w:ascii="Times New Roman" w:eastAsia="Calibri" w:hAnsi="Times New Roman" w:cs="Times New Roman"/>
                <w:b/>
                <w:bCs/>
                <w:sz w:val="24"/>
                <w:szCs w:val="24"/>
              </w:rPr>
              <w:t>, jas kreipiant tikslinių grupių poreikių užtikrinimui</w:t>
            </w:r>
            <w:r w:rsidR="00B45ECE">
              <w:rPr>
                <w:rFonts w:ascii="Times New Roman" w:eastAsia="Calibri" w:hAnsi="Times New Roman" w:cs="Times New Roman"/>
                <w:b/>
                <w:bCs/>
                <w:sz w:val="24"/>
                <w:szCs w:val="24"/>
              </w:rPr>
              <w:t xml:space="preserve"> ir įtraukties didinimui</w:t>
            </w:r>
            <w:r w:rsidR="00C81C0B">
              <w:rPr>
                <w:rFonts w:ascii="Times New Roman" w:eastAsia="Calibri" w:hAnsi="Times New Roman" w:cs="Times New Roman"/>
                <w:b/>
                <w:bCs/>
                <w:sz w:val="24"/>
                <w:szCs w:val="24"/>
              </w:rPr>
              <w:t>,</w:t>
            </w:r>
            <w:r w:rsidR="00B45ECE">
              <w:rPr>
                <w:rFonts w:ascii="Times New Roman" w:eastAsia="Calibri" w:hAnsi="Times New Roman" w:cs="Times New Roman"/>
                <w:b/>
                <w:bCs/>
                <w:sz w:val="24"/>
                <w:szCs w:val="24"/>
              </w:rPr>
              <w:t xml:space="preserve"> </w:t>
            </w:r>
            <w:r w:rsidR="00C81C0B">
              <w:rPr>
                <w:rFonts w:ascii="Times New Roman" w:eastAsia="Calibri" w:hAnsi="Times New Roman" w:cs="Times New Roman"/>
                <w:b/>
                <w:bCs/>
                <w:sz w:val="24"/>
                <w:szCs w:val="24"/>
              </w:rPr>
              <w:t>tiesiogiai prisidės prie Europos pavyzdinės iniciatyvos „</w:t>
            </w:r>
            <w:r w:rsidR="00C81C0B" w:rsidRPr="00C81C0B">
              <w:rPr>
                <w:rFonts w:ascii="Times New Roman" w:eastAsia="Calibri" w:hAnsi="Times New Roman" w:cs="Times New Roman"/>
                <w:b/>
                <w:bCs/>
                <w:sz w:val="24"/>
                <w:szCs w:val="24"/>
              </w:rPr>
              <w:t>Persikvalif</w:t>
            </w:r>
            <w:r w:rsidR="00C81C0B">
              <w:rPr>
                <w:rFonts w:ascii="Times New Roman" w:eastAsia="Calibri" w:hAnsi="Times New Roman" w:cs="Times New Roman"/>
                <w:b/>
                <w:bCs/>
                <w:sz w:val="24"/>
                <w:szCs w:val="24"/>
              </w:rPr>
              <w:t>ikavimas ir įgūdžių tobulinimas“ skatinamų pokyčių.</w:t>
            </w:r>
          </w:p>
        </w:tc>
      </w:tr>
    </w:tbl>
    <w:p w:rsidR="0095182B" w:rsidRDefault="0095182B" w:rsidP="0095182B">
      <w:pPr>
        <w:widowControl w:val="0"/>
        <w:jc w:val="both"/>
        <w:textAlignment w:val="baseline"/>
        <w:rPr>
          <w:rFonts w:ascii="Times New Roman" w:hAnsi="Times New Roman" w:cs="Times New Roman"/>
          <w:i/>
          <w:color w:val="000000"/>
          <w:sz w:val="24"/>
          <w:szCs w:val="24"/>
          <w:u w:val="single"/>
        </w:rPr>
      </w:pPr>
    </w:p>
    <w:tbl>
      <w:tblPr>
        <w:tblW w:w="10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76"/>
        <w:gridCol w:w="1225"/>
        <w:gridCol w:w="1015"/>
        <w:gridCol w:w="1008"/>
        <w:gridCol w:w="1036"/>
        <w:gridCol w:w="826"/>
        <w:gridCol w:w="1077"/>
        <w:gridCol w:w="992"/>
        <w:gridCol w:w="850"/>
        <w:gridCol w:w="1028"/>
        <w:gridCol w:w="1008"/>
      </w:tblGrid>
      <w:tr w:rsidR="0095182B" w:rsidRPr="00356CFB" w:rsidTr="00B11E89">
        <w:trPr>
          <w:tblHeader/>
        </w:trPr>
        <w:tc>
          <w:tcPr>
            <w:tcW w:w="10541" w:type="dxa"/>
            <w:gridSpan w:val="11"/>
            <w:shd w:val="clear" w:color="auto" w:fill="EEECE1"/>
          </w:tcPr>
          <w:p w:rsidR="0095182B" w:rsidRPr="00C32827" w:rsidRDefault="0095182B" w:rsidP="00C52CE6">
            <w:pPr>
              <w:widowControl w:val="0"/>
              <w:tabs>
                <w:tab w:val="left" w:pos="622"/>
              </w:tabs>
              <w:jc w:val="both"/>
              <w:rPr>
                <w:rFonts w:ascii="Times New Roman" w:eastAsia="AngsanaUPC" w:hAnsi="Times New Roman" w:cs="Times New Roman"/>
                <w:b/>
                <w:bCs/>
                <w:i/>
                <w:iCs/>
                <w:sz w:val="18"/>
                <w:szCs w:val="18"/>
                <w:lang w:eastAsia="lt-LT"/>
              </w:rPr>
            </w:pPr>
            <w:r w:rsidRPr="00C32827">
              <w:rPr>
                <w:rFonts w:ascii="Times New Roman" w:hAnsi="Times New Roman" w:cs="Times New Roman"/>
                <w:b/>
                <w:bCs/>
                <w:i/>
                <w:iCs/>
                <w:sz w:val="18"/>
                <w:szCs w:val="18"/>
                <w:lang w:eastAsia="lt-LT"/>
              </w:rPr>
              <w:t>ESF bendrieji ir specialieji programos rezultato rodikliai</w:t>
            </w:r>
          </w:p>
        </w:tc>
      </w:tr>
      <w:tr w:rsidR="00114410" w:rsidRPr="00356CFB" w:rsidTr="00B11E89">
        <w:tblPrEx>
          <w:shd w:val="clear" w:color="auto" w:fill="auto"/>
        </w:tblPrEx>
        <w:trPr>
          <w:trHeight w:val="868"/>
          <w:tblHeader/>
        </w:trPr>
        <w:tc>
          <w:tcPr>
            <w:tcW w:w="476"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Nr.</w:t>
            </w:r>
          </w:p>
        </w:tc>
        <w:tc>
          <w:tcPr>
            <w:tcW w:w="1225"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Rodiklio pavadinimas</w:t>
            </w:r>
          </w:p>
        </w:tc>
        <w:tc>
          <w:tcPr>
            <w:tcW w:w="1015"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Regiono kategorija</w:t>
            </w:r>
          </w:p>
        </w:tc>
        <w:tc>
          <w:tcPr>
            <w:tcW w:w="1008"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Matavimo vienetas</w:t>
            </w:r>
          </w:p>
        </w:tc>
        <w:tc>
          <w:tcPr>
            <w:tcW w:w="1036" w:type="dxa"/>
            <w:shd w:val="clear" w:color="auto" w:fill="EEECE1"/>
            <w:vAlign w:val="center"/>
          </w:tcPr>
          <w:p w:rsidR="0095182B" w:rsidRPr="00C32827" w:rsidRDefault="0095182B" w:rsidP="00C52CE6">
            <w:pPr>
              <w:rPr>
                <w:rFonts w:ascii="Times New Roman" w:eastAsia="AngsanaUPC" w:hAnsi="Times New Roman" w:cs="Times New Roman"/>
                <w:b/>
                <w:bCs/>
                <w:iCs/>
                <w:sz w:val="18"/>
                <w:szCs w:val="18"/>
                <w:lang w:eastAsia="lt-LT"/>
              </w:rPr>
            </w:pPr>
          </w:p>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Bendras produkto rodiklis, naudotas kaip pagrindas</w:t>
            </w:r>
          </w:p>
        </w:tc>
        <w:tc>
          <w:tcPr>
            <w:tcW w:w="826"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Pradinė reikšmė</w:t>
            </w:r>
          </w:p>
        </w:tc>
        <w:tc>
          <w:tcPr>
            <w:tcW w:w="1077"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Pradinės ir siektinos reikšmės matavimo vienetas</w:t>
            </w:r>
          </w:p>
        </w:tc>
        <w:tc>
          <w:tcPr>
            <w:tcW w:w="992"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Pradinės reikšmės metai</w:t>
            </w:r>
          </w:p>
        </w:tc>
        <w:tc>
          <w:tcPr>
            <w:tcW w:w="850"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Siektina reikšmė (2023 m.)</w:t>
            </w:r>
          </w:p>
        </w:tc>
        <w:tc>
          <w:tcPr>
            <w:tcW w:w="1028"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Duomenų šaltinis</w:t>
            </w:r>
          </w:p>
        </w:tc>
        <w:tc>
          <w:tcPr>
            <w:tcW w:w="1008"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Atsiskaitymo dažnumas</w:t>
            </w:r>
          </w:p>
        </w:tc>
      </w:tr>
      <w:tr w:rsidR="00114410" w:rsidRPr="00356CFB" w:rsidTr="00B11E89">
        <w:tblPrEx>
          <w:shd w:val="clear" w:color="auto" w:fill="auto"/>
        </w:tblPrEx>
        <w:trPr>
          <w:trHeight w:val="240"/>
        </w:trPr>
        <w:tc>
          <w:tcPr>
            <w:tcW w:w="476" w:type="dxa"/>
            <w:shd w:val="clear" w:color="auto" w:fill="auto"/>
            <w:vAlign w:val="center"/>
          </w:tcPr>
          <w:p w:rsidR="0095182B" w:rsidRPr="00C32827" w:rsidRDefault="00114410" w:rsidP="00C52CE6">
            <w:pPr>
              <w:widowControl w:val="0"/>
              <w:tabs>
                <w:tab w:val="left" w:pos="622"/>
              </w:tabs>
              <w:jc w:val="center"/>
              <w:rPr>
                <w:rFonts w:ascii="Times New Roman" w:eastAsia="AngsanaUPC" w:hAnsi="Times New Roman" w:cs="Times New Roman"/>
                <w:b/>
                <w:bCs/>
                <w:iCs/>
                <w:sz w:val="18"/>
                <w:szCs w:val="18"/>
                <w:lang w:val="en-US" w:eastAsia="lt-LT"/>
              </w:rPr>
            </w:pPr>
            <w:r>
              <w:rPr>
                <w:rFonts w:ascii="Times New Roman" w:eastAsia="AngsanaUPC" w:hAnsi="Times New Roman" w:cs="Times New Roman"/>
                <w:b/>
                <w:bCs/>
                <w:iCs/>
                <w:sz w:val="18"/>
                <w:szCs w:val="18"/>
                <w:lang w:val="en-US" w:eastAsia="lt-LT"/>
              </w:rPr>
              <w:t>1.</w:t>
            </w:r>
          </w:p>
        </w:tc>
        <w:tc>
          <w:tcPr>
            <w:tcW w:w="1225" w:type="dxa"/>
            <w:shd w:val="clear" w:color="auto" w:fill="auto"/>
            <w:vAlign w:val="center"/>
          </w:tcPr>
          <w:p w:rsidR="0095182B" w:rsidRPr="00C32827" w:rsidRDefault="0095182B" w:rsidP="00C52CE6">
            <w:pPr>
              <w:rPr>
                <w:rFonts w:ascii="Times New Roman" w:eastAsia="Calibri" w:hAnsi="Times New Roman" w:cs="Times New Roman"/>
                <w:b/>
                <w:sz w:val="18"/>
                <w:szCs w:val="18"/>
              </w:rPr>
            </w:pPr>
            <w:r w:rsidRPr="00C32827">
              <w:rPr>
                <w:rFonts w:ascii="Times New Roman" w:eastAsia="Calibri" w:hAnsi="Times New Roman" w:cs="Times New Roman"/>
                <w:b/>
                <w:sz w:val="18"/>
                <w:szCs w:val="18"/>
              </w:rPr>
              <w:t xml:space="preserve">Dalyviai, kurie baigę dalyvauti ESF veiklose pradėjo dirbti, įskaitant savarankišką darbą </w:t>
            </w:r>
          </w:p>
        </w:tc>
        <w:tc>
          <w:tcPr>
            <w:tcW w:w="1015" w:type="dxa"/>
            <w:shd w:val="clear" w:color="auto" w:fill="auto"/>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Mažiau išsivystęs</w:t>
            </w:r>
          </w:p>
        </w:tc>
        <w:tc>
          <w:tcPr>
            <w:tcW w:w="1008" w:type="dxa"/>
            <w:shd w:val="clear" w:color="auto" w:fill="auto"/>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Asmenys</w:t>
            </w:r>
          </w:p>
        </w:tc>
        <w:tc>
          <w:tcPr>
            <w:tcW w:w="1036" w:type="dxa"/>
            <w:shd w:val="clear" w:color="auto" w:fill="auto"/>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hAnsi="Times New Roman"/>
                <w:b/>
                <w:sz w:val="18"/>
                <w:szCs w:val="18"/>
              </w:rPr>
              <w:t>Bedarbiai, įskaitant ilgalaikius bedarbius</w:t>
            </w:r>
          </w:p>
        </w:tc>
        <w:tc>
          <w:tcPr>
            <w:tcW w:w="826" w:type="dxa"/>
            <w:shd w:val="clear" w:color="auto" w:fill="auto"/>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30</w:t>
            </w:r>
          </w:p>
        </w:tc>
        <w:tc>
          <w:tcPr>
            <w:tcW w:w="1077" w:type="dxa"/>
            <w:shd w:val="clear" w:color="auto" w:fill="auto"/>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 xml:space="preserve">Proc. </w:t>
            </w:r>
          </w:p>
        </w:tc>
        <w:tc>
          <w:tcPr>
            <w:tcW w:w="992" w:type="dxa"/>
            <w:shd w:val="clear" w:color="auto" w:fill="auto"/>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2013</w:t>
            </w:r>
          </w:p>
        </w:tc>
        <w:tc>
          <w:tcPr>
            <w:tcW w:w="850" w:type="dxa"/>
            <w:shd w:val="clear" w:color="auto" w:fill="auto"/>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35</w:t>
            </w:r>
          </w:p>
        </w:tc>
        <w:tc>
          <w:tcPr>
            <w:tcW w:w="1028" w:type="dxa"/>
            <w:shd w:val="clear" w:color="auto" w:fill="auto"/>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Duomenys iš projektų</w:t>
            </w:r>
          </w:p>
        </w:tc>
        <w:tc>
          <w:tcPr>
            <w:tcW w:w="1008" w:type="dxa"/>
            <w:shd w:val="clear" w:color="auto" w:fill="auto"/>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Kartą per metus</w:t>
            </w:r>
          </w:p>
        </w:tc>
      </w:tr>
    </w:tbl>
    <w:p w:rsidR="0095182B" w:rsidRDefault="0095182B" w:rsidP="0095182B">
      <w:pPr>
        <w:widowControl w:val="0"/>
        <w:jc w:val="both"/>
        <w:textAlignment w:val="baseline"/>
        <w:rPr>
          <w:rFonts w:ascii="Times New Roman" w:hAnsi="Times New Roman" w:cs="Times New Roman"/>
          <w:b/>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95182B" w:rsidRPr="00356CFB" w:rsidTr="00C52CE6">
        <w:tc>
          <w:tcPr>
            <w:tcW w:w="9746" w:type="dxa"/>
            <w:tcBorders>
              <w:top w:val="single" w:sz="4" w:space="0" w:color="auto"/>
              <w:left w:val="single" w:sz="4" w:space="0" w:color="auto"/>
              <w:bottom w:val="single" w:sz="4" w:space="0" w:color="auto"/>
              <w:right w:val="single" w:sz="4" w:space="0" w:color="auto"/>
            </w:tcBorders>
            <w:shd w:val="clear" w:color="auto" w:fill="EEECE1"/>
          </w:tcPr>
          <w:p w:rsidR="0095182B" w:rsidRPr="00356CFB" w:rsidRDefault="0095182B" w:rsidP="00C52CE6">
            <w:pPr>
              <w:widowControl w:val="0"/>
              <w:tabs>
                <w:tab w:val="left" w:pos="622"/>
                <w:tab w:val="left" w:pos="1665"/>
              </w:tabs>
              <w:jc w:val="both"/>
              <w:rPr>
                <w:rFonts w:ascii="Times New Roman" w:eastAsia="AngsanaUPC" w:hAnsi="Times New Roman" w:cs="Times New Roman"/>
                <w:bCs/>
                <w:iCs/>
                <w:sz w:val="24"/>
                <w:szCs w:val="24"/>
                <w:lang w:eastAsia="lt-LT"/>
              </w:rPr>
            </w:pPr>
            <w:r w:rsidRPr="00356CFB">
              <w:rPr>
                <w:rFonts w:ascii="Times New Roman" w:eastAsia="AngsanaUPC" w:hAnsi="Times New Roman" w:cs="Times New Roman"/>
                <w:b/>
                <w:bCs/>
                <w:i/>
                <w:iCs/>
                <w:sz w:val="24"/>
                <w:szCs w:val="24"/>
                <w:lang w:eastAsia="lt-LT"/>
              </w:rPr>
              <w:t>1</w:t>
            </w:r>
            <w:r>
              <w:rPr>
                <w:rFonts w:ascii="Times New Roman" w:eastAsia="AngsanaUPC" w:hAnsi="Times New Roman" w:cs="Times New Roman"/>
                <w:b/>
                <w:bCs/>
                <w:i/>
                <w:iCs/>
                <w:sz w:val="24"/>
                <w:szCs w:val="24"/>
                <w:lang w:eastAsia="lt-LT"/>
              </w:rPr>
              <w:t>4</w:t>
            </w:r>
            <w:r w:rsidRPr="00356CFB">
              <w:rPr>
                <w:rFonts w:ascii="Times New Roman" w:eastAsia="AngsanaUPC" w:hAnsi="Times New Roman" w:cs="Times New Roman"/>
                <w:b/>
                <w:bCs/>
                <w:i/>
                <w:iCs/>
                <w:sz w:val="24"/>
                <w:szCs w:val="24"/>
                <w:lang w:eastAsia="lt-LT"/>
              </w:rPr>
              <w:t>.1.</w:t>
            </w:r>
            <w:r>
              <w:rPr>
                <w:rFonts w:ascii="Times New Roman" w:eastAsia="AngsanaUPC" w:hAnsi="Times New Roman" w:cs="Times New Roman"/>
                <w:b/>
                <w:bCs/>
                <w:i/>
                <w:iCs/>
                <w:sz w:val="24"/>
                <w:szCs w:val="24"/>
                <w:lang w:eastAsia="lt-LT"/>
              </w:rPr>
              <w:t>1</w:t>
            </w:r>
            <w:r w:rsidRPr="00356CFB">
              <w:rPr>
                <w:rFonts w:ascii="Times New Roman" w:eastAsia="AngsanaUPC" w:hAnsi="Times New Roman" w:cs="Times New Roman"/>
                <w:b/>
                <w:bCs/>
                <w:i/>
                <w:iCs/>
                <w:sz w:val="24"/>
                <w:szCs w:val="24"/>
                <w:lang w:eastAsia="lt-LT"/>
              </w:rPr>
              <w:t xml:space="preserve"> </w:t>
            </w:r>
            <w:r>
              <w:rPr>
                <w:rFonts w:ascii="Times New Roman" w:eastAsia="AngsanaUPC" w:hAnsi="Times New Roman" w:cs="Times New Roman"/>
                <w:b/>
                <w:bCs/>
                <w:i/>
                <w:iCs/>
                <w:sz w:val="24"/>
                <w:szCs w:val="24"/>
                <w:lang w:eastAsia="lt-LT"/>
              </w:rPr>
              <w:t>Konkretaus uždavinio</w:t>
            </w:r>
            <w:r w:rsidRPr="00356CFB">
              <w:rPr>
                <w:rFonts w:ascii="Times New Roman" w:eastAsia="AngsanaUPC" w:hAnsi="Times New Roman" w:cs="Times New Roman"/>
                <w:b/>
                <w:bCs/>
                <w:i/>
                <w:iCs/>
                <w:sz w:val="24"/>
                <w:szCs w:val="24"/>
                <w:lang w:eastAsia="lt-LT"/>
              </w:rPr>
              <w:t xml:space="preserve"> įgyvendinimo veiklos</w:t>
            </w:r>
          </w:p>
        </w:tc>
      </w:tr>
      <w:tr w:rsidR="0095182B" w:rsidRPr="00356CFB" w:rsidTr="00C52CE6">
        <w:tc>
          <w:tcPr>
            <w:tcW w:w="9746" w:type="dxa"/>
            <w:shd w:val="clear" w:color="auto" w:fill="auto"/>
          </w:tcPr>
          <w:p w:rsidR="0095182B" w:rsidRPr="00957E31" w:rsidRDefault="0095182B" w:rsidP="00957E31">
            <w:pPr>
              <w:pStyle w:val="Sraopastraipa"/>
              <w:numPr>
                <w:ilvl w:val="0"/>
                <w:numId w:val="3"/>
              </w:numPr>
              <w:tabs>
                <w:tab w:val="left" w:pos="743"/>
              </w:tabs>
              <w:ind w:left="34" w:firstLine="326"/>
              <w:jc w:val="both"/>
              <w:rPr>
                <w:rFonts w:ascii="Times New Roman" w:eastAsia="AngsanaUPC" w:hAnsi="Times New Roman" w:cs="Times New Roman"/>
                <w:b/>
                <w:bCs/>
                <w:iCs/>
                <w:sz w:val="24"/>
                <w:szCs w:val="24"/>
                <w:lang w:eastAsia="lt-LT"/>
              </w:rPr>
            </w:pPr>
            <w:r w:rsidRPr="00C32827">
              <w:rPr>
                <w:rFonts w:ascii="Times New Roman" w:eastAsia="AngsanaUPC" w:hAnsi="Times New Roman" w:cs="Times New Roman"/>
                <w:b/>
                <w:bCs/>
                <w:iCs/>
                <w:sz w:val="24"/>
                <w:szCs w:val="24"/>
                <w:lang w:eastAsia="lt-LT"/>
              </w:rPr>
              <w:t>ADRP priemonės (bedarbių ir asmenų, kuriems gresia nedarbas, profesinis mokymas ir neformalus švietimas, darbo įgūdžių įgijimo rėmimas, įdarbinimas subsidijuojant, darbo rotacija, parama bedarbių teritoriniam judumui, kitos bedarbių užimtumo gebėjimus ir galimybes didinančios ADRP priemonės), stažuotės ir praktikos, skirtos darbo įgūdžių įgijimui, individualiam darbui su darbo ieškančiu asmeniu aktualios priemonės: individualus konsultavimas, palaikymas įsidarbinus ir kt</w:t>
            </w:r>
            <w:r>
              <w:rPr>
                <w:rFonts w:ascii="Times New Roman" w:eastAsia="AngsanaUPC" w:hAnsi="Times New Roman" w:cs="Times New Roman"/>
                <w:b/>
                <w:bCs/>
                <w:iCs/>
                <w:sz w:val="24"/>
                <w:szCs w:val="24"/>
                <w:lang w:eastAsia="lt-LT"/>
              </w:rPr>
              <w:t>.</w:t>
            </w:r>
          </w:p>
        </w:tc>
      </w:tr>
    </w:tbl>
    <w:p w:rsidR="0095182B" w:rsidRDefault="0095182B" w:rsidP="0095182B">
      <w:pPr>
        <w:widowControl w:val="0"/>
        <w:textAlignment w:val="baseline"/>
        <w:rPr>
          <w:rFonts w:ascii="Times New Roman" w:hAnsi="Times New Roman" w:cs="Times New Roman"/>
          <w:i/>
          <w:color w:val="000000"/>
          <w:sz w:val="24"/>
          <w:szCs w:val="24"/>
          <w:u w:val="single"/>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1275"/>
        <w:gridCol w:w="851"/>
        <w:gridCol w:w="1134"/>
        <w:gridCol w:w="850"/>
        <w:gridCol w:w="1134"/>
        <w:gridCol w:w="1241"/>
      </w:tblGrid>
      <w:tr w:rsidR="0095182B" w:rsidRPr="0042440E" w:rsidTr="00C52CE6">
        <w:trPr>
          <w:tblHeader/>
        </w:trPr>
        <w:tc>
          <w:tcPr>
            <w:tcW w:w="9746" w:type="dxa"/>
            <w:gridSpan w:val="8"/>
            <w:shd w:val="clear" w:color="auto" w:fill="EEECE1"/>
          </w:tcPr>
          <w:p w:rsidR="0095182B" w:rsidRPr="00C32827" w:rsidRDefault="0095182B" w:rsidP="00C52CE6">
            <w:pPr>
              <w:widowControl w:val="0"/>
              <w:tabs>
                <w:tab w:val="left" w:pos="622"/>
              </w:tabs>
              <w:jc w:val="both"/>
              <w:rPr>
                <w:rFonts w:ascii="Times New Roman" w:eastAsia="AngsanaUPC" w:hAnsi="Times New Roman" w:cs="Times New Roman"/>
                <w:b/>
                <w:bCs/>
                <w:i/>
                <w:iCs/>
                <w:sz w:val="18"/>
                <w:szCs w:val="18"/>
                <w:lang w:eastAsia="lt-LT"/>
              </w:rPr>
            </w:pPr>
            <w:r w:rsidRPr="00C32827">
              <w:rPr>
                <w:rFonts w:ascii="Times New Roman" w:eastAsia="AngsanaUPC" w:hAnsi="Times New Roman" w:cs="Times New Roman"/>
                <w:b/>
                <w:bCs/>
                <w:i/>
                <w:iCs/>
                <w:sz w:val="18"/>
                <w:szCs w:val="18"/>
                <w:lang w:eastAsia="lt-LT"/>
              </w:rPr>
              <w:t>ESF bendrieji ir specialie</w:t>
            </w:r>
            <w:r>
              <w:rPr>
                <w:rFonts w:ascii="Times New Roman" w:eastAsia="AngsanaUPC" w:hAnsi="Times New Roman" w:cs="Times New Roman"/>
                <w:b/>
                <w:bCs/>
                <w:i/>
                <w:iCs/>
                <w:sz w:val="18"/>
                <w:szCs w:val="18"/>
                <w:lang w:eastAsia="lt-LT"/>
              </w:rPr>
              <w:t>ji programos produkto rodikliai</w:t>
            </w:r>
          </w:p>
        </w:tc>
      </w:tr>
      <w:tr w:rsidR="0095182B" w:rsidRPr="0042440E" w:rsidTr="00C52CE6">
        <w:tblPrEx>
          <w:shd w:val="clear" w:color="auto" w:fill="auto"/>
        </w:tblPrEx>
        <w:trPr>
          <w:tblHeader/>
        </w:trPr>
        <w:tc>
          <w:tcPr>
            <w:tcW w:w="567" w:type="dxa"/>
            <w:shd w:val="clear" w:color="auto" w:fill="EEECE1"/>
            <w:vAlign w:val="center"/>
          </w:tcPr>
          <w:p w:rsidR="0095182B" w:rsidRPr="0042440E"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42440E">
              <w:rPr>
                <w:rFonts w:ascii="Times New Roman" w:eastAsia="AngsanaUPC" w:hAnsi="Times New Roman" w:cs="Times New Roman"/>
                <w:b/>
                <w:bCs/>
                <w:iCs/>
                <w:sz w:val="18"/>
                <w:szCs w:val="18"/>
                <w:lang w:eastAsia="lt-LT"/>
              </w:rPr>
              <w:t>Nr.</w:t>
            </w:r>
          </w:p>
        </w:tc>
        <w:tc>
          <w:tcPr>
            <w:tcW w:w="2694"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Rodiklio pavadinimas</w:t>
            </w:r>
          </w:p>
        </w:tc>
        <w:tc>
          <w:tcPr>
            <w:tcW w:w="1275"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Matavimo vienetas</w:t>
            </w:r>
          </w:p>
        </w:tc>
        <w:tc>
          <w:tcPr>
            <w:tcW w:w="851"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Fondas</w:t>
            </w:r>
          </w:p>
        </w:tc>
        <w:tc>
          <w:tcPr>
            <w:tcW w:w="1134"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Regiono kategorija</w:t>
            </w:r>
          </w:p>
        </w:tc>
        <w:tc>
          <w:tcPr>
            <w:tcW w:w="850"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Siektina reikšmė (2023)</w:t>
            </w:r>
          </w:p>
        </w:tc>
        <w:tc>
          <w:tcPr>
            <w:tcW w:w="1134"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Duomenų šaltinis</w:t>
            </w:r>
          </w:p>
        </w:tc>
        <w:tc>
          <w:tcPr>
            <w:tcW w:w="1241" w:type="dxa"/>
            <w:shd w:val="clear" w:color="auto" w:fill="EEECE1"/>
            <w:vAlign w:val="center"/>
          </w:tcPr>
          <w:p w:rsidR="0095182B" w:rsidRPr="00C32827" w:rsidRDefault="0095182B" w:rsidP="00C52CE6">
            <w:pPr>
              <w:widowControl w:val="0"/>
              <w:tabs>
                <w:tab w:val="left" w:pos="622"/>
              </w:tabs>
              <w:jc w:val="center"/>
              <w:rPr>
                <w:rFonts w:ascii="Times New Roman" w:eastAsia="AngsanaUPC" w:hAnsi="Times New Roman" w:cs="Times New Roman"/>
                <w:b/>
                <w:bCs/>
                <w:iCs/>
                <w:sz w:val="18"/>
                <w:szCs w:val="18"/>
                <w:lang w:eastAsia="lt-LT"/>
              </w:rPr>
            </w:pPr>
            <w:r w:rsidRPr="00C32827">
              <w:rPr>
                <w:rFonts w:ascii="Times New Roman" w:eastAsia="AngsanaUPC" w:hAnsi="Times New Roman" w:cs="Times New Roman"/>
                <w:b/>
                <w:bCs/>
                <w:iCs/>
                <w:sz w:val="18"/>
                <w:szCs w:val="18"/>
                <w:lang w:eastAsia="lt-LT"/>
              </w:rPr>
              <w:t>Atsiskaitymo dažnumas</w:t>
            </w:r>
          </w:p>
        </w:tc>
      </w:tr>
      <w:tr w:rsidR="0095182B" w:rsidRPr="0042440E" w:rsidTr="00C52CE6">
        <w:tblPrEx>
          <w:shd w:val="clear" w:color="auto" w:fill="auto"/>
        </w:tblPrEx>
        <w:tc>
          <w:tcPr>
            <w:tcW w:w="567" w:type="dxa"/>
            <w:shd w:val="clear" w:color="auto" w:fill="auto"/>
            <w:vAlign w:val="center"/>
          </w:tcPr>
          <w:p w:rsidR="0095182B" w:rsidRPr="00C32827" w:rsidRDefault="0095182B" w:rsidP="00C52CE6">
            <w:pPr>
              <w:widowControl w:val="0"/>
              <w:tabs>
                <w:tab w:val="left" w:pos="622"/>
              </w:tabs>
              <w:jc w:val="center"/>
              <w:rPr>
                <w:rFonts w:ascii="Times New Roman" w:eastAsia="Calibri" w:hAnsi="Times New Roman" w:cs="Times New Roman"/>
                <w:b/>
                <w:bCs/>
                <w:iCs/>
                <w:sz w:val="18"/>
                <w:szCs w:val="18"/>
                <w:lang w:eastAsia="lt-LT"/>
              </w:rPr>
            </w:pPr>
            <w:r w:rsidRPr="00C32827">
              <w:rPr>
                <w:rFonts w:ascii="Times New Roman" w:eastAsia="Calibri" w:hAnsi="Times New Roman" w:cs="Times New Roman"/>
                <w:b/>
                <w:bCs/>
                <w:iCs/>
                <w:sz w:val="18"/>
                <w:szCs w:val="18"/>
                <w:lang w:eastAsia="lt-LT"/>
              </w:rPr>
              <w:t>1.</w:t>
            </w:r>
          </w:p>
        </w:tc>
        <w:tc>
          <w:tcPr>
            <w:tcW w:w="2694" w:type="dxa"/>
            <w:shd w:val="clear" w:color="auto" w:fill="auto"/>
            <w:vAlign w:val="center"/>
          </w:tcPr>
          <w:p w:rsidR="0095182B" w:rsidRPr="00C32827" w:rsidRDefault="0095182B" w:rsidP="00C52CE6">
            <w:pPr>
              <w:widowControl w:val="0"/>
              <w:tabs>
                <w:tab w:val="left" w:pos="622"/>
              </w:tabs>
              <w:rPr>
                <w:rFonts w:ascii="Times New Roman" w:eastAsia="Calibri" w:hAnsi="Times New Roman" w:cs="Times New Roman"/>
                <w:b/>
                <w:bCs/>
                <w:iCs/>
                <w:sz w:val="18"/>
                <w:szCs w:val="18"/>
                <w:lang w:eastAsia="lt-LT"/>
              </w:rPr>
            </w:pPr>
            <w:r w:rsidRPr="00C32827">
              <w:rPr>
                <w:rFonts w:ascii="Times New Roman" w:eastAsia="Calibri" w:hAnsi="Times New Roman" w:cs="Times New Roman"/>
                <w:b/>
                <w:sz w:val="18"/>
                <w:szCs w:val="18"/>
                <w:lang w:eastAsia="lt-LT"/>
              </w:rPr>
              <w:t>Bedarbiai, įskaitant ilgalaikius bedarbius, dalyvavę ESF veiklose</w:t>
            </w:r>
          </w:p>
        </w:tc>
        <w:tc>
          <w:tcPr>
            <w:tcW w:w="1275" w:type="dxa"/>
            <w:shd w:val="clear" w:color="auto" w:fill="auto"/>
            <w:vAlign w:val="center"/>
          </w:tcPr>
          <w:p w:rsidR="0095182B" w:rsidRPr="00C32827" w:rsidRDefault="0095182B" w:rsidP="00C52CE6">
            <w:pPr>
              <w:widowControl w:val="0"/>
              <w:tabs>
                <w:tab w:val="left" w:pos="622"/>
              </w:tabs>
              <w:jc w:val="center"/>
              <w:rPr>
                <w:rFonts w:ascii="Times New Roman" w:eastAsia="Calibri" w:hAnsi="Times New Roman" w:cs="Times New Roman"/>
                <w:b/>
                <w:bCs/>
                <w:iCs/>
                <w:sz w:val="18"/>
                <w:szCs w:val="18"/>
                <w:lang w:eastAsia="lt-LT"/>
              </w:rPr>
            </w:pPr>
            <w:r w:rsidRPr="00C32827">
              <w:rPr>
                <w:rFonts w:ascii="Times New Roman" w:eastAsia="Calibri" w:hAnsi="Times New Roman" w:cs="Times New Roman"/>
                <w:b/>
                <w:bCs/>
                <w:iCs/>
                <w:sz w:val="18"/>
                <w:szCs w:val="18"/>
                <w:lang w:eastAsia="lt-LT"/>
              </w:rPr>
              <w:t xml:space="preserve">Skaičius </w:t>
            </w:r>
          </w:p>
        </w:tc>
        <w:tc>
          <w:tcPr>
            <w:tcW w:w="851" w:type="dxa"/>
            <w:shd w:val="clear" w:color="auto" w:fill="auto"/>
            <w:vAlign w:val="center"/>
          </w:tcPr>
          <w:p w:rsidR="0095182B" w:rsidRPr="00C32827" w:rsidRDefault="0095182B" w:rsidP="00C52CE6">
            <w:pPr>
              <w:widowControl w:val="0"/>
              <w:tabs>
                <w:tab w:val="left" w:pos="622"/>
              </w:tabs>
              <w:jc w:val="center"/>
              <w:rPr>
                <w:rFonts w:ascii="Times New Roman" w:eastAsia="Calibri" w:hAnsi="Times New Roman" w:cs="Times New Roman"/>
                <w:b/>
                <w:bCs/>
                <w:iCs/>
                <w:sz w:val="18"/>
                <w:szCs w:val="18"/>
                <w:lang w:eastAsia="lt-LT"/>
              </w:rPr>
            </w:pPr>
            <w:r w:rsidRPr="00C32827">
              <w:rPr>
                <w:rFonts w:ascii="Times New Roman" w:eastAsia="Calibri" w:hAnsi="Times New Roman" w:cs="Times New Roman"/>
                <w:b/>
                <w:bCs/>
                <w:iCs/>
                <w:sz w:val="18"/>
                <w:szCs w:val="18"/>
                <w:lang w:eastAsia="lt-LT"/>
              </w:rPr>
              <w:t>ESF</w:t>
            </w:r>
          </w:p>
        </w:tc>
        <w:tc>
          <w:tcPr>
            <w:tcW w:w="1134" w:type="dxa"/>
            <w:shd w:val="clear" w:color="auto" w:fill="auto"/>
            <w:vAlign w:val="center"/>
          </w:tcPr>
          <w:p w:rsidR="0095182B" w:rsidRPr="00C32827" w:rsidRDefault="0095182B" w:rsidP="00C52CE6">
            <w:pPr>
              <w:widowControl w:val="0"/>
              <w:tabs>
                <w:tab w:val="left" w:pos="622"/>
              </w:tabs>
              <w:jc w:val="center"/>
              <w:rPr>
                <w:rFonts w:ascii="Times New Roman" w:eastAsia="Calibri" w:hAnsi="Times New Roman" w:cs="Times New Roman"/>
                <w:b/>
                <w:bCs/>
                <w:iCs/>
                <w:sz w:val="18"/>
                <w:szCs w:val="18"/>
                <w:lang w:eastAsia="lt-LT"/>
              </w:rPr>
            </w:pPr>
            <w:r w:rsidRPr="00C32827">
              <w:rPr>
                <w:rFonts w:ascii="Times New Roman" w:eastAsia="Calibri" w:hAnsi="Times New Roman" w:cs="Times New Roman"/>
                <w:b/>
                <w:bCs/>
                <w:iCs/>
                <w:sz w:val="18"/>
                <w:szCs w:val="18"/>
                <w:lang w:eastAsia="lt-LT"/>
              </w:rPr>
              <w:t>Mažiau išsivystęs</w:t>
            </w:r>
          </w:p>
        </w:tc>
        <w:tc>
          <w:tcPr>
            <w:tcW w:w="850" w:type="dxa"/>
            <w:shd w:val="clear" w:color="auto" w:fill="auto"/>
            <w:vAlign w:val="center"/>
          </w:tcPr>
          <w:p w:rsidR="0095182B" w:rsidRPr="00C32827" w:rsidRDefault="0095182B" w:rsidP="00C52CE6">
            <w:pPr>
              <w:widowControl w:val="0"/>
              <w:tabs>
                <w:tab w:val="left" w:pos="622"/>
              </w:tabs>
              <w:jc w:val="center"/>
              <w:rPr>
                <w:rFonts w:ascii="Times New Roman" w:eastAsia="Calibri" w:hAnsi="Times New Roman" w:cs="Times New Roman"/>
                <w:b/>
                <w:bCs/>
                <w:iCs/>
                <w:sz w:val="18"/>
                <w:szCs w:val="18"/>
                <w:lang w:eastAsia="lt-LT"/>
              </w:rPr>
            </w:pPr>
            <w:r w:rsidRPr="00C32827">
              <w:rPr>
                <w:rFonts w:ascii="Times New Roman" w:eastAsia="Calibri" w:hAnsi="Times New Roman" w:cs="Times New Roman"/>
                <w:b/>
                <w:bCs/>
                <w:iCs/>
                <w:sz w:val="18"/>
                <w:szCs w:val="18"/>
                <w:lang w:eastAsia="lt-LT"/>
              </w:rPr>
              <w:t>13.000</w:t>
            </w:r>
          </w:p>
        </w:tc>
        <w:tc>
          <w:tcPr>
            <w:tcW w:w="1134" w:type="dxa"/>
            <w:shd w:val="clear" w:color="auto" w:fill="auto"/>
            <w:vAlign w:val="center"/>
          </w:tcPr>
          <w:p w:rsidR="0095182B" w:rsidRPr="00C32827" w:rsidRDefault="0095182B" w:rsidP="00C52CE6">
            <w:pPr>
              <w:widowControl w:val="0"/>
              <w:tabs>
                <w:tab w:val="left" w:pos="622"/>
              </w:tabs>
              <w:jc w:val="center"/>
              <w:rPr>
                <w:rFonts w:ascii="Times New Roman" w:eastAsia="Calibri" w:hAnsi="Times New Roman" w:cs="Times New Roman"/>
                <w:b/>
                <w:bCs/>
                <w:iCs/>
                <w:sz w:val="18"/>
                <w:szCs w:val="18"/>
                <w:lang w:eastAsia="lt-LT"/>
              </w:rPr>
            </w:pPr>
            <w:r w:rsidRPr="00C32827">
              <w:rPr>
                <w:rFonts w:ascii="Times New Roman" w:eastAsia="Calibri" w:hAnsi="Times New Roman" w:cs="Times New Roman"/>
                <w:b/>
                <w:bCs/>
                <w:iCs/>
                <w:sz w:val="18"/>
                <w:szCs w:val="18"/>
                <w:lang w:eastAsia="lt-LT"/>
              </w:rPr>
              <w:t>Duomenys iš projektų</w:t>
            </w:r>
          </w:p>
        </w:tc>
        <w:tc>
          <w:tcPr>
            <w:tcW w:w="1241" w:type="dxa"/>
            <w:shd w:val="clear" w:color="auto" w:fill="auto"/>
            <w:vAlign w:val="center"/>
          </w:tcPr>
          <w:p w:rsidR="0095182B" w:rsidRPr="00C32827" w:rsidRDefault="0095182B" w:rsidP="00C52CE6">
            <w:pPr>
              <w:widowControl w:val="0"/>
              <w:tabs>
                <w:tab w:val="left" w:pos="622"/>
              </w:tabs>
              <w:jc w:val="center"/>
              <w:rPr>
                <w:rFonts w:ascii="Times New Roman" w:eastAsia="Calibri" w:hAnsi="Times New Roman" w:cs="Times New Roman"/>
                <w:b/>
                <w:bCs/>
                <w:iCs/>
                <w:sz w:val="18"/>
                <w:szCs w:val="18"/>
                <w:lang w:eastAsia="lt-LT"/>
              </w:rPr>
            </w:pPr>
            <w:r w:rsidRPr="00C32827">
              <w:rPr>
                <w:rFonts w:ascii="Times New Roman" w:eastAsia="Calibri" w:hAnsi="Times New Roman" w:cs="Times New Roman"/>
                <w:b/>
                <w:bCs/>
                <w:iCs/>
                <w:sz w:val="18"/>
                <w:szCs w:val="18"/>
                <w:lang w:eastAsia="lt-LT"/>
              </w:rPr>
              <w:t>Kartą per metus</w:t>
            </w:r>
          </w:p>
        </w:tc>
      </w:tr>
    </w:tbl>
    <w:p w:rsidR="0095182B" w:rsidRDefault="0095182B" w:rsidP="0095182B">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95182B" w:rsidRPr="0042440E" w:rsidTr="00C52CE6">
        <w:tc>
          <w:tcPr>
            <w:tcW w:w="9746" w:type="dxa"/>
            <w:shd w:val="clear" w:color="auto" w:fill="EEECE1"/>
          </w:tcPr>
          <w:p w:rsidR="0095182B" w:rsidRPr="0042440E" w:rsidRDefault="0095182B" w:rsidP="00C52CE6">
            <w:pPr>
              <w:widowControl w:val="0"/>
              <w:tabs>
                <w:tab w:val="left" w:pos="622"/>
              </w:tabs>
              <w:jc w:val="both"/>
              <w:rPr>
                <w:rFonts w:ascii="Times New Roman" w:eastAsia="AngsanaUPC" w:hAnsi="Times New Roman" w:cs="Times New Roman"/>
                <w:b/>
                <w:bCs/>
                <w:sz w:val="24"/>
                <w:szCs w:val="24"/>
                <w:lang w:eastAsia="lt-LT"/>
              </w:rPr>
            </w:pPr>
            <w:r w:rsidRPr="0042440E">
              <w:rPr>
                <w:rFonts w:ascii="Times New Roman" w:eastAsia="AngsanaUPC" w:hAnsi="Times New Roman" w:cs="Times New Roman"/>
                <w:b/>
                <w:bCs/>
                <w:i/>
                <w:iCs/>
                <w:sz w:val="24"/>
                <w:szCs w:val="24"/>
                <w:lang w:eastAsia="lt-LT"/>
              </w:rPr>
              <w:t>Projektų / veiksmų atrankos principai</w:t>
            </w:r>
          </w:p>
        </w:tc>
      </w:tr>
      <w:tr w:rsidR="0095182B" w:rsidRPr="0042440E" w:rsidTr="00C52CE6">
        <w:tc>
          <w:tcPr>
            <w:tcW w:w="9746" w:type="dxa"/>
            <w:shd w:val="clear" w:color="auto" w:fill="auto"/>
          </w:tcPr>
          <w:p w:rsidR="0095182B" w:rsidRPr="00C32827" w:rsidRDefault="0095182B" w:rsidP="00C52CE6">
            <w:pPr>
              <w:widowControl w:val="0"/>
              <w:numPr>
                <w:ilvl w:val="0"/>
                <w:numId w:val="4"/>
              </w:numPr>
              <w:tabs>
                <w:tab w:val="left" w:pos="601"/>
              </w:tabs>
              <w:ind w:left="34" w:firstLine="284"/>
              <w:jc w:val="both"/>
              <w:rPr>
                <w:rFonts w:ascii="Times New Roman" w:eastAsia="AngsanaUPC" w:hAnsi="Times New Roman" w:cs="Times New Roman"/>
                <w:b/>
                <w:bCs/>
                <w:sz w:val="24"/>
                <w:szCs w:val="24"/>
                <w:lang w:eastAsia="lt-LT"/>
              </w:rPr>
            </w:pPr>
            <w:r>
              <w:rPr>
                <w:rFonts w:ascii="Times New Roman" w:eastAsia="AngsanaUPC" w:hAnsi="Times New Roman" w:cs="Times New Roman"/>
                <w:b/>
                <w:bCs/>
                <w:sz w:val="24"/>
                <w:szCs w:val="24"/>
                <w:lang w:eastAsia="lt-LT"/>
              </w:rPr>
              <w:t>14</w:t>
            </w:r>
            <w:r w:rsidRPr="00C32827">
              <w:rPr>
                <w:rFonts w:ascii="Times New Roman" w:eastAsia="AngsanaUPC" w:hAnsi="Times New Roman" w:cs="Times New Roman"/>
                <w:b/>
                <w:bCs/>
                <w:sz w:val="24"/>
                <w:szCs w:val="24"/>
                <w:lang w:eastAsia="lt-LT"/>
              </w:rPr>
              <w:t>.1.1 konkretų uždavinį įgyvendinantys projektai bus atrenkami tęstinės projektų atrankos, projektų konkurso būdu ir valstybės projektų planavimo būdu (tiesiogiai skiriant sub</w:t>
            </w:r>
            <w:r w:rsidR="0036658D">
              <w:rPr>
                <w:rFonts w:ascii="Times New Roman" w:eastAsia="AngsanaUPC" w:hAnsi="Times New Roman" w:cs="Times New Roman"/>
                <w:b/>
                <w:bCs/>
                <w:sz w:val="24"/>
                <w:szCs w:val="24"/>
                <w:lang w:eastAsia="lt-LT"/>
              </w:rPr>
              <w:t>sidiją)</w:t>
            </w:r>
            <w:r w:rsidRPr="00C32827">
              <w:rPr>
                <w:rFonts w:ascii="Times New Roman" w:eastAsia="AngsanaUPC" w:hAnsi="Times New Roman" w:cs="Times New Roman"/>
                <w:b/>
                <w:bCs/>
                <w:sz w:val="24"/>
                <w:szCs w:val="24"/>
                <w:lang w:eastAsia="lt-LT"/>
              </w:rPr>
              <w:t>. Jeigu nusprendžiama, kad konkrečiam projektui dotacijos skiriamos tiesiogiai, ši procedūra turi atitikti sąlygas, nustatytas Bendrųjų nuostatų reglamento 125.3 str. (a) dalyje (</w:t>
            </w:r>
            <w:proofErr w:type="spellStart"/>
            <w:r w:rsidRPr="00C32827">
              <w:rPr>
                <w:rFonts w:ascii="Times New Roman" w:eastAsia="AngsanaUPC" w:hAnsi="Times New Roman" w:cs="Times New Roman"/>
                <w:b/>
                <w:bCs/>
                <w:sz w:val="24"/>
                <w:szCs w:val="24"/>
                <w:lang w:eastAsia="lt-LT"/>
              </w:rPr>
              <w:t>ii</w:t>
            </w:r>
            <w:proofErr w:type="spellEnd"/>
            <w:r w:rsidRPr="00C32827">
              <w:rPr>
                <w:rFonts w:ascii="Times New Roman" w:eastAsia="AngsanaUPC" w:hAnsi="Times New Roman" w:cs="Times New Roman"/>
                <w:b/>
                <w:bCs/>
                <w:sz w:val="24"/>
                <w:szCs w:val="24"/>
                <w:lang w:eastAsia="lt-LT"/>
              </w:rPr>
              <w:t>) punkte, kuriuo reikalaujama, kad dotacijų skyrimo procedūra turi būti nediskriminuojanti ir skaidri.</w:t>
            </w:r>
          </w:p>
          <w:p w:rsidR="0095182B" w:rsidRPr="0042440E" w:rsidRDefault="0095182B" w:rsidP="00C52CE6">
            <w:pPr>
              <w:widowControl w:val="0"/>
              <w:tabs>
                <w:tab w:val="left" w:pos="601"/>
              </w:tabs>
              <w:ind w:left="34" w:firstLine="284"/>
              <w:jc w:val="both"/>
              <w:rPr>
                <w:rFonts w:ascii="Times New Roman" w:eastAsia="AngsanaUPC" w:hAnsi="Times New Roman" w:cs="Times New Roman"/>
                <w:bCs/>
                <w:sz w:val="24"/>
                <w:szCs w:val="24"/>
                <w:lang w:eastAsia="lt-LT"/>
              </w:rPr>
            </w:pPr>
            <w:r w:rsidRPr="00C32827">
              <w:rPr>
                <w:rFonts w:ascii="Times New Roman" w:eastAsia="AngsanaUPC" w:hAnsi="Times New Roman" w:cs="Times New Roman"/>
                <w:b/>
                <w:bCs/>
                <w:sz w:val="24"/>
                <w:szCs w:val="24"/>
                <w:lang w:eastAsia="lt-LT"/>
              </w:rPr>
              <w:t>* Esant pagrįstam poreikiui pagal kiekvieną investicinį prioritetą gali būti taikomi ir kiti projektų atrankos būdai nurodyti pirmojo prioriteto dalyje „Projektų / veiksmų atrankos principai“.</w:t>
            </w:r>
          </w:p>
        </w:tc>
      </w:tr>
    </w:tbl>
    <w:p w:rsidR="0095182B" w:rsidRDefault="0095182B" w:rsidP="0095182B">
      <w:pPr>
        <w:widowControl w:val="0"/>
        <w:jc w:val="both"/>
        <w:textAlignment w:val="baseline"/>
        <w:rPr>
          <w:rFonts w:ascii="Times New Roman" w:hAnsi="Times New Roman" w:cs="Times New Roman"/>
          <w:i/>
          <w:color w:val="00000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46"/>
      </w:tblGrid>
      <w:tr w:rsidR="0095182B" w:rsidRPr="0042440E" w:rsidTr="00C52CE6">
        <w:tc>
          <w:tcPr>
            <w:tcW w:w="9746" w:type="dxa"/>
            <w:shd w:val="clear" w:color="auto" w:fill="EEECE1"/>
          </w:tcPr>
          <w:p w:rsidR="0095182B" w:rsidRPr="0042440E" w:rsidRDefault="0095182B" w:rsidP="00C52CE6">
            <w:pPr>
              <w:widowControl w:val="0"/>
              <w:tabs>
                <w:tab w:val="left" w:pos="622"/>
              </w:tabs>
              <w:jc w:val="both"/>
              <w:rPr>
                <w:rFonts w:ascii="Times New Roman" w:eastAsia="AngsanaUPC" w:hAnsi="Times New Roman" w:cs="Times New Roman"/>
                <w:b/>
                <w:bCs/>
                <w:sz w:val="24"/>
                <w:szCs w:val="24"/>
                <w:lang w:eastAsia="lt-LT"/>
              </w:rPr>
            </w:pPr>
            <w:r w:rsidRPr="0042440E">
              <w:rPr>
                <w:rFonts w:ascii="Times New Roman" w:eastAsia="AngsanaUPC" w:hAnsi="Times New Roman" w:cs="Times New Roman"/>
                <w:b/>
                <w:bCs/>
                <w:i/>
                <w:iCs/>
                <w:sz w:val="24"/>
                <w:szCs w:val="24"/>
                <w:lang w:eastAsia="lt-LT"/>
              </w:rPr>
              <w:t>Finansiniai instrumentai ir jų aprašymas</w:t>
            </w:r>
          </w:p>
        </w:tc>
      </w:tr>
      <w:tr w:rsidR="0095182B" w:rsidRPr="0042440E" w:rsidTr="00C52CE6">
        <w:tc>
          <w:tcPr>
            <w:tcW w:w="9746" w:type="dxa"/>
            <w:shd w:val="clear" w:color="auto" w:fill="auto"/>
          </w:tcPr>
          <w:p w:rsidR="0095182B" w:rsidRPr="00C32827" w:rsidRDefault="0095182B" w:rsidP="00C52CE6">
            <w:pPr>
              <w:widowControl w:val="0"/>
              <w:tabs>
                <w:tab w:val="left" w:pos="622"/>
              </w:tabs>
              <w:ind w:firstLine="624"/>
              <w:jc w:val="both"/>
              <w:rPr>
                <w:rFonts w:ascii="Times New Roman" w:eastAsia="AngsanaUPC" w:hAnsi="Times New Roman" w:cs="Times New Roman"/>
                <w:b/>
                <w:bCs/>
                <w:iCs/>
                <w:sz w:val="24"/>
                <w:szCs w:val="24"/>
                <w:highlight w:val="yellow"/>
                <w:lang w:eastAsia="lt-LT"/>
              </w:rPr>
            </w:pPr>
            <w:r w:rsidRPr="00C32827">
              <w:rPr>
                <w:rFonts w:ascii="Times New Roman" w:eastAsia="AngsanaUPC" w:hAnsi="Times New Roman" w:cs="Times New Roman"/>
                <w:b/>
                <w:bCs/>
                <w:sz w:val="24"/>
                <w:szCs w:val="24"/>
                <w:lang w:eastAsia="lt-LT"/>
              </w:rPr>
              <w:t>Pagal 1</w:t>
            </w:r>
            <w:r>
              <w:rPr>
                <w:rFonts w:ascii="Times New Roman" w:eastAsia="AngsanaUPC" w:hAnsi="Times New Roman" w:cs="Times New Roman"/>
                <w:b/>
                <w:bCs/>
                <w:sz w:val="24"/>
                <w:szCs w:val="24"/>
                <w:lang w:eastAsia="lt-LT"/>
              </w:rPr>
              <w:t>4</w:t>
            </w:r>
            <w:r w:rsidRPr="00C32827">
              <w:rPr>
                <w:rFonts w:ascii="Times New Roman" w:eastAsia="AngsanaUPC" w:hAnsi="Times New Roman" w:cs="Times New Roman"/>
                <w:b/>
                <w:bCs/>
                <w:sz w:val="24"/>
                <w:szCs w:val="24"/>
                <w:lang w:eastAsia="lt-LT"/>
              </w:rPr>
              <w:t xml:space="preserve">.1.1 konkretų uždavinį </w:t>
            </w:r>
            <w:r w:rsidRPr="00C32827">
              <w:rPr>
                <w:rFonts w:ascii="Times New Roman" w:eastAsia="AngsanaUPC" w:hAnsi="Times New Roman" w:cs="Times New Roman"/>
                <w:b/>
                <w:bCs/>
                <w:iCs/>
                <w:sz w:val="24"/>
                <w:szCs w:val="24"/>
                <w:lang w:eastAsia="lt-LT"/>
              </w:rPr>
              <w:t>finansinių instrumentų taikyti nenumatoma.</w:t>
            </w:r>
          </w:p>
        </w:tc>
      </w:tr>
    </w:tbl>
    <w:p w:rsidR="0042440E" w:rsidRDefault="0042440E" w:rsidP="0042440E">
      <w:pPr>
        <w:widowControl w:val="0"/>
        <w:spacing w:before="100" w:beforeAutospacing="1" w:after="100" w:afterAutospacing="1"/>
        <w:jc w:val="both"/>
        <w:textAlignment w:val="baseline"/>
        <w:rPr>
          <w:rFonts w:ascii="Times New Roman" w:hAnsi="Times New Roman" w:cs="Times New Roman"/>
          <w:i/>
          <w:color w:val="000000"/>
          <w:sz w:val="24"/>
          <w:szCs w:val="24"/>
          <w:u w:val="single"/>
        </w:rPr>
        <w:sectPr w:rsidR="0042440E" w:rsidSect="00883011">
          <w:pgSz w:w="11907" w:h="16839" w:code="9"/>
          <w:pgMar w:top="1134" w:right="567" w:bottom="1134" w:left="1134" w:header="561" w:footer="686" w:gutter="0"/>
          <w:cols w:space="1296"/>
          <w:formProt w:val="0"/>
          <w:titlePg/>
          <w:docGrid w:linePitch="326"/>
        </w:sectPr>
      </w:pPr>
    </w:p>
    <w:tbl>
      <w:tblPr>
        <w:tblW w:w="9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75"/>
      </w:tblGrid>
      <w:tr w:rsidR="00E81571" w:rsidRPr="002A49CA" w:rsidTr="00C32E92">
        <w:trPr>
          <w:tblHeader/>
        </w:trPr>
        <w:tc>
          <w:tcPr>
            <w:tcW w:w="9813" w:type="dxa"/>
            <w:gridSpan w:val="4"/>
            <w:shd w:val="clear" w:color="auto" w:fill="EEECE1" w:themeFill="background2"/>
            <w:vAlign w:val="center"/>
          </w:tcPr>
          <w:p w:rsidR="00E81571" w:rsidRPr="002A49CA" w:rsidRDefault="00E81571" w:rsidP="00E81571">
            <w:pPr>
              <w:widowControl w:val="0"/>
              <w:tabs>
                <w:tab w:val="left" w:pos="622"/>
              </w:tabs>
              <w:jc w:val="both"/>
              <w:rPr>
                <w:rFonts w:ascii="Times New Roman" w:eastAsia="Calibri" w:hAnsi="Times New Roman" w:cs="Times New Roman"/>
                <w:b/>
                <w:bCs/>
                <w:i/>
                <w:iCs/>
                <w:sz w:val="18"/>
                <w:szCs w:val="18"/>
              </w:rPr>
            </w:pPr>
            <w:r w:rsidRPr="002A49CA">
              <w:rPr>
                <w:rFonts w:ascii="Times New Roman" w:eastAsia="Calibri" w:hAnsi="Times New Roman" w:cs="Times New Roman"/>
                <w:b/>
                <w:bCs/>
                <w:i/>
                <w:iCs/>
                <w:sz w:val="18"/>
                <w:szCs w:val="18"/>
              </w:rPr>
              <w:lastRenderedPageBreak/>
              <w:t>Intervencinių veiksmų sritis</w:t>
            </w:r>
          </w:p>
        </w:tc>
      </w:tr>
      <w:tr w:rsidR="00E81571" w:rsidRPr="002A49CA" w:rsidTr="00C32E92">
        <w:tc>
          <w:tcPr>
            <w:tcW w:w="851" w:type="dxa"/>
            <w:shd w:val="clear" w:color="auto" w:fill="EEECE1" w:themeFill="background2"/>
            <w:vAlign w:val="center"/>
          </w:tcPr>
          <w:p w:rsidR="00E81571" w:rsidRPr="002A49CA" w:rsidRDefault="00E81571" w:rsidP="00E81571">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Fondas</w:t>
            </w:r>
          </w:p>
        </w:tc>
        <w:tc>
          <w:tcPr>
            <w:tcW w:w="709" w:type="dxa"/>
            <w:shd w:val="clear" w:color="auto" w:fill="EEECE1" w:themeFill="background2"/>
            <w:vAlign w:val="center"/>
          </w:tcPr>
          <w:p w:rsidR="00E81571" w:rsidRPr="002A49CA" w:rsidRDefault="00E81571" w:rsidP="00E81571">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Kodas</w:t>
            </w:r>
          </w:p>
        </w:tc>
        <w:tc>
          <w:tcPr>
            <w:tcW w:w="6378" w:type="dxa"/>
            <w:shd w:val="clear" w:color="auto" w:fill="EEECE1" w:themeFill="background2"/>
            <w:vAlign w:val="center"/>
          </w:tcPr>
          <w:p w:rsidR="00E81571" w:rsidRPr="002A49CA" w:rsidRDefault="00E81571" w:rsidP="00E81571">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Pavadinimas</w:t>
            </w:r>
          </w:p>
        </w:tc>
        <w:tc>
          <w:tcPr>
            <w:tcW w:w="1875" w:type="dxa"/>
            <w:shd w:val="clear" w:color="auto" w:fill="EEECE1" w:themeFill="background2"/>
            <w:vAlign w:val="center"/>
          </w:tcPr>
          <w:p w:rsidR="00E81571" w:rsidRPr="002A49CA" w:rsidRDefault="00E81571" w:rsidP="00E81571">
            <w:pPr>
              <w:widowControl w:val="0"/>
              <w:tabs>
                <w:tab w:val="left" w:pos="622"/>
              </w:tabs>
              <w:jc w:val="center"/>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Finansinė proporcija (eurais)</w:t>
            </w:r>
          </w:p>
        </w:tc>
      </w:tr>
      <w:tr w:rsidR="001342AD" w:rsidRPr="002A49CA" w:rsidTr="00C10B9F">
        <w:tc>
          <w:tcPr>
            <w:tcW w:w="851" w:type="dxa"/>
            <w:shd w:val="clear" w:color="auto" w:fill="auto"/>
            <w:vAlign w:val="center"/>
          </w:tcPr>
          <w:p w:rsidR="001342AD" w:rsidRPr="002A49CA" w:rsidRDefault="001342AD" w:rsidP="00C10B9F">
            <w:pPr>
              <w:widowControl w:val="0"/>
              <w:tabs>
                <w:tab w:val="left" w:pos="622"/>
              </w:tabs>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ESF</w:t>
            </w:r>
          </w:p>
        </w:tc>
        <w:tc>
          <w:tcPr>
            <w:tcW w:w="709" w:type="dxa"/>
            <w:shd w:val="clear" w:color="auto" w:fill="auto"/>
            <w:vAlign w:val="center"/>
          </w:tcPr>
          <w:p w:rsidR="001342AD" w:rsidRPr="002A49CA" w:rsidRDefault="001342AD" w:rsidP="00C10B9F">
            <w:pPr>
              <w:widowControl w:val="0"/>
              <w:tabs>
                <w:tab w:val="left" w:pos="622"/>
              </w:tabs>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102</w:t>
            </w:r>
          </w:p>
        </w:tc>
        <w:tc>
          <w:tcPr>
            <w:tcW w:w="6378" w:type="dxa"/>
            <w:shd w:val="clear" w:color="auto" w:fill="auto"/>
            <w:vAlign w:val="center"/>
          </w:tcPr>
          <w:p w:rsidR="001342AD" w:rsidRPr="002A49CA" w:rsidRDefault="001342AD" w:rsidP="00E81571">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Darbo ieškančių ir neaktyvių asmenų, tarp jų – ilgalaikių bedarbių ir nuo darbo rinkos nutolusių asmenų, įdarbinimo galimybės, taip pat naudojantis vietos užimtumo iniciatyvomis ir parama darbo jėgos judumui</w:t>
            </w:r>
          </w:p>
        </w:tc>
        <w:tc>
          <w:tcPr>
            <w:tcW w:w="1875" w:type="dxa"/>
            <w:shd w:val="clear" w:color="auto" w:fill="auto"/>
            <w:vAlign w:val="center"/>
          </w:tcPr>
          <w:p w:rsidR="001342AD" w:rsidRPr="00092E6B" w:rsidRDefault="001342AD" w:rsidP="003E5FA8">
            <w:pPr>
              <w:widowControl w:val="0"/>
              <w:tabs>
                <w:tab w:val="left" w:pos="622"/>
              </w:tabs>
              <w:jc w:val="right"/>
              <w:rPr>
                <w:rFonts w:ascii="Times New Roman" w:eastAsia="Calibri" w:hAnsi="Times New Roman" w:cs="Times New Roman"/>
                <w:b/>
                <w:bCs/>
                <w:iCs/>
                <w:sz w:val="18"/>
                <w:szCs w:val="18"/>
              </w:rPr>
            </w:pPr>
            <w:r w:rsidRPr="00092E6B">
              <w:rPr>
                <w:rFonts w:ascii="Times New Roman" w:eastAsia="Calibri" w:hAnsi="Times New Roman" w:cs="Times New Roman"/>
                <w:b/>
                <w:bCs/>
                <w:iCs/>
                <w:sz w:val="18"/>
                <w:szCs w:val="18"/>
              </w:rPr>
              <w:t>46.000.000</w:t>
            </w:r>
          </w:p>
        </w:tc>
      </w:tr>
    </w:tbl>
    <w:p w:rsidR="00CD033C" w:rsidRPr="002A49CA" w:rsidRDefault="00CD033C" w:rsidP="00E81571">
      <w:pPr>
        <w:widowControl w:val="0"/>
        <w:shd w:val="clear" w:color="auto" w:fill="FFFFFF"/>
        <w:jc w:val="both"/>
        <w:textAlignment w:val="baseline"/>
        <w:rPr>
          <w:rFonts w:ascii="Times New Roman" w:hAnsi="Times New Roman" w:cs="Times New Roman"/>
          <w:b/>
          <w:i/>
          <w:color w:val="000000"/>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08"/>
      </w:tblGrid>
      <w:tr w:rsidR="00E81571" w:rsidRPr="002A49CA" w:rsidTr="00C32E92">
        <w:tc>
          <w:tcPr>
            <w:tcW w:w="9746" w:type="dxa"/>
            <w:gridSpan w:val="4"/>
            <w:shd w:val="clear" w:color="auto" w:fill="EEECE1" w:themeFill="background2"/>
          </w:tcPr>
          <w:p w:rsidR="00E81571" w:rsidRPr="002A49CA" w:rsidRDefault="00E81571" w:rsidP="00E81571">
            <w:pPr>
              <w:widowControl w:val="0"/>
              <w:tabs>
                <w:tab w:val="left" w:pos="622"/>
              </w:tabs>
              <w:jc w:val="both"/>
              <w:rPr>
                <w:rFonts w:ascii="Times New Roman" w:eastAsia="Calibri" w:hAnsi="Times New Roman" w:cs="Times New Roman"/>
                <w:b/>
                <w:i/>
                <w:iCs/>
                <w:sz w:val="18"/>
                <w:szCs w:val="18"/>
              </w:rPr>
            </w:pPr>
            <w:r w:rsidRPr="002A49CA">
              <w:rPr>
                <w:rFonts w:ascii="Times New Roman" w:eastAsia="Calibri" w:hAnsi="Times New Roman" w:cs="Times New Roman"/>
                <w:b/>
                <w:bCs/>
                <w:i/>
                <w:iCs/>
                <w:sz w:val="18"/>
                <w:szCs w:val="18"/>
              </w:rPr>
              <w:t>Finansavimo forma</w:t>
            </w:r>
          </w:p>
        </w:tc>
      </w:tr>
      <w:tr w:rsidR="00E81571" w:rsidRPr="002A49CA" w:rsidTr="00C32E92">
        <w:tc>
          <w:tcPr>
            <w:tcW w:w="851" w:type="dxa"/>
            <w:shd w:val="clear" w:color="auto" w:fill="EEECE1" w:themeFill="background2"/>
            <w:vAlign w:val="center"/>
          </w:tcPr>
          <w:p w:rsidR="00E81571" w:rsidRPr="002A49CA" w:rsidRDefault="00E81571" w:rsidP="00E81571">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Fondas</w:t>
            </w:r>
          </w:p>
        </w:tc>
        <w:tc>
          <w:tcPr>
            <w:tcW w:w="709" w:type="dxa"/>
            <w:shd w:val="clear" w:color="auto" w:fill="EEECE1" w:themeFill="background2"/>
            <w:vAlign w:val="center"/>
          </w:tcPr>
          <w:p w:rsidR="00E81571" w:rsidRPr="002A49CA" w:rsidRDefault="00E81571" w:rsidP="00E81571">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Kodas</w:t>
            </w:r>
          </w:p>
        </w:tc>
        <w:tc>
          <w:tcPr>
            <w:tcW w:w="6378" w:type="dxa"/>
            <w:shd w:val="clear" w:color="auto" w:fill="EEECE1" w:themeFill="background2"/>
            <w:vAlign w:val="center"/>
          </w:tcPr>
          <w:p w:rsidR="00E81571" w:rsidRPr="002A49CA" w:rsidRDefault="00E81571" w:rsidP="00E81571">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Pavadinimas</w:t>
            </w:r>
          </w:p>
        </w:tc>
        <w:tc>
          <w:tcPr>
            <w:tcW w:w="1808" w:type="dxa"/>
            <w:shd w:val="clear" w:color="auto" w:fill="EEECE1" w:themeFill="background2"/>
            <w:vAlign w:val="center"/>
          </w:tcPr>
          <w:p w:rsidR="00E81571" w:rsidRPr="002A49CA" w:rsidRDefault="00E81571" w:rsidP="00E81571">
            <w:pPr>
              <w:widowControl w:val="0"/>
              <w:tabs>
                <w:tab w:val="left" w:pos="622"/>
              </w:tabs>
              <w:jc w:val="center"/>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Finansinė proporcija (eurais)</w:t>
            </w:r>
          </w:p>
        </w:tc>
      </w:tr>
      <w:tr w:rsidR="001342AD" w:rsidRPr="002A49CA" w:rsidTr="00BD54E0">
        <w:tc>
          <w:tcPr>
            <w:tcW w:w="851" w:type="dxa"/>
            <w:shd w:val="clear" w:color="auto" w:fill="auto"/>
            <w:vAlign w:val="center"/>
          </w:tcPr>
          <w:p w:rsidR="001342AD" w:rsidRPr="002A49CA" w:rsidRDefault="001342AD" w:rsidP="00BD54E0">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ESF</w:t>
            </w:r>
          </w:p>
        </w:tc>
        <w:tc>
          <w:tcPr>
            <w:tcW w:w="709" w:type="dxa"/>
            <w:shd w:val="clear" w:color="auto" w:fill="auto"/>
            <w:vAlign w:val="center"/>
          </w:tcPr>
          <w:p w:rsidR="001342AD" w:rsidRPr="002A49CA" w:rsidRDefault="001342AD" w:rsidP="00BD54E0">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01</w:t>
            </w:r>
          </w:p>
        </w:tc>
        <w:tc>
          <w:tcPr>
            <w:tcW w:w="6378" w:type="dxa"/>
            <w:shd w:val="clear" w:color="auto" w:fill="auto"/>
            <w:vAlign w:val="center"/>
          </w:tcPr>
          <w:p w:rsidR="001342AD" w:rsidRPr="002A49CA" w:rsidRDefault="001342AD" w:rsidP="00E81571">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Negražinamoji subsidija</w:t>
            </w:r>
          </w:p>
        </w:tc>
        <w:tc>
          <w:tcPr>
            <w:tcW w:w="1808" w:type="dxa"/>
            <w:shd w:val="clear" w:color="auto" w:fill="auto"/>
            <w:vAlign w:val="center"/>
          </w:tcPr>
          <w:p w:rsidR="00BD54E0" w:rsidRPr="002A49CA" w:rsidRDefault="00957E31" w:rsidP="001A0B6F">
            <w:pPr>
              <w:widowControl w:val="0"/>
              <w:tabs>
                <w:tab w:val="left" w:pos="622"/>
              </w:tabs>
              <w:jc w:val="right"/>
              <w:rPr>
                <w:rFonts w:ascii="Times New Roman" w:eastAsia="AngsanaUPC" w:hAnsi="Times New Roman" w:cs="Times New Roman"/>
                <w:b/>
                <w:bCs/>
                <w:sz w:val="18"/>
                <w:szCs w:val="18"/>
                <w:lang w:eastAsia="lt-LT"/>
              </w:rPr>
            </w:pPr>
            <w:r>
              <w:rPr>
                <w:rFonts w:ascii="Times New Roman" w:eastAsia="AngsanaUPC" w:hAnsi="Times New Roman" w:cs="Times New Roman"/>
                <w:b/>
                <w:bCs/>
                <w:sz w:val="18"/>
                <w:szCs w:val="18"/>
                <w:lang w:eastAsia="lt-LT"/>
              </w:rPr>
              <w:t>46.0</w:t>
            </w:r>
            <w:r w:rsidR="00092E6B">
              <w:rPr>
                <w:rFonts w:ascii="Times New Roman" w:eastAsia="AngsanaUPC" w:hAnsi="Times New Roman" w:cs="Times New Roman"/>
                <w:b/>
                <w:bCs/>
                <w:sz w:val="18"/>
                <w:szCs w:val="18"/>
                <w:lang w:eastAsia="lt-LT"/>
              </w:rPr>
              <w:t>00.000</w:t>
            </w:r>
          </w:p>
        </w:tc>
      </w:tr>
    </w:tbl>
    <w:p w:rsidR="00CD033C" w:rsidRPr="002A49CA" w:rsidRDefault="00CD033C" w:rsidP="00E81571">
      <w:pPr>
        <w:widowControl w:val="0"/>
        <w:shd w:val="clear" w:color="auto" w:fill="FFFFFF"/>
        <w:jc w:val="both"/>
        <w:textAlignment w:val="baseline"/>
        <w:rPr>
          <w:rFonts w:ascii="Times New Roman" w:hAnsi="Times New Roman" w:cs="Times New Roman"/>
          <w:b/>
          <w:i/>
          <w:color w:val="000000"/>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08"/>
      </w:tblGrid>
      <w:tr w:rsidR="00697AD2" w:rsidRPr="002A49CA" w:rsidTr="00C32E92">
        <w:tc>
          <w:tcPr>
            <w:tcW w:w="9746" w:type="dxa"/>
            <w:gridSpan w:val="4"/>
            <w:shd w:val="clear" w:color="auto" w:fill="EEECE1" w:themeFill="background2"/>
          </w:tcPr>
          <w:p w:rsidR="00697AD2" w:rsidRPr="002A49CA" w:rsidRDefault="00697AD2" w:rsidP="001F0D22">
            <w:pPr>
              <w:widowControl w:val="0"/>
              <w:tabs>
                <w:tab w:val="left" w:pos="622"/>
              </w:tabs>
              <w:jc w:val="both"/>
              <w:rPr>
                <w:rFonts w:ascii="Times New Roman" w:eastAsia="Calibri" w:hAnsi="Times New Roman" w:cs="Times New Roman"/>
                <w:b/>
                <w:i/>
                <w:iCs/>
                <w:sz w:val="18"/>
                <w:szCs w:val="18"/>
              </w:rPr>
            </w:pPr>
            <w:r w:rsidRPr="002A49CA">
              <w:rPr>
                <w:rFonts w:ascii="Times New Roman" w:eastAsia="Calibri" w:hAnsi="Times New Roman" w:cs="Times New Roman"/>
                <w:b/>
                <w:bCs/>
                <w:i/>
                <w:iCs/>
                <w:sz w:val="18"/>
                <w:szCs w:val="18"/>
              </w:rPr>
              <w:t>Teritorijų tipas</w:t>
            </w:r>
          </w:p>
        </w:tc>
      </w:tr>
      <w:tr w:rsidR="00697AD2" w:rsidRPr="002A49CA" w:rsidTr="00C32E92">
        <w:tc>
          <w:tcPr>
            <w:tcW w:w="851" w:type="dxa"/>
            <w:shd w:val="clear" w:color="auto" w:fill="EEECE1" w:themeFill="background2"/>
            <w:vAlign w:val="center"/>
          </w:tcPr>
          <w:p w:rsidR="00697AD2" w:rsidRPr="002A49CA" w:rsidRDefault="00697AD2" w:rsidP="001F0D22">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Fondas</w:t>
            </w:r>
          </w:p>
        </w:tc>
        <w:tc>
          <w:tcPr>
            <w:tcW w:w="709" w:type="dxa"/>
            <w:shd w:val="clear" w:color="auto" w:fill="EEECE1" w:themeFill="background2"/>
            <w:vAlign w:val="center"/>
          </w:tcPr>
          <w:p w:rsidR="00697AD2" w:rsidRPr="002A49CA" w:rsidRDefault="00697AD2" w:rsidP="001F0D22">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Kodas</w:t>
            </w:r>
          </w:p>
        </w:tc>
        <w:tc>
          <w:tcPr>
            <w:tcW w:w="6378" w:type="dxa"/>
            <w:shd w:val="clear" w:color="auto" w:fill="EEECE1" w:themeFill="background2"/>
            <w:vAlign w:val="center"/>
          </w:tcPr>
          <w:p w:rsidR="00697AD2" w:rsidRPr="002A49CA" w:rsidRDefault="00697AD2" w:rsidP="001F0D22">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Pavadinimas</w:t>
            </w:r>
          </w:p>
        </w:tc>
        <w:tc>
          <w:tcPr>
            <w:tcW w:w="1808" w:type="dxa"/>
            <w:shd w:val="clear" w:color="auto" w:fill="EEECE1" w:themeFill="background2"/>
            <w:vAlign w:val="center"/>
          </w:tcPr>
          <w:p w:rsidR="00697AD2" w:rsidRPr="002A49CA" w:rsidRDefault="00697AD2" w:rsidP="001F0D22">
            <w:pPr>
              <w:widowControl w:val="0"/>
              <w:tabs>
                <w:tab w:val="left" w:pos="622"/>
              </w:tabs>
              <w:jc w:val="center"/>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Finansinė proporcija (eurais)</w:t>
            </w:r>
          </w:p>
        </w:tc>
      </w:tr>
      <w:tr w:rsidR="00D27718" w:rsidRPr="002A49CA" w:rsidTr="00B529BE">
        <w:tc>
          <w:tcPr>
            <w:tcW w:w="851" w:type="dxa"/>
            <w:shd w:val="clear" w:color="auto" w:fill="auto"/>
            <w:vAlign w:val="center"/>
          </w:tcPr>
          <w:p w:rsidR="00D27718" w:rsidRPr="002A49CA" w:rsidRDefault="00D27718" w:rsidP="005E080B">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ESF</w:t>
            </w:r>
          </w:p>
        </w:tc>
        <w:tc>
          <w:tcPr>
            <w:tcW w:w="709" w:type="dxa"/>
            <w:shd w:val="clear" w:color="auto" w:fill="auto"/>
            <w:vAlign w:val="center"/>
          </w:tcPr>
          <w:p w:rsidR="00D27718" w:rsidRPr="002A49CA" w:rsidRDefault="00D27718" w:rsidP="005E080B">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07</w:t>
            </w:r>
          </w:p>
        </w:tc>
        <w:tc>
          <w:tcPr>
            <w:tcW w:w="6378" w:type="dxa"/>
            <w:shd w:val="clear" w:color="auto" w:fill="auto"/>
            <w:vAlign w:val="center"/>
          </w:tcPr>
          <w:p w:rsidR="00D27718" w:rsidRPr="002A49CA" w:rsidRDefault="00D27718" w:rsidP="005E080B">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Netaikoma</w:t>
            </w:r>
          </w:p>
        </w:tc>
        <w:tc>
          <w:tcPr>
            <w:tcW w:w="1808" w:type="dxa"/>
            <w:shd w:val="clear" w:color="auto" w:fill="auto"/>
            <w:vAlign w:val="center"/>
          </w:tcPr>
          <w:p w:rsidR="00BD54E0" w:rsidRPr="002A49CA" w:rsidRDefault="00957E31" w:rsidP="005E080B">
            <w:pPr>
              <w:widowControl w:val="0"/>
              <w:tabs>
                <w:tab w:val="left" w:pos="622"/>
              </w:tabs>
              <w:jc w:val="right"/>
              <w:rPr>
                <w:rFonts w:ascii="Times New Roman" w:eastAsia="AngsanaUPC" w:hAnsi="Times New Roman" w:cs="Times New Roman"/>
                <w:b/>
                <w:bCs/>
                <w:sz w:val="18"/>
                <w:szCs w:val="18"/>
                <w:lang w:eastAsia="lt-LT"/>
              </w:rPr>
            </w:pPr>
            <w:r>
              <w:rPr>
                <w:rFonts w:ascii="Times New Roman" w:eastAsia="AngsanaUPC" w:hAnsi="Times New Roman" w:cs="Times New Roman"/>
                <w:b/>
                <w:bCs/>
                <w:sz w:val="18"/>
                <w:szCs w:val="18"/>
                <w:lang w:eastAsia="lt-LT"/>
              </w:rPr>
              <w:t>46.0</w:t>
            </w:r>
            <w:r w:rsidR="003320E6">
              <w:rPr>
                <w:rFonts w:ascii="Times New Roman" w:eastAsia="AngsanaUPC" w:hAnsi="Times New Roman" w:cs="Times New Roman"/>
                <w:b/>
                <w:bCs/>
                <w:sz w:val="18"/>
                <w:szCs w:val="18"/>
                <w:lang w:eastAsia="lt-LT"/>
              </w:rPr>
              <w:t>00.000</w:t>
            </w:r>
          </w:p>
        </w:tc>
      </w:tr>
    </w:tbl>
    <w:p w:rsidR="00CD033C" w:rsidRPr="002A49CA" w:rsidRDefault="00CD033C" w:rsidP="00E81571">
      <w:pPr>
        <w:widowControl w:val="0"/>
        <w:shd w:val="clear" w:color="auto" w:fill="FFFFFF"/>
        <w:jc w:val="both"/>
        <w:textAlignment w:val="baseline"/>
        <w:rPr>
          <w:rFonts w:ascii="Times New Roman" w:hAnsi="Times New Roman" w:cs="Times New Roman"/>
          <w:b/>
          <w:i/>
          <w:color w:val="000000"/>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6378"/>
        <w:gridCol w:w="1808"/>
      </w:tblGrid>
      <w:tr w:rsidR="009E1DDF" w:rsidRPr="002A49CA" w:rsidTr="00C32E92">
        <w:tc>
          <w:tcPr>
            <w:tcW w:w="9746" w:type="dxa"/>
            <w:gridSpan w:val="4"/>
            <w:shd w:val="clear" w:color="auto" w:fill="EEECE1" w:themeFill="background2"/>
          </w:tcPr>
          <w:p w:rsidR="009E1DDF" w:rsidRPr="002A49CA" w:rsidRDefault="009E1DDF" w:rsidP="009E1DDF">
            <w:pPr>
              <w:widowControl w:val="0"/>
              <w:tabs>
                <w:tab w:val="left" w:pos="622"/>
              </w:tabs>
              <w:jc w:val="both"/>
              <w:rPr>
                <w:rFonts w:ascii="Times New Roman" w:eastAsia="Calibri" w:hAnsi="Times New Roman" w:cs="Times New Roman"/>
                <w:b/>
                <w:i/>
                <w:iCs/>
                <w:sz w:val="18"/>
                <w:szCs w:val="18"/>
              </w:rPr>
            </w:pPr>
            <w:r w:rsidRPr="002A49CA">
              <w:rPr>
                <w:rFonts w:ascii="Times New Roman" w:eastAsia="Calibri" w:hAnsi="Times New Roman" w:cs="Times New Roman"/>
                <w:b/>
                <w:bCs/>
                <w:i/>
                <w:iCs/>
                <w:sz w:val="18"/>
                <w:szCs w:val="18"/>
              </w:rPr>
              <w:t>Teritorinės paramos paskirstymo priemonės</w:t>
            </w:r>
          </w:p>
        </w:tc>
      </w:tr>
      <w:tr w:rsidR="009E1DDF" w:rsidRPr="002A49CA" w:rsidTr="00C32E92">
        <w:trPr>
          <w:trHeight w:val="550"/>
        </w:trPr>
        <w:tc>
          <w:tcPr>
            <w:tcW w:w="851" w:type="dxa"/>
            <w:shd w:val="clear" w:color="auto" w:fill="EEECE1" w:themeFill="background2"/>
            <w:vAlign w:val="center"/>
          </w:tcPr>
          <w:p w:rsidR="009E1DDF" w:rsidRPr="002A49CA" w:rsidRDefault="009E1DDF" w:rsidP="009E1DDF">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Fondas</w:t>
            </w:r>
          </w:p>
        </w:tc>
        <w:tc>
          <w:tcPr>
            <w:tcW w:w="709" w:type="dxa"/>
            <w:shd w:val="clear" w:color="auto" w:fill="EEECE1" w:themeFill="background2"/>
            <w:vAlign w:val="center"/>
          </w:tcPr>
          <w:p w:rsidR="009E1DDF" w:rsidRPr="002A49CA" w:rsidRDefault="009E1DDF" w:rsidP="009E1DDF">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Kodas</w:t>
            </w:r>
          </w:p>
        </w:tc>
        <w:tc>
          <w:tcPr>
            <w:tcW w:w="6378" w:type="dxa"/>
            <w:shd w:val="clear" w:color="auto" w:fill="EEECE1" w:themeFill="background2"/>
            <w:vAlign w:val="center"/>
          </w:tcPr>
          <w:p w:rsidR="009E1DDF" w:rsidRPr="002A49CA" w:rsidRDefault="009E1DDF" w:rsidP="009E1DDF">
            <w:pPr>
              <w:widowControl w:val="0"/>
              <w:tabs>
                <w:tab w:val="left" w:pos="622"/>
              </w:tabs>
              <w:jc w:val="both"/>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Pavadinimas</w:t>
            </w:r>
          </w:p>
        </w:tc>
        <w:tc>
          <w:tcPr>
            <w:tcW w:w="1808" w:type="dxa"/>
            <w:shd w:val="clear" w:color="auto" w:fill="EEECE1" w:themeFill="background2"/>
            <w:vAlign w:val="center"/>
          </w:tcPr>
          <w:p w:rsidR="009E1DDF" w:rsidRPr="002A49CA" w:rsidRDefault="009E1DDF" w:rsidP="009E1DDF">
            <w:pPr>
              <w:widowControl w:val="0"/>
              <w:tabs>
                <w:tab w:val="left" w:pos="622"/>
              </w:tabs>
              <w:jc w:val="center"/>
              <w:rPr>
                <w:rFonts w:ascii="Times New Roman" w:eastAsia="Calibri" w:hAnsi="Times New Roman" w:cs="Times New Roman"/>
                <w:b/>
                <w:bCs/>
                <w:iCs/>
                <w:sz w:val="18"/>
                <w:szCs w:val="18"/>
              </w:rPr>
            </w:pPr>
            <w:r w:rsidRPr="002A49CA">
              <w:rPr>
                <w:rFonts w:ascii="Times New Roman" w:eastAsia="Calibri" w:hAnsi="Times New Roman" w:cs="Times New Roman"/>
                <w:b/>
                <w:bCs/>
                <w:iCs/>
                <w:sz w:val="18"/>
                <w:szCs w:val="18"/>
              </w:rPr>
              <w:t>Finansinė proporcija (eurais)</w:t>
            </w:r>
          </w:p>
        </w:tc>
      </w:tr>
      <w:tr w:rsidR="001342AD" w:rsidRPr="002A49CA" w:rsidTr="00B37C68">
        <w:tc>
          <w:tcPr>
            <w:tcW w:w="851" w:type="dxa"/>
            <w:shd w:val="clear" w:color="auto" w:fill="auto"/>
            <w:vAlign w:val="center"/>
          </w:tcPr>
          <w:p w:rsidR="001342AD" w:rsidRPr="002A49CA" w:rsidRDefault="001342AD" w:rsidP="009E1DDF">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ESF</w:t>
            </w:r>
          </w:p>
        </w:tc>
        <w:tc>
          <w:tcPr>
            <w:tcW w:w="709" w:type="dxa"/>
            <w:shd w:val="clear" w:color="auto" w:fill="auto"/>
            <w:vAlign w:val="center"/>
          </w:tcPr>
          <w:p w:rsidR="001342AD" w:rsidRPr="002A49CA" w:rsidRDefault="001342AD" w:rsidP="009E1DDF">
            <w:pPr>
              <w:widowControl w:val="0"/>
              <w:tabs>
                <w:tab w:val="left" w:pos="622"/>
              </w:tabs>
              <w:rPr>
                <w:rFonts w:ascii="Times New Roman" w:eastAsia="AngsanaUPC" w:hAnsi="Times New Roman" w:cs="Times New Roman"/>
                <w:b/>
                <w:bCs/>
                <w:sz w:val="18"/>
                <w:szCs w:val="18"/>
                <w:lang w:eastAsia="lt-LT"/>
              </w:rPr>
            </w:pPr>
            <w:r w:rsidRPr="002A49CA">
              <w:rPr>
                <w:rFonts w:ascii="Times New Roman" w:eastAsia="AngsanaUPC" w:hAnsi="Times New Roman" w:cs="Times New Roman"/>
                <w:b/>
                <w:bCs/>
                <w:sz w:val="18"/>
                <w:szCs w:val="18"/>
                <w:lang w:eastAsia="lt-LT"/>
              </w:rPr>
              <w:t>07</w:t>
            </w:r>
          </w:p>
        </w:tc>
        <w:tc>
          <w:tcPr>
            <w:tcW w:w="6378" w:type="dxa"/>
            <w:shd w:val="clear" w:color="auto" w:fill="auto"/>
            <w:vAlign w:val="center"/>
          </w:tcPr>
          <w:p w:rsidR="001342AD" w:rsidRPr="002A49CA" w:rsidRDefault="001342AD" w:rsidP="009E1DDF">
            <w:pPr>
              <w:widowControl w:val="0"/>
              <w:tabs>
                <w:tab w:val="left" w:pos="622"/>
              </w:tabs>
              <w:jc w:val="both"/>
              <w:rPr>
                <w:rFonts w:ascii="Times New Roman" w:eastAsia="Calibri" w:hAnsi="Times New Roman" w:cs="Times New Roman"/>
                <w:b/>
                <w:bCs/>
                <w:iCs/>
                <w:sz w:val="18"/>
                <w:szCs w:val="18"/>
              </w:rPr>
            </w:pPr>
            <w:r w:rsidRPr="002A49CA">
              <w:rPr>
                <w:rFonts w:ascii="Times New Roman" w:eastAsia="AngsanaUPC" w:hAnsi="Times New Roman" w:cs="Times New Roman"/>
                <w:b/>
                <w:bCs/>
                <w:sz w:val="18"/>
                <w:szCs w:val="18"/>
                <w:lang w:eastAsia="lt-LT"/>
              </w:rPr>
              <w:t>Netaikoma</w:t>
            </w:r>
          </w:p>
        </w:tc>
        <w:tc>
          <w:tcPr>
            <w:tcW w:w="1808" w:type="dxa"/>
            <w:shd w:val="clear" w:color="auto" w:fill="auto"/>
            <w:vAlign w:val="center"/>
          </w:tcPr>
          <w:p w:rsidR="00BD54E0" w:rsidRPr="002A49CA" w:rsidRDefault="00957E31" w:rsidP="00957E31">
            <w:pPr>
              <w:widowControl w:val="0"/>
              <w:tabs>
                <w:tab w:val="left" w:pos="622"/>
              </w:tabs>
              <w:jc w:val="right"/>
              <w:rPr>
                <w:rFonts w:ascii="Times New Roman" w:eastAsia="AngsanaUPC" w:hAnsi="Times New Roman" w:cs="Times New Roman"/>
                <w:b/>
                <w:bCs/>
                <w:sz w:val="18"/>
                <w:szCs w:val="18"/>
                <w:lang w:eastAsia="lt-LT"/>
              </w:rPr>
            </w:pPr>
            <w:r>
              <w:rPr>
                <w:rFonts w:ascii="Times New Roman" w:eastAsia="AngsanaUPC" w:hAnsi="Times New Roman" w:cs="Times New Roman"/>
                <w:b/>
                <w:bCs/>
                <w:sz w:val="18"/>
                <w:szCs w:val="18"/>
                <w:lang w:eastAsia="lt-LT"/>
              </w:rPr>
              <w:t>46</w:t>
            </w:r>
            <w:r w:rsidR="003320E6">
              <w:rPr>
                <w:rFonts w:ascii="Times New Roman" w:eastAsia="AngsanaUPC" w:hAnsi="Times New Roman" w:cs="Times New Roman"/>
                <w:b/>
                <w:bCs/>
                <w:sz w:val="18"/>
                <w:szCs w:val="18"/>
                <w:lang w:eastAsia="lt-LT"/>
              </w:rPr>
              <w:t>.</w:t>
            </w:r>
            <w:r>
              <w:rPr>
                <w:rFonts w:ascii="Times New Roman" w:eastAsia="AngsanaUPC" w:hAnsi="Times New Roman" w:cs="Times New Roman"/>
                <w:b/>
                <w:bCs/>
                <w:sz w:val="18"/>
                <w:szCs w:val="18"/>
                <w:lang w:eastAsia="lt-LT"/>
              </w:rPr>
              <w:t>0</w:t>
            </w:r>
            <w:r w:rsidR="003320E6">
              <w:rPr>
                <w:rFonts w:ascii="Times New Roman" w:eastAsia="AngsanaUPC" w:hAnsi="Times New Roman" w:cs="Times New Roman"/>
                <w:b/>
                <w:bCs/>
                <w:sz w:val="18"/>
                <w:szCs w:val="18"/>
                <w:lang w:eastAsia="lt-LT"/>
              </w:rPr>
              <w:t>00.000</w:t>
            </w:r>
          </w:p>
        </w:tc>
      </w:tr>
    </w:tbl>
    <w:p w:rsidR="00CD033C" w:rsidRPr="002A49CA" w:rsidRDefault="00CD033C" w:rsidP="00E81571">
      <w:pPr>
        <w:widowControl w:val="0"/>
        <w:shd w:val="clear" w:color="auto" w:fill="FFFFFF"/>
        <w:jc w:val="both"/>
        <w:textAlignment w:val="baseline"/>
        <w:rPr>
          <w:rFonts w:ascii="Times New Roman" w:hAnsi="Times New Roman" w:cs="Times New Roman"/>
          <w:b/>
          <w:i/>
          <w:color w:val="000000"/>
          <w:sz w:val="18"/>
          <w:szCs w:val="18"/>
          <w:u w:val="single"/>
        </w:rPr>
      </w:pPr>
    </w:p>
    <w:p w:rsidR="00CD033C" w:rsidRPr="002A49CA" w:rsidRDefault="00CD033C" w:rsidP="00E81571">
      <w:pPr>
        <w:widowControl w:val="0"/>
        <w:shd w:val="clear" w:color="auto" w:fill="FFFFFF"/>
        <w:jc w:val="both"/>
        <w:textAlignment w:val="baseline"/>
        <w:rPr>
          <w:rFonts w:ascii="Times New Roman" w:hAnsi="Times New Roman" w:cs="Times New Roman"/>
          <w:b/>
          <w:i/>
          <w:color w:val="000000"/>
          <w:sz w:val="18"/>
          <w:szCs w:val="18"/>
          <w:u w:val="single"/>
        </w:rPr>
      </w:pPr>
    </w:p>
    <w:p w:rsidR="00CD033C" w:rsidRPr="00697AD2" w:rsidRDefault="00CD033C" w:rsidP="00FE02B7">
      <w:pPr>
        <w:widowControl w:val="0"/>
        <w:shd w:val="clear" w:color="auto" w:fill="FFFFFF"/>
        <w:spacing w:before="240" w:after="240"/>
        <w:jc w:val="both"/>
        <w:textAlignment w:val="baseline"/>
        <w:rPr>
          <w:rFonts w:ascii="Times New Roman" w:hAnsi="Times New Roman" w:cs="Times New Roman"/>
          <w:i/>
          <w:color w:val="000000"/>
          <w:sz w:val="24"/>
          <w:szCs w:val="24"/>
          <w:u w:val="single"/>
        </w:rPr>
      </w:pPr>
    </w:p>
    <w:p w:rsidR="009C4E7B" w:rsidRPr="00697AD2" w:rsidRDefault="009C4E7B" w:rsidP="009C4E7B">
      <w:pPr>
        <w:sectPr w:rsidR="009C4E7B" w:rsidRPr="00697AD2" w:rsidSect="00BB3B93">
          <w:pgSz w:w="11907" w:h="16839" w:code="9"/>
          <w:pgMar w:top="1134" w:right="567" w:bottom="1134" w:left="1134" w:header="561" w:footer="686" w:gutter="0"/>
          <w:cols w:space="1296"/>
          <w:formProt w:val="0"/>
          <w:titlePg/>
          <w:docGrid w:linePitch="326"/>
        </w:sectPr>
      </w:pPr>
    </w:p>
    <w:p w:rsidR="000E24D2" w:rsidRPr="00697AD2" w:rsidRDefault="00C52CE6" w:rsidP="000E24D2">
      <w:pPr>
        <w:spacing w:before="240" w:after="240"/>
        <w:rPr>
          <w:vanish/>
        </w:rPr>
      </w:pPr>
      <w:r>
        <w:rPr>
          <w:rFonts w:ascii="Times New Roman" w:hAnsi="Times New Roman" w:cs="Times New Roman"/>
          <w:i/>
          <w:sz w:val="24"/>
          <w:szCs w:val="24"/>
          <w:u w:val="single"/>
        </w:rPr>
        <w:lastRenderedPageBreak/>
        <w:t>13</w:t>
      </w:r>
      <w:r w:rsidR="00BA5DE1">
        <w:rPr>
          <w:rFonts w:ascii="Times New Roman" w:hAnsi="Times New Roman" w:cs="Times New Roman"/>
          <w:i/>
          <w:sz w:val="24"/>
          <w:szCs w:val="24"/>
          <w:u w:val="single"/>
        </w:rPr>
        <w:t xml:space="preserve">. </w:t>
      </w:r>
      <w:r w:rsidR="000E24D2" w:rsidRPr="00697AD2">
        <w:rPr>
          <w:rFonts w:ascii="Times New Roman" w:hAnsi="Times New Roman" w:cs="Times New Roman"/>
          <w:i/>
          <w:sz w:val="24"/>
          <w:szCs w:val="24"/>
          <w:u w:val="single"/>
        </w:rPr>
        <w:t xml:space="preserve">Pakeisti Veiksmų programos 3 skirsnio „Veiksmų programos finansavimo planas“ </w:t>
      </w:r>
      <w:r w:rsidR="000E24D2">
        <w:rPr>
          <w:rFonts w:ascii="Times New Roman" w:hAnsi="Times New Roman" w:cs="Times New Roman"/>
          <w:i/>
          <w:sz w:val="24"/>
          <w:szCs w:val="24"/>
          <w:u w:val="single"/>
        </w:rPr>
        <w:t>3</w:t>
      </w:r>
      <w:r w:rsidR="000E24D2" w:rsidRPr="00697AD2">
        <w:rPr>
          <w:rFonts w:ascii="Times New Roman" w:hAnsi="Times New Roman" w:cs="Times New Roman"/>
          <w:i/>
          <w:sz w:val="24"/>
          <w:szCs w:val="24"/>
          <w:u w:val="single"/>
        </w:rPr>
        <w:t xml:space="preserve"> lentelę „</w:t>
      </w:r>
      <w:r w:rsidR="000E24D2" w:rsidRPr="00BF1676">
        <w:rPr>
          <w:rFonts w:ascii="Times New Roman" w:hAnsi="Times New Roman" w:cs="Times New Roman"/>
          <w:i/>
          <w:sz w:val="24"/>
          <w:szCs w:val="24"/>
          <w:u w:val="single"/>
        </w:rPr>
        <w:t>Bendra finansinių asignavimų suma numatyta pagal kiekvieną fondą (eurais)</w:t>
      </w:r>
      <w:r w:rsidR="000E24D2" w:rsidRPr="00697AD2">
        <w:rPr>
          <w:rFonts w:ascii="Times New Roman" w:hAnsi="Times New Roman" w:cs="Times New Roman"/>
          <w:i/>
          <w:sz w:val="24"/>
          <w:szCs w:val="24"/>
          <w:u w:val="single"/>
        </w:rPr>
        <w:t>“ ir išdėstyti ją taip:</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395"/>
        <w:gridCol w:w="23"/>
        <w:gridCol w:w="1559"/>
        <w:gridCol w:w="1417"/>
        <w:gridCol w:w="85"/>
        <w:gridCol w:w="1616"/>
        <w:gridCol w:w="1418"/>
        <w:gridCol w:w="51"/>
        <w:gridCol w:w="1508"/>
        <w:gridCol w:w="1559"/>
        <w:gridCol w:w="17"/>
        <w:gridCol w:w="1543"/>
      </w:tblGrid>
      <w:tr w:rsidR="000E24D2" w:rsidRPr="00BF1676" w:rsidTr="00C32E92">
        <w:trPr>
          <w:trHeight w:val="315"/>
        </w:trPr>
        <w:tc>
          <w:tcPr>
            <w:tcW w:w="1384" w:type="dxa"/>
            <w:shd w:val="clear" w:color="auto" w:fill="EEECE1" w:themeFill="background2"/>
            <w:noWrap/>
            <w:vAlign w:val="center"/>
            <w:hideMark/>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Fondas</w:t>
            </w:r>
          </w:p>
        </w:tc>
        <w:tc>
          <w:tcPr>
            <w:tcW w:w="1134" w:type="dxa"/>
            <w:shd w:val="clear" w:color="auto" w:fill="EEECE1" w:themeFill="background2"/>
            <w:vAlign w:val="center"/>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Regiono kategorija</w:t>
            </w:r>
          </w:p>
        </w:tc>
        <w:tc>
          <w:tcPr>
            <w:tcW w:w="2977" w:type="dxa"/>
            <w:gridSpan w:val="3"/>
            <w:shd w:val="clear" w:color="auto" w:fill="EEECE1" w:themeFill="background2"/>
            <w:noWrap/>
            <w:vAlign w:val="center"/>
            <w:hideMark/>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2014</w:t>
            </w:r>
          </w:p>
        </w:tc>
        <w:tc>
          <w:tcPr>
            <w:tcW w:w="3118" w:type="dxa"/>
            <w:gridSpan w:val="3"/>
            <w:shd w:val="clear" w:color="auto" w:fill="EEECE1" w:themeFill="background2"/>
            <w:noWrap/>
            <w:vAlign w:val="center"/>
            <w:hideMark/>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2015</w:t>
            </w:r>
          </w:p>
        </w:tc>
        <w:tc>
          <w:tcPr>
            <w:tcW w:w="2977" w:type="dxa"/>
            <w:gridSpan w:val="3"/>
            <w:shd w:val="clear" w:color="auto" w:fill="EEECE1" w:themeFill="background2"/>
            <w:noWrap/>
            <w:vAlign w:val="center"/>
            <w:hideMark/>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2016</w:t>
            </w:r>
          </w:p>
        </w:tc>
        <w:tc>
          <w:tcPr>
            <w:tcW w:w="3119" w:type="dxa"/>
            <w:gridSpan w:val="3"/>
            <w:shd w:val="clear" w:color="auto" w:fill="EEECE1" w:themeFill="background2"/>
            <w:noWrap/>
            <w:vAlign w:val="center"/>
            <w:hideMark/>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2017</w:t>
            </w:r>
          </w:p>
        </w:tc>
      </w:tr>
      <w:tr w:rsidR="000E24D2" w:rsidRPr="00BF1676" w:rsidTr="000E24D2">
        <w:trPr>
          <w:trHeight w:val="300"/>
        </w:trPr>
        <w:tc>
          <w:tcPr>
            <w:tcW w:w="1384" w:type="dxa"/>
          </w:tcPr>
          <w:p w:rsidR="000E24D2" w:rsidRPr="00BF1676" w:rsidRDefault="000E24D2" w:rsidP="000E24D2">
            <w:pPr>
              <w:widowControl w:val="0"/>
              <w:tabs>
                <w:tab w:val="left" w:pos="622"/>
              </w:tabs>
              <w:jc w:val="both"/>
              <w:rPr>
                <w:rFonts w:ascii="Times New Roman" w:hAnsi="Times New Roman" w:cs="Times New Roman"/>
                <w:bCs/>
                <w:i/>
                <w:iCs/>
                <w:sz w:val="18"/>
                <w:szCs w:val="18"/>
                <w:lang w:eastAsia="lt-LT"/>
              </w:rPr>
            </w:pPr>
          </w:p>
        </w:tc>
        <w:tc>
          <w:tcPr>
            <w:tcW w:w="1134" w:type="dxa"/>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p>
        </w:tc>
        <w:tc>
          <w:tcPr>
            <w:tcW w:w="1395" w:type="dxa"/>
            <w:noWrap/>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Asignavimai be rezervo</w:t>
            </w:r>
          </w:p>
        </w:tc>
        <w:tc>
          <w:tcPr>
            <w:tcW w:w="1582" w:type="dxa"/>
            <w:gridSpan w:val="2"/>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Veiklos rezervas</w:t>
            </w:r>
          </w:p>
        </w:tc>
        <w:tc>
          <w:tcPr>
            <w:tcW w:w="1502" w:type="dxa"/>
            <w:gridSpan w:val="2"/>
            <w:noWrap/>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Asignavimai be rezervo</w:t>
            </w:r>
          </w:p>
        </w:tc>
        <w:tc>
          <w:tcPr>
            <w:tcW w:w="1616" w:type="dxa"/>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Veiklos rezervas</w:t>
            </w:r>
          </w:p>
        </w:tc>
        <w:tc>
          <w:tcPr>
            <w:tcW w:w="1469" w:type="dxa"/>
            <w:gridSpan w:val="2"/>
            <w:noWrap/>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Asignavimai be rezervo</w:t>
            </w:r>
          </w:p>
        </w:tc>
        <w:tc>
          <w:tcPr>
            <w:tcW w:w="1508" w:type="dxa"/>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Veiklos rezervas</w:t>
            </w:r>
          </w:p>
        </w:tc>
        <w:tc>
          <w:tcPr>
            <w:tcW w:w="1576" w:type="dxa"/>
            <w:gridSpan w:val="2"/>
            <w:noWrap/>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Asignavimai be rezervo</w:t>
            </w:r>
          </w:p>
        </w:tc>
        <w:tc>
          <w:tcPr>
            <w:tcW w:w="1543" w:type="dxa"/>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Veiklos rezervas</w:t>
            </w:r>
          </w:p>
        </w:tc>
      </w:tr>
      <w:tr w:rsidR="000E24D2" w:rsidRPr="00BF1676" w:rsidTr="000E24D2">
        <w:trPr>
          <w:trHeight w:val="300"/>
        </w:trPr>
        <w:tc>
          <w:tcPr>
            <w:tcW w:w="1384" w:type="dxa"/>
            <w:hideMark/>
          </w:tcPr>
          <w:p w:rsidR="000E24D2" w:rsidRPr="00BF1676" w:rsidRDefault="000E24D2" w:rsidP="000E24D2">
            <w:pPr>
              <w:widowControl w:val="0"/>
              <w:tabs>
                <w:tab w:val="left" w:pos="622"/>
              </w:tabs>
              <w:jc w:val="both"/>
              <w:rPr>
                <w:rFonts w:ascii="Times New Roman" w:hAnsi="Times New Roman" w:cs="Times New Roman"/>
                <w:b/>
                <w:bCs/>
                <w:i/>
                <w:iCs/>
                <w:sz w:val="18"/>
                <w:szCs w:val="18"/>
                <w:lang w:eastAsia="lt-LT"/>
              </w:rPr>
            </w:pPr>
            <w:r w:rsidRPr="00BF1676">
              <w:rPr>
                <w:rFonts w:ascii="Times New Roman" w:hAnsi="Times New Roman" w:cs="Times New Roman"/>
                <w:b/>
                <w:bCs/>
                <w:i/>
                <w:iCs/>
                <w:sz w:val="18"/>
                <w:szCs w:val="18"/>
                <w:lang w:eastAsia="lt-LT"/>
              </w:rPr>
              <w:t>ERPF</w:t>
            </w:r>
          </w:p>
        </w:tc>
        <w:tc>
          <w:tcPr>
            <w:tcW w:w="1134" w:type="dxa"/>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r w:rsidRPr="00BF1676">
              <w:rPr>
                <w:rFonts w:ascii="Times New Roman" w:hAnsi="Times New Roman" w:cs="Times New Roman"/>
                <w:bCs/>
                <w:sz w:val="18"/>
                <w:szCs w:val="18"/>
                <w:lang w:eastAsia="lt-LT"/>
              </w:rPr>
              <w:t>Mažiau išsivystęs</w:t>
            </w:r>
          </w:p>
        </w:tc>
        <w:tc>
          <w:tcPr>
            <w:tcW w:w="1395" w:type="dxa"/>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414.198.561</w:t>
            </w:r>
          </w:p>
        </w:tc>
        <w:tc>
          <w:tcPr>
            <w:tcW w:w="1582" w:type="dxa"/>
            <w:gridSpan w:val="2"/>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26.438.206</w:t>
            </w:r>
          </w:p>
        </w:tc>
        <w:tc>
          <w:tcPr>
            <w:tcW w:w="1502"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433.022.012</w:t>
            </w:r>
          </w:p>
        </w:tc>
        <w:tc>
          <w:tcPr>
            <w:tcW w:w="1616"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27.639.703</w:t>
            </w:r>
          </w:p>
        </w:tc>
        <w:tc>
          <w:tcPr>
            <w:tcW w:w="1469"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452.675.572</w:t>
            </w:r>
          </w:p>
        </w:tc>
        <w:tc>
          <w:tcPr>
            <w:tcW w:w="1508"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28.894.185</w:t>
            </w:r>
          </w:p>
        </w:tc>
        <w:tc>
          <w:tcPr>
            <w:tcW w:w="1576"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470.517.148</w:t>
            </w:r>
          </w:p>
        </w:tc>
        <w:tc>
          <w:tcPr>
            <w:tcW w:w="1543"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30.033.010</w:t>
            </w:r>
          </w:p>
        </w:tc>
      </w:tr>
      <w:tr w:rsidR="000E24D2" w:rsidRPr="00BF1676" w:rsidTr="000E24D2">
        <w:trPr>
          <w:trHeight w:val="300"/>
        </w:trPr>
        <w:tc>
          <w:tcPr>
            <w:tcW w:w="1384" w:type="dxa"/>
            <w:hideMark/>
          </w:tcPr>
          <w:p w:rsidR="000E24D2" w:rsidRPr="00BF1676" w:rsidRDefault="000E24D2" w:rsidP="000E24D2">
            <w:pPr>
              <w:widowControl w:val="0"/>
              <w:tabs>
                <w:tab w:val="left" w:pos="622"/>
              </w:tabs>
              <w:jc w:val="both"/>
              <w:rPr>
                <w:rFonts w:ascii="Times New Roman" w:hAnsi="Times New Roman" w:cs="Times New Roman"/>
                <w:b/>
                <w:bCs/>
                <w:i/>
                <w:iCs/>
                <w:sz w:val="18"/>
                <w:szCs w:val="18"/>
                <w:lang w:eastAsia="lt-LT"/>
              </w:rPr>
            </w:pPr>
            <w:r w:rsidRPr="00BF1676">
              <w:rPr>
                <w:rFonts w:ascii="Times New Roman" w:hAnsi="Times New Roman" w:cs="Times New Roman"/>
                <w:b/>
                <w:bCs/>
                <w:i/>
                <w:iCs/>
                <w:sz w:val="18"/>
                <w:szCs w:val="18"/>
                <w:lang w:eastAsia="lt-LT"/>
              </w:rPr>
              <w:t>ESF</w:t>
            </w:r>
          </w:p>
        </w:tc>
        <w:tc>
          <w:tcPr>
            <w:tcW w:w="1134" w:type="dxa"/>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r w:rsidRPr="00BF1676">
              <w:rPr>
                <w:rFonts w:ascii="Times New Roman" w:hAnsi="Times New Roman" w:cs="Times New Roman"/>
                <w:bCs/>
                <w:sz w:val="18"/>
                <w:szCs w:val="18"/>
                <w:lang w:eastAsia="lt-LT"/>
              </w:rPr>
              <w:t>Mažiau išsivystęs</w:t>
            </w:r>
          </w:p>
        </w:tc>
        <w:tc>
          <w:tcPr>
            <w:tcW w:w="1395" w:type="dxa"/>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134.423.094</w:t>
            </w:r>
          </w:p>
        </w:tc>
        <w:tc>
          <w:tcPr>
            <w:tcW w:w="1582" w:type="dxa"/>
            <w:gridSpan w:val="2"/>
            <w:vAlign w:val="center"/>
          </w:tcPr>
          <w:p w:rsidR="002E70FD" w:rsidRPr="00EE75F8" w:rsidRDefault="002E70FD" w:rsidP="000E24D2">
            <w:pPr>
              <w:jc w:val="center"/>
              <w:rPr>
                <w:rFonts w:ascii="Times New Roman" w:hAnsi="Times New Roman" w:cs="Times New Roman"/>
                <w:sz w:val="18"/>
                <w:szCs w:val="18"/>
              </w:rPr>
            </w:pPr>
            <w:r w:rsidRPr="00EE75F8">
              <w:rPr>
                <w:rFonts w:ascii="Times New Roman" w:hAnsi="Times New Roman" w:cs="Times New Roman"/>
                <w:sz w:val="18"/>
                <w:szCs w:val="18"/>
              </w:rPr>
              <w:t>7.440.490</w:t>
            </w:r>
          </w:p>
        </w:tc>
        <w:tc>
          <w:tcPr>
            <w:tcW w:w="1502"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140.247.637</w:t>
            </w:r>
          </w:p>
        </w:tc>
        <w:tc>
          <w:tcPr>
            <w:tcW w:w="1616"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8.063.005</w:t>
            </w:r>
          </w:p>
        </w:tc>
        <w:tc>
          <w:tcPr>
            <w:tcW w:w="1469"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145.739.493</w:t>
            </w:r>
          </w:p>
        </w:tc>
        <w:tc>
          <w:tcPr>
            <w:tcW w:w="1508"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9.302.521</w:t>
            </w:r>
          </w:p>
        </w:tc>
        <w:tc>
          <w:tcPr>
            <w:tcW w:w="1576"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151.483.611</w:t>
            </w:r>
          </w:p>
        </w:tc>
        <w:tc>
          <w:tcPr>
            <w:tcW w:w="1543"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9.669.167</w:t>
            </w:r>
          </w:p>
        </w:tc>
      </w:tr>
      <w:tr w:rsidR="000E24D2" w:rsidRPr="00BF1676" w:rsidTr="000E24D2">
        <w:trPr>
          <w:trHeight w:val="300"/>
        </w:trPr>
        <w:tc>
          <w:tcPr>
            <w:tcW w:w="1384" w:type="dxa"/>
          </w:tcPr>
          <w:p w:rsidR="000E24D2" w:rsidRPr="00BF1676" w:rsidRDefault="000E24D2" w:rsidP="000E24D2">
            <w:pPr>
              <w:widowControl w:val="0"/>
              <w:tabs>
                <w:tab w:val="left" w:pos="622"/>
              </w:tabs>
              <w:jc w:val="both"/>
              <w:rPr>
                <w:rFonts w:ascii="Times New Roman" w:hAnsi="Times New Roman" w:cs="Times New Roman"/>
                <w:b/>
                <w:bCs/>
                <w:i/>
                <w:iCs/>
                <w:sz w:val="18"/>
                <w:szCs w:val="18"/>
                <w:lang w:eastAsia="lt-LT"/>
              </w:rPr>
            </w:pPr>
            <w:r w:rsidRPr="00BF1676">
              <w:rPr>
                <w:rFonts w:ascii="Times New Roman" w:hAnsi="Times New Roman" w:cs="Times New Roman"/>
                <w:b/>
                <w:bCs/>
                <w:i/>
                <w:iCs/>
                <w:sz w:val="18"/>
                <w:szCs w:val="18"/>
                <w:lang w:eastAsia="lt-LT"/>
              </w:rPr>
              <w:t>JUI</w:t>
            </w:r>
            <w:r w:rsidRPr="00BF1676">
              <w:rPr>
                <w:rFonts w:ascii="Times New Roman" w:hAnsi="Times New Roman" w:cs="Times New Roman"/>
                <w:b/>
                <w:bCs/>
                <w:color w:val="000000"/>
                <w:sz w:val="18"/>
                <w:szCs w:val="18"/>
                <w:lang w:eastAsia="lt-LT"/>
              </w:rPr>
              <w:t xml:space="preserve"> (</w:t>
            </w:r>
            <w:r w:rsidRPr="00BF1676">
              <w:rPr>
                <w:rFonts w:ascii="Times New Roman" w:hAnsi="Times New Roman" w:cs="Times New Roman"/>
                <w:b/>
                <w:bCs/>
                <w:iCs/>
                <w:sz w:val="18"/>
                <w:szCs w:val="18"/>
                <w:lang w:eastAsia="lt-LT"/>
              </w:rPr>
              <w:t>specialūs asignavimai)</w:t>
            </w:r>
          </w:p>
        </w:tc>
        <w:tc>
          <w:tcPr>
            <w:tcW w:w="1134" w:type="dxa"/>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r w:rsidRPr="00BF1676">
              <w:rPr>
                <w:rFonts w:ascii="Times New Roman" w:hAnsi="Times New Roman" w:cs="Times New Roman"/>
                <w:bCs/>
                <w:sz w:val="18"/>
                <w:szCs w:val="18"/>
                <w:lang w:eastAsia="lt-LT"/>
              </w:rPr>
              <w:t>Netaikoma</w:t>
            </w:r>
          </w:p>
        </w:tc>
        <w:tc>
          <w:tcPr>
            <w:tcW w:w="1395" w:type="dxa"/>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17.855.411</w:t>
            </w:r>
          </w:p>
        </w:tc>
        <w:tc>
          <w:tcPr>
            <w:tcW w:w="1582" w:type="dxa"/>
            <w:gridSpan w:val="2"/>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0</w:t>
            </w:r>
          </w:p>
        </w:tc>
        <w:tc>
          <w:tcPr>
            <w:tcW w:w="1502"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13.927.222</w:t>
            </w:r>
          </w:p>
        </w:tc>
        <w:tc>
          <w:tcPr>
            <w:tcW w:w="1616"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0</w:t>
            </w:r>
          </w:p>
        </w:tc>
        <w:tc>
          <w:tcPr>
            <w:tcW w:w="1469"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0</w:t>
            </w:r>
          </w:p>
        </w:tc>
        <w:tc>
          <w:tcPr>
            <w:tcW w:w="1508" w:type="dxa"/>
            <w:vAlign w:val="center"/>
          </w:tcPr>
          <w:p w:rsidR="000E24D2" w:rsidRPr="00BF1676" w:rsidRDefault="000E24D2" w:rsidP="000E24D2">
            <w:pPr>
              <w:jc w:val="center"/>
              <w:rPr>
                <w:rFonts w:ascii="Times New Roman" w:hAnsi="Times New Roman" w:cs="Times New Roman"/>
                <w:color w:val="000000"/>
                <w:sz w:val="18"/>
                <w:szCs w:val="18"/>
                <w:lang w:eastAsia="lt-LT"/>
              </w:rPr>
            </w:pPr>
          </w:p>
        </w:tc>
        <w:tc>
          <w:tcPr>
            <w:tcW w:w="1576"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0</w:t>
            </w:r>
          </w:p>
        </w:tc>
        <w:tc>
          <w:tcPr>
            <w:tcW w:w="1543" w:type="dxa"/>
            <w:vAlign w:val="center"/>
          </w:tcPr>
          <w:p w:rsidR="000E24D2" w:rsidRPr="00BF1676" w:rsidRDefault="000E24D2" w:rsidP="000E24D2">
            <w:pPr>
              <w:jc w:val="center"/>
              <w:rPr>
                <w:rFonts w:ascii="Times New Roman" w:hAnsi="Times New Roman" w:cs="Times New Roman"/>
                <w:color w:val="000000"/>
                <w:sz w:val="18"/>
                <w:szCs w:val="18"/>
                <w:lang w:eastAsia="lt-LT"/>
              </w:rPr>
            </w:pPr>
          </w:p>
        </w:tc>
      </w:tr>
      <w:tr w:rsidR="000E24D2" w:rsidRPr="00BF1676" w:rsidTr="000E24D2">
        <w:trPr>
          <w:trHeight w:val="300"/>
        </w:trPr>
        <w:tc>
          <w:tcPr>
            <w:tcW w:w="1384" w:type="dxa"/>
            <w:hideMark/>
          </w:tcPr>
          <w:p w:rsidR="000E24D2" w:rsidRPr="00BF1676" w:rsidRDefault="000E24D2" w:rsidP="000E24D2">
            <w:pPr>
              <w:widowControl w:val="0"/>
              <w:tabs>
                <w:tab w:val="left" w:pos="622"/>
              </w:tabs>
              <w:jc w:val="both"/>
              <w:rPr>
                <w:rFonts w:ascii="Times New Roman" w:hAnsi="Times New Roman" w:cs="Times New Roman"/>
                <w:b/>
                <w:bCs/>
                <w:i/>
                <w:sz w:val="18"/>
                <w:szCs w:val="18"/>
                <w:lang w:eastAsia="lt-LT"/>
              </w:rPr>
            </w:pPr>
            <w:proofErr w:type="spellStart"/>
            <w:r w:rsidRPr="00BF1676">
              <w:rPr>
                <w:rFonts w:ascii="Times New Roman" w:hAnsi="Times New Roman" w:cs="Times New Roman"/>
                <w:b/>
                <w:bCs/>
                <w:i/>
                <w:iCs/>
                <w:sz w:val="18"/>
                <w:szCs w:val="18"/>
                <w:lang w:eastAsia="lt-LT"/>
              </w:rPr>
              <w:t>SaF</w:t>
            </w:r>
            <w:proofErr w:type="spellEnd"/>
          </w:p>
        </w:tc>
        <w:tc>
          <w:tcPr>
            <w:tcW w:w="1134" w:type="dxa"/>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r w:rsidRPr="00BF1676">
              <w:rPr>
                <w:rFonts w:ascii="Times New Roman" w:hAnsi="Times New Roman" w:cs="Times New Roman"/>
                <w:bCs/>
                <w:sz w:val="18"/>
                <w:szCs w:val="18"/>
                <w:lang w:eastAsia="lt-LT"/>
              </w:rPr>
              <w:t>Netaikoma</w:t>
            </w:r>
          </w:p>
        </w:tc>
        <w:tc>
          <w:tcPr>
            <w:tcW w:w="1395" w:type="dxa"/>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241.229.143</w:t>
            </w:r>
          </w:p>
        </w:tc>
        <w:tc>
          <w:tcPr>
            <w:tcW w:w="1582" w:type="dxa"/>
            <w:gridSpan w:val="2"/>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15.397.605</w:t>
            </w:r>
          </w:p>
        </w:tc>
        <w:tc>
          <w:tcPr>
            <w:tcW w:w="1502"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252.993.465</w:t>
            </w:r>
          </w:p>
        </w:tc>
        <w:tc>
          <w:tcPr>
            <w:tcW w:w="1616"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16.148.519</w:t>
            </w:r>
          </w:p>
        </w:tc>
        <w:tc>
          <w:tcPr>
            <w:tcW w:w="1469"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265.199.897</w:t>
            </w:r>
          </w:p>
        </w:tc>
        <w:tc>
          <w:tcPr>
            <w:tcW w:w="1508"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16.927.653</w:t>
            </w:r>
          </w:p>
        </w:tc>
        <w:tc>
          <w:tcPr>
            <w:tcW w:w="1576"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275.894.142</w:t>
            </w:r>
          </w:p>
        </w:tc>
        <w:tc>
          <w:tcPr>
            <w:tcW w:w="1543"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17.610.265</w:t>
            </w:r>
          </w:p>
        </w:tc>
      </w:tr>
      <w:tr w:rsidR="000E24D2" w:rsidRPr="00BF1676" w:rsidTr="000E24D2">
        <w:trPr>
          <w:trHeight w:val="300"/>
        </w:trPr>
        <w:tc>
          <w:tcPr>
            <w:tcW w:w="1384" w:type="dxa"/>
            <w:hideMark/>
          </w:tcPr>
          <w:p w:rsidR="000E24D2" w:rsidRPr="00BF1676" w:rsidRDefault="000E24D2" w:rsidP="000E24D2">
            <w:pPr>
              <w:widowControl w:val="0"/>
              <w:tabs>
                <w:tab w:val="left" w:pos="622"/>
              </w:tabs>
              <w:jc w:val="both"/>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Iš viso</w:t>
            </w:r>
          </w:p>
        </w:tc>
        <w:tc>
          <w:tcPr>
            <w:tcW w:w="1134" w:type="dxa"/>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p>
        </w:tc>
        <w:tc>
          <w:tcPr>
            <w:tcW w:w="1395" w:type="dxa"/>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807.706.209</w:t>
            </w:r>
          </w:p>
        </w:tc>
        <w:tc>
          <w:tcPr>
            <w:tcW w:w="1582" w:type="dxa"/>
            <w:gridSpan w:val="2"/>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49.276.301</w:t>
            </w:r>
          </w:p>
        </w:tc>
        <w:tc>
          <w:tcPr>
            <w:tcW w:w="1502"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840.190.336</w:t>
            </w:r>
          </w:p>
        </w:tc>
        <w:tc>
          <w:tcPr>
            <w:tcW w:w="1616"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51.851.227</w:t>
            </w:r>
          </w:p>
        </w:tc>
        <w:tc>
          <w:tcPr>
            <w:tcW w:w="1469"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863.614.962</w:t>
            </w:r>
          </w:p>
        </w:tc>
        <w:tc>
          <w:tcPr>
            <w:tcW w:w="1508" w:type="dxa"/>
            <w:vAlign w:val="center"/>
          </w:tcPr>
          <w:p w:rsidR="000E24D2" w:rsidRPr="00BF1676" w:rsidRDefault="000E24D2" w:rsidP="000E24D2">
            <w:pPr>
              <w:jc w:val="center"/>
              <w:rPr>
                <w:rFonts w:ascii="Times New Roman" w:hAnsi="Times New Roman" w:cs="Times New Roman"/>
                <w:color w:val="000000"/>
                <w:sz w:val="18"/>
                <w:szCs w:val="18"/>
                <w:lang w:eastAsia="lt-LT"/>
              </w:rPr>
            </w:pPr>
            <w:r w:rsidRPr="00BF1676">
              <w:rPr>
                <w:rFonts w:ascii="Times New Roman" w:hAnsi="Times New Roman" w:cs="Times New Roman"/>
                <w:color w:val="000000"/>
                <w:sz w:val="18"/>
                <w:szCs w:val="18"/>
                <w:lang w:eastAsia="lt-LT"/>
              </w:rPr>
              <w:t>55.124.359</w:t>
            </w:r>
          </w:p>
        </w:tc>
        <w:tc>
          <w:tcPr>
            <w:tcW w:w="1576"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897.894.901</w:t>
            </w:r>
          </w:p>
        </w:tc>
        <w:tc>
          <w:tcPr>
            <w:tcW w:w="1543" w:type="dxa"/>
            <w:vAlign w:val="center"/>
          </w:tcPr>
          <w:p w:rsidR="000E24D2" w:rsidRPr="00BF1676" w:rsidRDefault="000E24D2" w:rsidP="000E24D2">
            <w:pPr>
              <w:jc w:val="center"/>
              <w:rPr>
                <w:rFonts w:ascii="Times New Roman" w:hAnsi="Times New Roman" w:cs="Times New Roman"/>
                <w:color w:val="000000"/>
                <w:sz w:val="18"/>
                <w:szCs w:val="18"/>
                <w:lang w:eastAsia="lt-LT"/>
              </w:rPr>
            </w:pPr>
            <w:r w:rsidRPr="00BF1676">
              <w:rPr>
                <w:rFonts w:ascii="Times New Roman" w:hAnsi="Times New Roman" w:cs="Times New Roman"/>
                <w:color w:val="000000"/>
                <w:sz w:val="18"/>
                <w:szCs w:val="18"/>
                <w:lang w:eastAsia="lt-LT"/>
              </w:rPr>
              <w:t>57.312.442</w:t>
            </w:r>
          </w:p>
        </w:tc>
      </w:tr>
      <w:tr w:rsidR="000E24D2" w:rsidRPr="00BF1676" w:rsidTr="00C32E92">
        <w:trPr>
          <w:trHeight w:val="315"/>
        </w:trPr>
        <w:tc>
          <w:tcPr>
            <w:tcW w:w="1384" w:type="dxa"/>
            <w:shd w:val="clear" w:color="auto" w:fill="EEECE1" w:themeFill="background2"/>
            <w:noWrap/>
            <w:vAlign w:val="center"/>
            <w:hideMark/>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Fondas</w:t>
            </w:r>
          </w:p>
        </w:tc>
        <w:tc>
          <w:tcPr>
            <w:tcW w:w="1134" w:type="dxa"/>
            <w:shd w:val="clear" w:color="auto" w:fill="EEECE1" w:themeFill="background2"/>
            <w:vAlign w:val="center"/>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Regiono kategorija</w:t>
            </w:r>
          </w:p>
        </w:tc>
        <w:tc>
          <w:tcPr>
            <w:tcW w:w="2977" w:type="dxa"/>
            <w:gridSpan w:val="3"/>
            <w:shd w:val="clear" w:color="auto" w:fill="EEECE1" w:themeFill="background2"/>
            <w:noWrap/>
            <w:vAlign w:val="center"/>
            <w:hideMark/>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2018</w:t>
            </w:r>
          </w:p>
        </w:tc>
        <w:tc>
          <w:tcPr>
            <w:tcW w:w="3118" w:type="dxa"/>
            <w:gridSpan w:val="3"/>
            <w:shd w:val="clear" w:color="auto" w:fill="EEECE1" w:themeFill="background2"/>
            <w:noWrap/>
            <w:vAlign w:val="center"/>
            <w:hideMark/>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2019</w:t>
            </w:r>
          </w:p>
        </w:tc>
        <w:tc>
          <w:tcPr>
            <w:tcW w:w="2977" w:type="dxa"/>
            <w:gridSpan w:val="3"/>
            <w:shd w:val="clear" w:color="auto" w:fill="EEECE1" w:themeFill="background2"/>
            <w:noWrap/>
            <w:vAlign w:val="center"/>
            <w:hideMark/>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2020</w:t>
            </w:r>
          </w:p>
        </w:tc>
        <w:tc>
          <w:tcPr>
            <w:tcW w:w="3119" w:type="dxa"/>
            <w:gridSpan w:val="3"/>
            <w:shd w:val="clear" w:color="auto" w:fill="EEECE1" w:themeFill="background2"/>
            <w:noWrap/>
            <w:vAlign w:val="center"/>
            <w:hideMark/>
          </w:tcPr>
          <w:p w:rsidR="000E24D2" w:rsidRPr="00BF1676" w:rsidRDefault="000E24D2" w:rsidP="000E24D2">
            <w:pPr>
              <w:widowControl w:val="0"/>
              <w:tabs>
                <w:tab w:val="left" w:pos="622"/>
              </w:tabs>
              <w:jc w:val="center"/>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Iš viso</w:t>
            </w:r>
          </w:p>
        </w:tc>
      </w:tr>
      <w:tr w:rsidR="000E24D2" w:rsidRPr="00BF1676" w:rsidTr="000E24D2">
        <w:trPr>
          <w:trHeight w:val="300"/>
        </w:trPr>
        <w:tc>
          <w:tcPr>
            <w:tcW w:w="1384" w:type="dxa"/>
          </w:tcPr>
          <w:p w:rsidR="000E24D2" w:rsidRPr="00BF1676" w:rsidRDefault="000E24D2" w:rsidP="000E24D2">
            <w:pPr>
              <w:widowControl w:val="0"/>
              <w:tabs>
                <w:tab w:val="left" w:pos="622"/>
              </w:tabs>
              <w:jc w:val="both"/>
              <w:rPr>
                <w:rFonts w:ascii="Times New Roman" w:hAnsi="Times New Roman" w:cs="Times New Roman"/>
                <w:bCs/>
                <w:i/>
                <w:iCs/>
                <w:sz w:val="18"/>
                <w:szCs w:val="18"/>
                <w:lang w:eastAsia="lt-LT"/>
              </w:rPr>
            </w:pPr>
          </w:p>
        </w:tc>
        <w:tc>
          <w:tcPr>
            <w:tcW w:w="1134" w:type="dxa"/>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p>
        </w:tc>
        <w:tc>
          <w:tcPr>
            <w:tcW w:w="1418" w:type="dxa"/>
            <w:gridSpan w:val="2"/>
            <w:noWrap/>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Asignavimai be rezervo</w:t>
            </w:r>
          </w:p>
        </w:tc>
        <w:tc>
          <w:tcPr>
            <w:tcW w:w="1559" w:type="dxa"/>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Veiklos rezervas</w:t>
            </w:r>
          </w:p>
        </w:tc>
        <w:tc>
          <w:tcPr>
            <w:tcW w:w="1417" w:type="dxa"/>
            <w:noWrap/>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Asignavimai be rezervo</w:t>
            </w:r>
          </w:p>
        </w:tc>
        <w:tc>
          <w:tcPr>
            <w:tcW w:w="1701" w:type="dxa"/>
            <w:gridSpan w:val="2"/>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Veiklos rezervas</w:t>
            </w:r>
          </w:p>
        </w:tc>
        <w:tc>
          <w:tcPr>
            <w:tcW w:w="1418" w:type="dxa"/>
            <w:noWrap/>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Asignavimai be rezervo</w:t>
            </w:r>
          </w:p>
        </w:tc>
        <w:tc>
          <w:tcPr>
            <w:tcW w:w="1559" w:type="dxa"/>
            <w:gridSpan w:val="2"/>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Veiklos rezervas</w:t>
            </w:r>
          </w:p>
        </w:tc>
        <w:tc>
          <w:tcPr>
            <w:tcW w:w="1559" w:type="dxa"/>
            <w:noWrap/>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Asignavimai be rezervo</w:t>
            </w:r>
          </w:p>
        </w:tc>
        <w:tc>
          <w:tcPr>
            <w:tcW w:w="1560" w:type="dxa"/>
            <w:gridSpan w:val="2"/>
            <w:vAlign w:val="center"/>
          </w:tcPr>
          <w:p w:rsidR="000E24D2" w:rsidRPr="00BF1676" w:rsidRDefault="000E24D2" w:rsidP="000E24D2">
            <w:pPr>
              <w:jc w:val="center"/>
              <w:rPr>
                <w:rFonts w:ascii="Times New Roman" w:hAnsi="Times New Roman" w:cs="Times New Roman"/>
                <w:bCs/>
                <w:color w:val="000000"/>
                <w:sz w:val="18"/>
                <w:szCs w:val="18"/>
                <w:lang w:eastAsia="lt-LT"/>
              </w:rPr>
            </w:pPr>
            <w:r w:rsidRPr="00BF1676">
              <w:rPr>
                <w:rFonts w:ascii="Times New Roman" w:hAnsi="Times New Roman" w:cs="Times New Roman"/>
                <w:bCs/>
                <w:color w:val="000000"/>
                <w:sz w:val="18"/>
                <w:szCs w:val="18"/>
                <w:lang w:eastAsia="lt-LT"/>
              </w:rPr>
              <w:t>Veiklos rezervas</w:t>
            </w:r>
          </w:p>
        </w:tc>
      </w:tr>
      <w:tr w:rsidR="000E24D2" w:rsidRPr="00BF1676" w:rsidTr="000E24D2">
        <w:trPr>
          <w:trHeight w:val="300"/>
        </w:trPr>
        <w:tc>
          <w:tcPr>
            <w:tcW w:w="1384" w:type="dxa"/>
            <w:hideMark/>
          </w:tcPr>
          <w:p w:rsidR="000E24D2" w:rsidRPr="00BF1676" w:rsidRDefault="000E24D2" w:rsidP="000E24D2">
            <w:pPr>
              <w:widowControl w:val="0"/>
              <w:tabs>
                <w:tab w:val="left" w:pos="622"/>
              </w:tabs>
              <w:jc w:val="both"/>
              <w:rPr>
                <w:rFonts w:ascii="Times New Roman" w:hAnsi="Times New Roman" w:cs="Times New Roman"/>
                <w:b/>
                <w:bCs/>
                <w:i/>
                <w:iCs/>
                <w:sz w:val="18"/>
                <w:szCs w:val="18"/>
                <w:lang w:eastAsia="lt-LT"/>
              </w:rPr>
            </w:pPr>
            <w:r w:rsidRPr="00BF1676">
              <w:rPr>
                <w:rFonts w:ascii="Times New Roman" w:hAnsi="Times New Roman" w:cs="Times New Roman"/>
                <w:b/>
                <w:bCs/>
                <w:i/>
                <w:iCs/>
                <w:sz w:val="18"/>
                <w:szCs w:val="18"/>
                <w:lang w:eastAsia="lt-LT"/>
              </w:rPr>
              <w:t>ERPF</w:t>
            </w:r>
          </w:p>
        </w:tc>
        <w:tc>
          <w:tcPr>
            <w:tcW w:w="1134" w:type="dxa"/>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r w:rsidRPr="00BF1676">
              <w:rPr>
                <w:rFonts w:ascii="Times New Roman" w:hAnsi="Times New Roman" w:cs="Times New Roman"/>
                <w:bCs/>
                <w:sz w:val="18"/>
                <w:szCs w:val="18"/>
                <w:lang w:eastAsia="lt-LT"/>
              </w:rPr>
              <w:t>Mažiau išsivystęs</w:t>
            </w:r>
          </w:p>
        </w:tc>
        <w:tc>
          <w:tcPr>
            <w:tcW w:w="1418"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488.602.525</w:t>
            </w:r>
          </w:p>
        </w:tc>
        <w:tc>
          <w:tcPr>
            <w:tcW w:w="1559"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31.187.395</w:t>
            </w:r>
          </w:p>
        </w:tc>
        <w:tc>
          <w:tcPr>
            <w:tcW w:w="1417" w:type="dxa"/>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506.907.105</w:t>
            </w:r>
          </w:p>
        </w:tc>
        <w:tc>
          <w:tcPr>
            <w:tcW w:w="1701" w:type="dxa"/>
            <w:gridSpan w:val="2"/>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32.355.773</w:t>
            </w:r>
          </w:p>
        </w:tc>
        <w:tc>
          <w:tcPr>
            <w:tcW w:w="1418" w:type="dxa"/>
            <w:noWrap/>
            <w:vAlign w:val="center"/>
          </w:tcPr>
          <w:p w:rsidR="000E24D2" w:rsidRPr="00316C1B" w:rsidRDefault="000E24D2" w:rsidP="000E24D2">
            <w:pPr>
              <w:jc w:val="center"/>
              <w:rPr>
                <w:rFonts w:ascii="Times New Roman" w:hAnsi="Times New Roman" w:cs="Times New Roman"/>
                <w:strike/>
                <w:sz w:val="18"/>
                <w:szCs w:val="18"/>
              </w:rPr>
            </w:pPr>
            <w:r w:rsidRPr="00316C1B">
              <w:rPr>
                <w:rFonts w:ascii="Times New Roman" w:hAnsi="Times New Roman" w:cs="Times New Roman"/>
                <w:strike/>
                <w:sz w:val="18"/>
                <w:szCs w:val="18"/>
              </w:rPr>
              <w:t>435.390.412</w:t>
            </w:r>
          </w:p>
          <w:p w:rsidR="00186E1A" w:rsidRPr="00316C1B" w:rsidRDefault="00186E1A" w:rsidP="000E24D2">
            <w:pPr>
              <w:jc w:val="center"/>
              <w:rPr>
                <w:rFonts w:ascii="Times New Roman" w:hAnsi="Times New Roman" w:cs="Times New Roman"/>
                <w:b/>
                <w:sz w:val="18"/>
                <w:szCs w:val="18"/>
              </w:rPr>
            </w:pPr>
            <w:r>
              <w:rPr>
                <w:rFonts w:ascii="Times New Roman" w:hAnsi="Times New Roman" w:cs="Times New Roman"/>
                <w:b/>
                <w:sz w:val="18"/>
                <w:szCs w:val="18"/>
              </w:rPr>
              <w:t>711.750.412</w:t>
            </w:r>
          </w:p>
        </w:tc>
        <w:tc>
          <w:tcPr>
            <w:tcW w:w="1559" w:type="dxa"/>
            <w:gridSpan w:val="2"/>
            <w:vAlign w:val="center"/>
          </w:tcPr>
          <w:p w:rsidR="000E24D2" w:rsidRPr="00316C1B" w:rsidRDefault="000E24D2" w:rsidP="000E24D2">
            <w:pPr>
              <w:jc w:val="center"/>
              <w:rPr>
                <w:rFonts w:ascii="Times New Roman" w:hAnsi="Times New Roman" w:cs="Times New Roman"/>
                <w:strike/>
                <w:sz w:val="18"/>
                <w:szCs w:val="18"/>
              </w:rPr>
            </w:pPr>
            <w:r w:rsidRPr="00316C1B">
              <w:rPr>
                <w:rFonts w:ascii="Times New Roman" w:hAnsi="Times New Roman" w:cs="Times New Roman"/>
                <w:strike/>
                <w:sz w:val="18"/>
                <w:szCs w:val="18"/>
              </w:rPr>
              <w:t>27.790.877</w:t>
            </w:r>
          </w:p>
          <w:p w:rsidR="00186E1A" w:rsidRPr="00316C1B" w:rsidRDefault="00186E1A" w:rsidP="000E24D2">
            <w:pPr>
              <w:jc w:val="center"/>
              <w:rPr>
                <w:rFonts w:ascii="Times New Roman" w:hAnsi="Times New Roman" w:cs="Times New Roman"/>
                <w:b/>
                <w:sz w:val="18"/>
                <w:szCs w:val="18"/>
              </w:rPr>
            </w:pPr>
            <w:r>
              <w:rPr>
                <w:rFonts w:ascii="Times New Roman" w:hAnsi="Times New Roman" w:cs="Times New Roman"/>
                <w:b/>
                <w:sz w:val="18"/>
                <w:szCs w:val="18"/>
              </w:rPr>
              <w:t>45.430.877</w:t>
            </w:r>
          </w:p>
        </w:tc>
        <w:tc>
          <w:tcPr>
            <w:tcW w:w="1559" w:type="dxa"/>
            <w:noWrap/>
            <w:vAlign w:val="center"/>
          </w:tcPr>
          <w:p w:rsidR="000E24D2" w:rsidRPr="00316C1B" w:rsidRDefault="00FE3814" w:rsidP="000E24D2">
            <w:pPr>
              <w:jc w:val="center"/>
              <w:rPr>
                <w:rFonts w:ascii="Times New Roman" w:hAnsi="Times New Roman" w:cs="Times New Roman"/>
                <w:strike/>
                <w:sz w:val="18"/>
                <w:szCs w:val="18"/>
              </w:rPr>
            </w:pPr>
            <w:r w:rsidRPr="00316C1B">
              <w:rPr>
                <w:rFonts w:ascii="Times New Roman" w:hAnsi="Times New Roman" w:cs="Times New Roman"/>
                <w:strike/>
                <w:sz w:val="18"/>
                <w:szCs w:val="18"/>
              </w:rPr>
              <w:t>3.201.313.</w:t>
            </w:r>
            <w:r w:rsidR="000E24D2" w:rsidRPr="00316C1B">
              <w:rPr>
                <w:rFonts w:ascii="Times New Roman" w:hAnsi="Times New Roman" w:cs="Times New Roman"/>
                <w:strike/>
                <w:sz w:val="18"/>
                <w:szCs w:val="18"/>
              </w:rPr>
              <w:t>335</w:t>
            </w:r>
          </w:p>
          <w:p w:rsidR="00186E1A" w:rsidRPr="00316C1B" w:rsidRDefault="00186E1A" w:rsidP="000E24D2">
            <w:pPr>
              <w:jc w:val="center"/>
              <w:rPr>
                <w:rFonts w:ascii="Times New Roman" w:hAnsi="Times New Roman" w:cs="Times New Roman"/>
                <w:b/>
                <w:sz w:val="18"/>
                <w:szCs w:val="18"/>
              </w:rPr>
            </w:pPr>
            <w:r>
              <w:rPr>
                <w:rFonts w:ascii="Times New Roman" w:hAnsi="Times New Roman" w:cs="Times New Roman"/>
                <w:b/>
                <w:sz w:val="18"/>
                <w:szCs w:val="18"/>
              </w:rPr>
              <w:t>3.477.673.335</w:t>
            </w:r>
          </w:p>
        </w:tc>
        <w:tc>
          <w:tcPr>
            <w:tcW w:w="1560" w:type="dxa"/>
            <w:gridSpan w:val="2"/>
            <w:vAlign w:val="center"/>
          </w:tcPr>
          <w:p w:rsidR="000E24D2" w:rsidRPr="00316C1B" w:rsidRDefault="00FE3814" w:rsidP="000E24D2">
            <w:pPr>
              <w:jc w:val="center"/>
              <w:rPr>
                <w:rFonts w:ascii="Times New Roman" w:hAnsi="Times New Roman" w:cs="Times New Roman"/>
                <w:strike/>
                <w:sz w:val="18"/>
                <w:szCs w:val="18"/>
              </w:rPr>
            </w:pPr>
            <w:r w:rsidRPr="00316C1B">
              <w:rPr>
                <w:rFonts w:ascii="Times New Roman" w:hAnsi="Times New Roman" w:cs="Times New Roman"/>
                <w:strike/>
                <w:sz w:val="18"/>
                <w:szCs w:val="18"/>
              </w:rPr>
              <w:t>204.339.</w:t>
            </w:r>
            <w:r w:rsidR="000E24D2" w:rsidRPr="00316C1B">
              <w:rPr>
                <w:rFonts w:ascii="Times New Roman" w:hAnsi="Times New Roman" w:cs="Times New Roman"/>
                <w:strike/>
                <w:sz w:val="18"/>
                <w:szCs w:val="18"/>
              </w:rPr>
              <w:t>149</w:t>
            </w:r>
          </w:p>
          <w:p w:rsidR="00186E1A" w:rsidRPr="00316C1B" w:rsidRDefault="00186E1A" w:rsidP="000E24D2">
            <w:pPr>
              <w:jc w:val="center"/>
              <w:rPr>
                <w:rFonts w:ascii="Times New Roman" w:hAnsi="Times New Roman" w:cs="Times New Roman"/>
                <w:b/>
                <w:sz w:val="18"/>
                <w:szCs w:val="18"/>
              </w:rPr>
            </w:pPr>
            <w:r>
              <w:rPr>
                <w:rFonts w:ascii="Times New Roman" w:hAnsi="Times New Roman" w:cs="Times New Roman"/>
                <w:b/>
                <w:sz w:val="18"/>
                <w:szCs w:val="18"/>
              </w:rPr>
              <w:t>221.979.149</w:t>
            </w:r>
          </w:p>
        </w:tc>
      </w:tr>
      <w:tr w:rsidR="000E24D2" w:rsidRPr="00BF1676" w:rsidTr="000E24D2">
        <w:trPr>
          <w:trHeight w:val="300"/>
        </w:trPr>
        <w:tc>
          <w:tcPr>
            <w:tcW w:w="1384" w:type="dxa"/>
            <w:hideMark/>
          </w:tcPr>
          <w:p w:rsidR="000E24D2" w:rsidRPr="00BF1676" w:rsidRDefault="000E24D2" w:rsidP="000E24D2">
            <w:pPr>
              <w:widowControl w:val="0"/>
              <w:tabs>
                <w:tab w:val="left" w:pos="622"/>
              </w:tabs>
              <w:jc w:val="both"/>
              <w:rPr>
                <w:rFonts w:ascii="Times New Roman" w:hAnsi="Times New Roman" w:cs="Times New Roman"/>
                <w:b/>
                <w:bCs/>
                <w:i/>
                <w:iCs/>
                <w:sz w:val="18"/>
                <w:szCs w:val="18"/>
                <w:lang w:eastAsia="lt-LT"/>
              </w:rPr>
            </w:pPr>
            <w:r w:rsidRPr="00BF1676">
              <w:rPr>
                <w:rFonts w:ascii="Times New Roman" w:hAnsi="Times New Roman" w:cs="Times New Roman"/>
                <w:b/>
                <w:bCs/>
                <w:i/>
                <w:iCs/>
                <w:sz w:val="18"/>
                <w:szCs w:val="18"/>
                <w:lang w:eastAsia="lt-LT"/>
              </w:rPr>
              <w:t>ESF</w:t>
            </w:r>
          </w:p>
        </w:tc>
        <w:tc>
          <w:tcPr>
            <w:tcW w:w="1134" w:type="dxa"/>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r w:rsidRPr="00BF1676">
              <w:rPr>
                <w:rFonts w:ascii="Times New Roman" w:hAnsi="Times New Roman" w:cs="Times New Roman"/>
                <w:bCs/>
                <w:sz w:val="18"/>
                <w:szCs w:val="18"/>
                <w:lang w:eastAsia="lt-LT"/>
              </w:rPr>
              <w:t>Mažiau išsivystęs</w:t>
            </w:r>
          </w:p>
        </w:tc>
        <w:tc>
          <w:tcPr>
            <w:tcW w:w="1418"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157.306.223</w:t>
            </w:r>
          </w:p>
        </w:tc>
        <w:tc>
          <w:tcPr>
            <w:tcW w:w="1559"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10.040.823</w:t>
            </w:r>
          </w:p>
        </w:tc>
        <w:tc>
          <w:tcPr>
            <w:tcW w:w="1417" w:type="dxa"/>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163.199.407</w:t>
            </w:r>
          </w:p>
        </w:tc>
        <w:tc>
          <w:tcPr>
            <w:tcW w:w="1701" w:type="dxa"/>
            <w:gridSpan w:val="2"/>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10.416.983</w:t>
            </w:r>
          </w:p>
        </w:tc>
        <w:tc>
          <w:tcPr>
            <w:tcW w:w="1418" w:type="dxa"/>
            <w:noWrap/>
            <w:vAlign w:val="center"/>
          </w:tcPr>
          <w:p w:rsidR="000E24D2" w:rsidRPr="00316C1B" w:rsidRDefault="00DD3AB6" w:rsidP="000E24D2">
            <w:pPr>
              <w:jc w:val="center"/>
              <w:rPr>
                <w:rFonts w:ascii="Times New Roman" w:hAnsi="Times New Roman" w:cs="Times New Roman"/>
                <w:strike/>
                <w:sz w:val="18"/>
                <w:szCs w:val="18"/>
              </w:rPr>
            </w:pPr>
            <w:r w:rsidRPr="00316C1B">
              <w:rPr>
                <w:rFonts w:ascii="Times New Roman" w:hAnsi="Times New Roman" w:cs="Times New Roman"/>
                <w:strike/>
                <w:sz w:val="18"/>
                <w:szCs w:val="18"/>
              </w:rPr>
              <w:t>267.722.276</w:t>
            </w:r>
          </w:p>
          <w:p w:rsidR="003D58F7" w:rsidRPr="00316C1B" w:rsidRDefault="00186E1A" w:rsidP="000E24D2">
            <w:pPr>
              <w:jc w:val="center"/>
              <w:rPr>
                <w:rFonts w:ascii="Times New Roman" w:hAnsi="Times New Roman" w:cs="Times New Roman"/>
                <w:b/>
                <w:sz w:val="18"/>
                <w:szCs w:val="18"/>
              </w:rPr>
            </w:pPr>
            <w:r>
              <w:rPr>
                <w:rFonts w:ascii="Times New Roman" w:hAnsi="Times New Roman" w:cs="Times New Roman"/>
                <w:b/>
                <w:sz w:val="18"/>
                <w:szCs w:val="18"/>
              </w:rPr>
              <w:t>310.901.622</w:t>
            </w:r>
          </w:p>
        </w:tc>
        <w:tc>
          <w:tcPr>
            <w:tcW w:w="1559" w:type="dxa"/>
            <w:gridSpan w:val="2"/>
            <w:vAlign w:val="center"/>
          </w:tcPr>
          <w:p w:rsidR="000E24D2" w:rsidRPr="00316C1B" w:rsidRDefault="00DD3AB6" w:rsidP="000E24D2">
            <w:pPr>
              <w:jc w:val="center"/>
              <w:rPr>
                <w:rFonts w:ascii="Times New Roman" w:hAnsi="Times New Roman" w:cs="Times New Roman"/>
                <w:strike/>
                <w:sz w:val="18"/>
                <w:szCs w:val="18"/>
              </w:rPr>
            </w:pPr>
            <w:r w:rsidRPr="00316C1B">
              <w:rPr>
                <w:rFonts w:ascii="Times New Roman" w:hAnsi="Times New Roman" w:cs="Times New Roman"/>
                <w:strike/>
                <w:sz w:val="18"/>
                <w:szCs w:val="18"/>
              </w:rPr>
              <w:t>17.088.657</w:t>
            </w:r>
          </w:p>
          <w:p w:rsidR="003D58F7" w:rsidRPr="00316C1B" w:rsidRDefault="00186E1A" w:rsidP="000E24D2">
            <w:pPr>
              <w:jc w:val="center"/>
              <w:rPr>
                <w:rFonts w:ascii="Times New Roman" w:hAnsi="Times New Roman" w:cs="Times New Roman"/>
                <w:b/>
                <w:sz w:val="18"/>
                <w:szCs w:val="18"/>
              </w:rPr>
            </w:pPr>
            <w:r>
              <w:rPr>
                <w:rFonts w:ascii="Times New Roman" w:hAnsi="Times New Roman" w:cs="Times New Roman"/>
                <w:b/>
                <w:sz w:val="18"/>
                <w:szCs w:val="18"/>
              </w:rPr>
              <w:t>19.909.311</w:t>
            </w:r>
          </w:p>
        </w:tc>
        <w:tc>
          <w:tcPr>
            <w:tcW w:w="1559" w:type="dxa"/>
            <w:noWrap/>
            <w:vAlign w:val="center"/>
          </w:tcPr>
          <w:p w:rsidR="000E24D2" w:rsidRPr="00316C1B" w:rsidRDefault="000E24D2" w:rsidP="00DD3AB6">
            <w:pPr>
              <w:jc w:val="center"/>
              <w:rPr>
                <w:rFonts w:ascii="Times New Roman" w:hAnsi="Times New Roman" w:cs="Times New Roman"/>
                <w:strike/>
                <w:sz w:val="18"/>
                <w:szCs w:val="18"/>
              </w:rPr>
            </w:pPr>
            <w:r w:rsidRPr="00316C1B">
              <w:rPr>
                <w:rFonts w:ascii="Times New Roman" w:hAnsi="Times New Roman" w:cs="Times New Roman"/>
                <w:strike/>
                <w:sz w:val="18"/>
                <w:szCs w:val="18"/>
              </w:rPr>
              <w:t>1.</w:t>
            </w:r>
            <w:r w:rsidR="00DD3AB6" w:rsidRPr="00316C1B">
              <w:rPr>
                <w:rFonts w:ascii="Times New Roman" w:hAnsi="Times New Roman" w:cs="Times New Roman"/>
                <w:strike/>
                <w:sz w:val="18"/>
                <w:szCs w:val="18"/>
              </w:rPr>
              <w:t>160.121.741</w:t>
            </w:r>
          </w:p>
          <w:p w:rsidR="003D58F7" w:rsidRPr="00316C1B" w:rsidRDefault="00186E1A" w:rsidP="00DD3AB6">
            <w:pPr>
              <w:jc w:val="center"/>
              <w:rPr>
                <w:rFonts w:ascii="Times New Roman" w:hAnsi="Times New Roman" w:cs="Times New Roman"/>
                <w:b/>
                <w:sz w:val="18"/>
                <w:szCs w:val="18"/>
              </w:rPr>
            </w:pPr>
            <w:r>
              <w:rPr>
                <w:rFonts w:ascii="Times New Roman" w:hAnsi="Times New Roman" w:cs="Times New Roman"/>
                <w:b/>
                <w:sz w:val="18"/>
                <w:szCs w:val="18"/>
              </w:rPr>
              <w:t>1.203.301.087</w:t>
            </w:r>
          </w:p>
        </w:tc>
        <w:tc>
          <w:tcPr>
            <w:tcW w:w="1560" w:type="dxa"/>
            <w:gridSpan w:val="2"/>
            <w:vAlign w:val="center"/>
          </w:tcPr>
          <w:p w:rsidR="000E24D2" w:rsidRPr="00316C1B" w:rsidRDefault="00FE3814" w:rsidP="00DD3AB6">
            <w:pPr>
              <w:jc w:val="center"/>
              <w:rPr>
                <w:rFonts w:ascii="Times New Roman" w:hAnsi="Times New Roman" w:cs="Times New Roman"/>
                <w:strike/>
                <w:sz w:val="18"/>
                <w:szCs w:val="18"/>
              </w:rPr>
            </w:pPr>
            <w:r w:rsidRPr="00316C1B">
              <w:rPr>
                <w:rFonts w:ascii="Times New Roman" w:hAnsi="Times New Roman" w:cs="Times New Roman"/>
                <w:strike/>
                <w:sz w:val="18"/>
                <w:szCs w:val="18"/>
              </w:rPr>
              <w:t>72.</w:t>
            </w:r>
            <w:r w:rsidR="00DD3AB6" w:rsidRPr="00316C1B">
              <w:rPr>
                <w:rFonts w:ascii="Times New Roman" w:hAnsi="Times New Roman" w:cs="Times New Roman"/>
                <w:strike/>
                <w:sz w:val="18"/>
                <w:szCs w:val="18"/>
              </w:rPr>
              <w:t>021.646</w:t>
            </w:r>
          </w:p>
          <w:p w:rsidR="003D58F7" w:rsidRPr="00316C1B" w:rsidRDefault="00186E1A" w:rsidP="00DD3AB6">
            <w:pPr>
              <w:jc w:val="center"/>
              <w:rPr>
                <w:rFonts w:ascii="Times New Roman" w:hAnsi="Times New Roman" w:cs="Times New Roman"/>
                <w:b/>
                <w:sz w:val="18"/>
                <w:szCs w:val="18"/>
              </w:rPr>
            </w:pPr>
            <w:r>
              <w:rPr>
                <w:rFonts w:ascii="Times New Roman" w:hAnsi="Times New Roman" w:cs="Times New Roman"/>
                <w:b/>
                <w:sz w:val="18"/>
                <w:szCs w:val="18"/>
              </w:rPr>
              <w:t>74.842.300</w:t>
            </w:r>
          </w:p>
        </w:tc>
      </w:tr>
      <w:tr w:rsidR="000E24D2" w:rsidRPr="00BF1676" w:rsidTr="000E24D2">
        <w:trPr>
          <w:trHeight w:val="300"/>
        </w:trPr>
        <w:tc>
          <w:tcPr>
            <w:tcW w:w="1384" w:type="dxa"/>
          </w:tcPr>
          <w:p w:rsidR="000E24D2" w:rsidRPr="00BF1676" w:rsidRDefault="000E24D2" w:rsidP="000E24D2">
            <w:pPr>
              <w:widowControl w:val="0"/>
              <w:tabs>
                <w:tab w:val="left" w:pos="622"/>
              </w:tabs>
              <w:jc w:val="both"/>
              <w:rPr>
                <w:rFonts w:ascii="Times New Roman" w:hAnsi="Times New Roman" w:cs="Times New Roman"/>
                <w:b/>
                <w:bCs/>
                <w:i/>
                <w:iCs/>
                <w:sz w:val="18"/>
                <w:szCs w:val="18"/>
                <w:lang w:eastAsia="lt-LT"/>
              </w:rPr>
            </w:pPr>
            <w:r w:rsidRPr="00BF1676">
              <w:rPr>
                <w:rFonts w:ascii="Times New Roman" w:hAnsi="Times New Roman" w:cs="Times New Roman"/>
                <w:b/>
                <w:bCs/>
                <w:i/>
                <w:iCs/>
                <w:sz w:val="18"/>
                <w:szCs w:val="18"/>
                <w:lang w:eastAsia="lt-LT"/>
              </w:rPr>
              <w:t>JUI</w:t>
            </w:r>
            <w:r w:rsidRPr="00BF1676">
              <w:rPr>
                <w:rFonts w:ascii="Times New Roman" w:hAnsi="Times New Roman" w:cs="Times New Roman"/>
                <w:b/>
                <w:bCs/>
                <w:color w:val="000000"/>
                <w:sz w:val="18"/>
                <w:szCs w:val="18"/>
                <w:lang w:eastAsia="lt-LT"/>
              </w:rPr>
              <w:t xml:space="preserve"> (</w:t>
            </w:r>
            <w:r w:rsidRPr="00BF1676">
              <w:rPr>
                <w:rFonts w:ascii="Times New Roman" w:hAnsi="Times New Roman" w:cs="Times New Roman"/>
                <w:b/>
                <w:bCs/>
                <w:iCs/>
                <w:sz w:val="18"/>
                <w:szCs w:val="18"/>
                <w:lang w:eastAsia="lt-LT"/>
              </w:rPr>
              <w:t>specialūs asignavimai)</w:t>
            </w:r>
          </w:p>
        </w:tc>
        <w:tc>
          <w:tcPr>
            <w:tcW w:w="1134" w:type="dxa"/>
            <w:vAlign w:val="center"/>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r w:rsidRPr="00BF1676">
              <w:rPr>
                <w:rFonts w:ascii="Times New Roman" w:hAnsi="Times New Roman" w:cs="Times New Roman"/>
                <w:bCs/>
                <w:sz w:val="18"/>
                <w:szCs w:val="18"/>
                <w:lang w:eastAsia="lt-LT"/>
              </w:rPr>
              <w:t>Netaikoma</w:t>
            </w:r>
          </w:p>
        </w:tc>
        <w:tc>
          <w:tcPr>
            <w:tcW w:w="1418"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0</w:t>
            </w:r>
          </w:p>
        </w:tc>
        <w:tc>
          <w:tcPr>
            <w:tcW w:w="1559" w:type="dxa"/>
            <w:vAlign w:val="center"/>
          </w:tcPr>
          <w:p w:rsidR="000E24D2" w:rsidRPr="00BF1676" w:rsidRDefault="000E24D2" w:rsidP="000E24D2">
            <w:pPr>
              <w:jc w:val="center"/>
              <w:rPr>
                <w:rFonts w:ascii="Times New Roman" w:hAnsi="Times New Roman" w:cs="Times New Roman"/>
                <w:color w:val="000000"/>
                <w:sz w:val="18"/>
                <w:szCs w:val="18"/>
                <w:lang w:eastAsia="lt-LT"/>
              </w:rPr>
            </w:pPr>
          </w:p>
        </w:tc>
        <w:tc>
          <w:tcPr>
            <w:tcW w:w="1417" w:type="dxa"/>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0</w:t>
            </w:r>
          </w:p>
        </w:tc>
        <w:tc>
          <w:tcPr>
            <w:tcW w:w="1701" w:type="dxa"/>
            <w:gridSpan w:val="2"/>
            <w:vAlign w:val="center"/>
          </w:tcPr>
          <w:p w:rsidR="000E24D2" w:rsidRPr="00BF1676" w:rsidRDefault="000E24D2" w:rsidP="000E24D2">
            <w:pPr>
              <w:jc w:val="center"/>
              <w:rPr>
                <w:rFonts w:ascii="Times New Roman" w:hAnsi="Times New Roman" w:cs="Times New Roman"/>
                <w:color w:val="000000"/>
                <w:sz w:val="18"/>
                <w:szCs w:val="18"/>
                <w:lang w:eastAsia="lt-LT"/>
              </w:rPr>
            </w:pPr>
          </w:p>
        </w:tc>
        <w:tc>
          <w:tcPr>
            <w:tcW w:w="1418" w:type="dxa"/>
            <w:noWrap/>
            <w:vAlign w:val="center"/>
          </w:tcPr>
          <w:p w:rsidR="000E24D2" w:rsidRPr="00136C57" w:rsidRDefault="000E24D2" w:rsidP="000E24D2">
            <w:pPr>
              <w:jc w:val="center"/>
              <w:rPr>
                <w:rFonts w:ascii="Times New Roman" w:hAnsi="Times New Roman" w:cs="Times New Roman"/>
                <w:sz w:val="18"/>
                <w:szCs w:val="18"/>
              </w:rPr>
            </w:pPr>
            <w:r w:rsidRPr="00136C57">
              <w:rPr>
                <w:rFonts w:ascii="Times New Roman" w:hAnsi="Times New Roman" w:cs="Times New Roman"/>
                <w:sz w:val="18"/>
                <w:szCs w:val="18"/>
              </w:rPr>
              <w:t>0</w:t>
            </w:r>
          </w:p>
        </w:tc>
        <w:tc>
          <w:tcPr>
            <w:tcW w:w="1559" w:type="dxa"/>
            <w:gridSpan w:val="2"/>
            <w:vAlign w:val="center"/>
          </w:tcPr>
          <w:p w:rsidR="000E24D2" w:rsidRPr="00136C57" w:rsidRDefault="000E24D2" w:rsidP="000E24D2">
            <w:pPr>
              <w:jc w:val="center"/>
              <w:rPr>
                <w:rFonts w:ascii="Times New Roman" w:hAnsi="Times New Roman" w:cs="Times New Roman"/>
                <w:color w:val="000000"/>
                <w:sz w:val="18"/>
                <w:szCs w:val="18"/>
                <w:lang w:eastAsia="lt-LT"/>
              </w:rPr>
            </w:pPr>
          </w:p>
        </w:tc>
        <w:tc>
          <w:tcPr>
            <w:tcW w:w="1559" w:type="dxa"/>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31.782.633</w:t>
            </w:r>
          </w:p>
        </w:tc>
        <w:tc>
          <w:tcPr>
            <w:tcW w:w="1560" w:type="dxa"/>
            <w:gridSpan w:val="2"/>
            <w:vAlign w:val="center"/>
          </w:tcPr>
          <w:p w:rsidR="000E24D2" w:rsidRPr="00BF1676" w:rsidRDefault="000E24D2" w:rsidP="000E24D2">
            <w:pPr>
              <w:jc w:val="center"/>
              <w:rPr>
                <w:rFonts w:ascii="Times New Roman" w:hAnsi="Times New Roman" w:cs="Times New Roman"/>
                <w:color w:val="000000"/>
                <w:sz w:val="18"/>
                <w:szCs w:val="18"/>
                <w:lang w:eastAsia="lt-LT"/>
              </w:rPr>
            </w:pPr>
          </w:p>
        </w:tc>
      </w:tr>
      <w:tr w:rsidR="000E24D2" w:rsidRPr="00BF1676" w:rsidTr="000E24D2">
        <w:trPr>
          <w:trHeight w:val="300"/>
        </w:trPr>
        <w:tc>
          <w:tcPr>
            <w:tcW w:w="1384" w:type="dxa"/>
            <w:hideMark/>
          </w:tcPr>
          <w:p w:rsidR="000E24D2" w:rsidRPr="00BF1676" w:rsidRDefault="000E24D2" w:rsidP="000E24D2">
            <w:pPr>
              <w:widowControl w:val="0"/>
              <w:tabs>
                <w:tab w:val="left" w:pos="622"/>
              </w:tabs>
              <w:jc w:val="both"/>
              <w:rPr>
                <w:rFonts w:ascii="Times New Roman" w:hAnsi="Times New Roman" w:cs="Times New Roman"/>
                <w:b/>
                <w:bCs/>
                <w:sz w:val="18"/>
                <w:szCs w:val="18"/>
                <w:lang w:eastAsia="lt-LT"/>
              </w:rPr>
            </w:pPr>
            <w:proofErr w:type="spellStart"/>
            <w:r w:rsidRPr="00BF1676">
              <w:rPr>
                <w:rFonts w:ascii="Times New Roman" w:hAnsi="Times New Roman" w:cs="Times New Roman"/>
                <w:b/>
                <w:bCs/>
                <w:i/>
                <w:iCs/>
                <w:sz w:val="18"/>
                <w:szCs w:val="18"/>
                <w:lang w:eastAsia="lt-LT"/>
              </w:rPr>
              <w:t>SaF</w:t>
            </w:r>
            <w:proofErr w:type="spellEnd"/>
          </w:p>
        </w:tc>
        <w:tc>
          <w:tcPr>
            <w:tcW w:w="1134" w:type="dxa"/>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r w:rsidRPr="00BF1676">
              <w:rPr>
                <w:rFonts w:ascii="Times New Roman" w:hAnsi="Times New Roman" w:cs="Times New Roman"/>
                <w:bCs/>
                <w:sz w:val="18"/>
                <w:szCs w:val="18"/>
                <w:lang w:eastAsia="lt-LT"/>
              </w:rPr>
              <w:t>Netaikoma</w:t>
            </w:r>
          </w:p>
        </w:tc>
        <w:tc>
          <w:tcPr>
            <w:tcW w:w="1418"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286.232.590</w:t>
            </w:r>
          </w:p>
        </w:tc>
        <w:tc>
          <w:tcPr>
            <w:tcW w:w="1559" w:type="dxa"/>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18.270.165</w:t>
            </w:r>
          </w:p>
        </w:tc>
        <w:tc>
          <w:tcPr>
            <w:tcW w:w="1417" w:type="dxa"/>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297.223.984</w:t>
            </w:r>
          </w:p>
        </w:tc>
        <w:tc>
          <w:tcPr>
            <w:tcW w:w="1701" w:type="dxa"/>
            <w:gridSpan w:val="2"/>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18.971.744</w:t>
            </w:r>
          </w:p>
        </w:tc>
        <w:tc>
          <w:tcPr>
            <w:tcW w:w="1418" w:type="dxa"/>
            <w:noWrap/>
            <w:vAlign w:val="center"/>
          </w:tcPr>
          <w:p w:rsidR="000E24D2" w:rsidRPr="00EE75F8" w:rsidRDefault="000E24D2" w:rsidP="00DD3AB6">
            <w:pPr>
              <w:jc w:val="center"/>
              <w:rPr>
                <w:rFonts w:ascii="Times New Roman" w:hAnsi="Times New Roman" w:cs="Times New Roman"/>
                <w:sz w:val="18"/>
                <w:szCs w:val="18"/>
              </w:rPr>
            </w:pPr>
            <w:r w:rsidRPr="00EE75F8">
              <w:rPr>
                <w:rFonts w:ascii="Times New Roman" w:hAnsi="Times New Roman" w:cs="Times New Roman"/>
                <w:sz w:val="18"/>
                <w:szCs w:val="18"/>
              </w:rPr>
              <w:t>298.</w:t>
            </w:r>
            <w:r w:rsidR="00DD3AB6" w:rsidRPr="00EE75F8">
              <w:rPr>
                <w:rFonts w:ascii="Times New Roman" w:hAnsi="Times New Roman" w:cs="Times New Roman"/>
                <w:sz w:val="18"/>
                <w:szCs w:val="18"/>
              </w:rPr>
              <w:t>655.348</w:t>
            </w:r>
          </w:p>
        </w:tc>
        <w:tc>
          <w:tcPr>
            <w:tcW w:w="1559" w:type="dxa"/>
            <w:gridSpan w:val="2"/>
            <w:vAlign w:val="center"/>
          </w:tcPr>
          <w:p w:rsidR="000E24D2" w:rsidRPr="00EE75F8" w:rsidRDefault="00DD3AB6" w:rsidP="000E24D2">
            <w:pPr>
              <w:jc w:val="center"/>
              <w:rPr>
                <w:rFonts w:ascii="Times New Roman" w:hAnsi="Times New Roman" w:cs="Times New Roman"/>
                <w:sz w:val="18"/>
                <w:szCs w:val="18"/>
              </w:rPr>
            </w:pPr>
            <w:r w:rsidRPr="00EE75F8">
              <w:rPr>
                <w:rFonts w:ascii="Times New Roman" w:hAnsi="Times New Roman" w:cs="Times New Roman"/>
                <w:sz w:val="18"/>
                <w:szCs w:val="18"/>
              </w:rPr>
              <w:t>19.063.106</w:t>
            </w:r>
          </w:p>
        </w:tc>
        <w:tc>
          <w:tcPr>
            <w:tcW w:w="1559" w:type="dxa"/>
            <w:noWrap/>
            <w:vAlign w:val="center"/>
          </w:tcPr>
          <w:p w:rsidR="000E24D2" w:rsidRPr="00EE75F8" w:rsidRDefault="00FE3814" w:rsidP="00DD3AB6">
            <w:pPr>
              <w:jc w:val="center"/>
              <w:rPr>
                <w:rFonts w:ascii="Times New Roman" w:hAnsi="Times New Roman" w:cs="Times New Roman"/>
                <w:sz w:val="18"/>
                <w:szCs w:val="18"/>
              </w:rPr>
            </w:pPr>
            <w:r w:rsidRPr="00EE75F8">
              <w:rPr>
                <w:rFonts w:ascii="Times New Roman" w:hAnsi="Times New Roman" w:cs="Times New Roman"/>
                <w:sz w:val="18"/>
                <w:szCs w:val="18"/>
              </w:rPr>
              <w:t>1.917.</w:t>
            </w:r>
            <w:r w:rsidR="00DD3AB6" w:rsidRPr="00EE75F8">
              <w:rPr>
                <w:rFonts w:ascii="Times New Roman" w:hAnsi="Times New Roman" w:cs="Times New Roman"/>
                <w:sz w:val="18"/>
                <w:szCs w:val="18"/>
              </w:rPr>
              <w:t>428.569</w:t>
            </w:r>
          </w:p>
        </w:tc>
        <w:tc>
          <w:tcPr>
            <w:tcW w:w="1560" w:type="dxa"/>
            <w:gridSpan w:val="2"/>
            <w:vAlign w:val="center"/>
          </w:tcPr>
          <w:p w:rsidR="000E24D2" w:rsidRPr="00EE75F8" w:rsidRDefault="00FE3814" w:rsidP="00DD3AB6">
            <w:pPr>
              <w:jc w:val="center"/>
              <w:rPr>
                <w:rFonts w:ascii="Times New Roman" w:hAnsi="Times New Roman" w:cs="Times New Roman"/>
                <w:sz w:val="18"/>
                <w:szCs w:val="18"/>
              </w:rPr>
            </w:pPr>
            <w:r w:rsidRPr="00EE75F8">
              <w:rPr>
                <w:rFonts w:ascii="Times New Roman" w:hAnsi="Times New Roman" w:cs="Times New Roman"/>
                <w:sz w:val="18"/>
                <w:szCs w:val="18"/>
              </w:rPr>
              <w:t>122.</w:t>
            </w:r>
            <w:r w:rsidR="00DD3AB6" w:rsidRPr="00EE75F8">
              <w:rPr>
                <w:rFonts w:ascii="Times New Roman" w:hAnsi="Times New Roman" w:cs="Times New Roman"/>
                <w:sz w:val="18"/>
                <w:szCs w:val="18"/>
              </w:rPr>
              <w:t>389.057</w:t>
            </w:r>
          </w:p>
        </w:tc>
      </w:tr>
      <w:tr w:rsidR="000E24D2" w:rsidRPr="00BF1676" w:rsidTr="000E24D2">
        <w:trPr>
          <w:trHeight w:val="300"/>
        </w:trPr>
        <w:tc>
          <w:tcPr>
            <w:tcW w:w="1384" w:type="dxa"/>
            <w:hideMark/>
          </w:tcPr>
          <w:p w:rsidR="000E24D2" w:rsidRPr="00BF1676" w:rsidRDefault="000E24D2" w:rsidP="000E24D2">
            <w:pPr>
              <w:widowControl w:val="0"/>
              <w:tabs>
                <w:tab w:val="left" w:pos="622"/>
              </w:tabs>
              <w:jc w:val="both"/>
              <w:rPr>
                <w:rFonts w:ascii="Times New Roman" w:hAnsi="Times New Roman" w:cs="Times New Roman"/>
                <w:b/>
                <w:bCs/>
                <w:sz w:val="18"/>
                <w:szCs w:val="18"/>
                <w:lang w:eastAsia="lt-LT"/>
              </w:rPr>
            </w:pPr>
            <w:r w:rsidRPr="00BF1676">
              <w:rPr>
                <w:rFonts w:ascii="Times New Roman" w:hAnsi="Times New Roman" w:cs="Times New Roman"/>
                <w:b/>
                <w:bCs/>
                <w:sz w:val="18"/>
                <w:szCs w:val="18"/>
                <w:lang w:eastAsia="lt-LT"/>
              </w:rPr>
              <w:t>Iš viso</w:t>
            </w:r>
          </w:p>
        </w:tc>
        <w:tc>
          <w:tcPr>
            <w:tcW w:w="1134" w:type="dxa"/>
          </w:tcPr>
          <w:p w:rsidR="000E24D2" w:rsidRPr="00BF1676" w:rsidRDefault="000E24D2" w:rsidP="000E24D2">
            <w:pPr>
              <w:widowControl w:val="0"/>
              <w:tabs>
                <w:tab w:val="left" w:pos="622"/>
              </w:tabs>
              <w:jc w:val="center"/>
              <w:rPr>
                <w:rFonts w:ascii="Times New Roman" w:hAnsi="Times New Roman" w:cs="Times New Roman"/>
                <w:bCs/>
                <w:sz w:val="18"/>
                <w:szCs w:val="18"/>
                <w:lang w:eastAsia="lt-LT"/>
              </w:rPr>
            </w:pPr>
          </w:p>
        </w:tc>
        <w:tc>
          <w:tcPr>
            <w:tcW w:w="1418" w:type="dxa"/>
            <w:gridSpan w:val="2"/>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932.141.338</w:t>
            </w:r>
          </w:p>
        </w:tc>
        <w:tc>
          <w:tcPr>
            <w:tcW w:w="1559" w:type="dxa"/>
            <w:vAlign w:val="center"/>
          </w:tcPr>
          <w:p w:rsidR="000E24D2" w:rsidRPr="00BF1676" w:rsidRDefault="000E24D2" w:rsidP="000E24D2">
            <w:pPr>
              <w:jc w:val="center"/>
              <w:rPr>
                <w:rFonts w:ascii="Times New Roman" w:hAnsi="Times New Roman" w:cs="Times New Roman"/>
                <w:color w:val="000000"/>
                <w:sz w:val="18"/>
                <w:szCs w:val="18"/>
                <w:lang w:eastAsia="lt-LT"/>
              </w:rPr>
            </w:pPr>
            <w:r w:rsidRPr="00BF1676">
              <w:rPr>
                <w:rFonts w:ascii="Times New Roman" w:hAnsi="Times New Roman" w:cs="Times New Roman"/>
                <w:color w:val="000000"/>
                <w:sz w:val="18"/>
                <w:szCs w:val="18"/>
                <w:lang w:eastAsia="lt-LT"/>
              </w:rPr>
              <w:t>59.498.383</w:t>
            </w:r>
          </w:p>
        </w:tc>
        <w:tc>
          <w:tcPr>
            <w:tcW w:w="1417" w:type="dxa"/>
            <w:noWrap/>
            <w:vAlign w:val="center"/>
          </w:tcPr>
          <w:p w:rsidR="000E24D2" w:rsidRPr="00BF1676" w:rsidRDefault="000E24D2" w:rsidP="000E24D2">
            <w:pPr>
              <w:jc w:val="center"/>
              <w:rPr>
                <w:rFonts w:ascii="Times New Roman" w:hAnsi="Times New Roman" w:cs="Times New Roman"/>
                <w:sz w:val="18"/>
                <w:szCs w:val="18"/>
              </w:rPr>
            </w:pPr>
            <w:r w:rsidRPr="00BF1676">
              <w:rPr>
                <w:rFonts w:ascii="Times New Roman" w:hAnsi="Times New Roman" w:cs="Times New Roman"/>
                <w:sz w:val="18"/>
                <w:szCs w:val="18"/>
              </w:rPr>
              <w:t>967.330.496</w:t>
            </w:r>
          </w:p>
        </w:tc>
        <w:tc>
          <w:tcPr>
            <w:tcW w:w="1701" w:type="dxa"/>
            <w:gridSpan w:val="2"/>
            <w:vAlign w:val="center"/>
          </w:tcPr>
          <w:p w:rsidR="000E24D2" w:rsidRPr="00BF1676" w:rsidRDefault="000E24D2" w:rsidP="000E24D2">
            <w:pPr>
              <w:jc w:val="center"/>
              <w:rPr>
                <w:rFonts w:ascii="Times New Roman" w:hAnsi="Times New Roman" w:cs="Times New Roman"/>
                <w:color w:val="000000"/>
                <w:sz w:val="18"/>
                <w:szCs w:val="18"/>
                <w:lang w:eastAsia="lt-LT"/>
              </w:rPr>
            </w:pPr>
            <w:r w:rsidRPr="00BF1676">
              <w:rPr>
                <w:rFonts w:ascii="Times New Roman" w:hAnsi="Times New Roman" w:cs="Times New Roman"/>
                <w:color w:val="000000"/>
                <w:sz w:val="18"/>
                <w:szCs w:val="18"/>
                <w:lang w:eastAsia="lt-LT"/>
              </w:rPr>
              <w:t>61.744.500</w:t>
            </w:r>
          </w:p>
        </w:tc>
        <w:tc>
          <w:tcPr>
            <w:tcW w:w="1418" w:type="dxa"/>
            <w:noWrap/>
            <w:vAlign w:val="center"/>
          </w:tcPr>
          <w:p w:rsidR="000E24D2" w:rsidRPr="00316C1B" w:rsidRDefault="000E24D2" w:rsidP="00DD3AB6">
            <w:pPr>
              <w:jc w:val="center"/>
              <w:rPr>
                <w:rFonts w:ascii="Times New Roman" w:hAnsi="Times New Roman" w:cs="Times New Roman"/>
                <w:strike/>
                <w:sz w:val="18"/>
                <w:szCs w:val="18"/>
              </w:rPr>
            </w:pPr>
            <w:r w:rsidRPr="00316C1B">
              <w:rPr>
                <w:rFonts w:ascii="Times New Roman" w:hAnsi="Times New Roman" w:cs="Times New Roman"/>
                <w:strike/>
                <w:sz w:val="18"/>
                <w:szCs w:val="18"/>
              </w:rPr>
              <w:t>1.001.768.036</w:t>
            </w:r>
          </w:p>
          <w:p w:rsidR="00186E1A" w:rsidRPr="00316C1B" w:rsidRDefault="00186E1A" w:rsidP="00DD3AB6">
            <w:pPr>
              <w:jc w:val="center"/>
              <w:rPr>
                <w:rFonts w:ascii="Times New Roman" w:hAnsi="Times New Roman" w:cs="Times New Roman"/>
                <w:b/>
                <w:sz w:val="18"/>
                <w:szCs w:val="18"/>
              </w:rPr>
            </w:pPr>
            <w:r>
              <w:rPr>
                <w:rFonts w:ascii="Times New Roman" w:hAnsi="Times New Roman" w:cs="Times New Roman"/>
                <w:b/>
                <w:sz w:val="18"/>
                <w:szCs w:val="18"/>
              </w:rPr>
              <w:t>1.321.307.382</w:t>
            </w:r>
          </w:p>
        </w:tc>
        <w:tc>
          <w:tcPr>
            <w:tcW w:w="1559" w:type="dxa"/>
            <w:gridSpan w:val="2"/>
            <w:vAlign w:val="center"/>
          </w:tcPr>
          <w:p w:rsidR="000E24D2" w:rsidRPr="00316C1B" w:rsidRDefault="000E24D2" w:rsidP="00DD3AB6">
            <w:pPr>
              <w:jc w:val="center"/>
              <w:rPr>
                <w:rFonts w:ascii="Times New Roman" w:hAnsi="Times New Roman" w:cs="Times New Roman"/>
                <w:strike/>
                <w:color w:val="000000"/>
                <w:sz w:val="18"/>
                <w:szCs w:val="18"/>
                <w:lang w:eastAsia="lt-LT"/>
              </w:rPr>
            </w:pPr>
            <w:r w:rsidRPr="00316C1B">
              <w:rPr>
                <w:rFonts w:ascii="Times New Roman" w:hAnsi="Times New Roman" w:cs="Times New Roman"/>
                <w:strike/>
                <w:color w:val="000000"/>
                <w:sz w:val="18"/>
                <w:szCs w:val="18"/>
                <w:lang w:eastAsia="lt-LT"/>
              </w:rPr>
              <w:t>63.942.640</w:t>
            </w:r>
          </w:p>
          <w:p w:rsidR="00186E1A" w:rsidRPr="00316C1B" w:rsidRDefault="00186E1A" w:rsidP="00DD3AB6">
            <w:pPr>
              <w:jc w:val="center"/>
              <w:rPr>
                <w:rFonts w:ascii="Times New Roman" w:hAnsi="Times New Roman" w:cs="Times New Roman"/>
                <w:b/>
                <w:color w:val="000000"/>
                <w:sz w:val="18"/>
                <w:szCs w:val="18"/>
                <w:lang w:eastAsia="lt-LT"/>
              </w:rPr>
            </w:pPr>
            <w:r>
              <w:rPr>
                <w:rFonts w:ascii="Times New Roman" w:hAnsi="Times New Roman" w:cs="Times New Roman"/>
                <w:b/>
                <w:color w:val="000000"/>
                <w:sz w:val="18"/>
                <w:szCs w:val="18"/>
                <w:lang w:eastAsia="lt-LT"/>
              </w:rPr>
              <w:t>84.403.294</w:t>
            </w:r>
          </w:p>
        </w:tc>
        <w:tc>
          <w:tcPr>
            <w:tcW w:w="1559" w:type="dxa"/>
            <w:noWrap/>
            <w:vAlign w:val="center"/>
          </w:tcPr>
          <w:p w:rsidR="000E24D2" w:rsidRPr="00316C1B" w:rsidRDefault="000E24D2" w:rsidP="00DD3AB6">
            <w:pPr>
              <w:jc w:val="center"/>
              <w:rPr>
                <w:rFonts w:ascii="Times New Roman" w:hAnsi="Times New Roman" w:cs="Times New Roman"/>
                <w:strike/>
                <w:sz w:val="18"/>
                <w:szCs w:val="18"/>
              </w:rPr>
            </w:pPr>
            <w:r w:rsidRPr="00316C1B">
              <w:rPr>
                <w:rFonts w:ascii="Times New Roman" w:hAnsi="Times New Roman" w:cs="Times New Roman"/>
                <w:strike/>
                <w:sz w:val="18"/>
                <w:szCs w:val="18"/>
              </w:rPr>
              <w:t>6.310.646.278</w:t>
            </w:r>
          </w:p>
          <w:p w:rsidR="00186E1A" w:rsidRPr="00316C1B" w:rsidRDefault="00186E1A" w:rsidP="00DD3AB6">
            <w:pPr>
              <w:jc w:val="center"/>
              <w:rPr>
                <w:rFonts w:ascii="Times New Roman" w:hAnsi="Times New Roman" w:cs="Times New Roman"/>
                <w:b/>
                <w:sz w:val="18"/>
                <w:szCs w:val="18"/>
              </w:rPr>
            </w:pPr>
            <w:r>
              <w:rPr>
                <w:rFonts w:ascii="Times New Roman" w:hAnsi="Times New Roman" w:cs="Times New Roman"/>
                <w:b/>
                <w:sz w:val="18"/>
                <w:szCs w:val="18"/>
              </w:rPr>
              <w:t>6.630.185.624</w:t>
            </w:r>
          </w:p>
        </w:tc>
        <w:tc>
          <w:tcPr>
            <w:tcW w:w="1560" w:type="dxa"/>
            <w:gridSpan w:val="2"/>
            <w:vAlign w:val="center"/>
          </w:tcPr>
          <w:p w:rsidR="000E24D2" w:rsidRPr="00316C1B" w:rsidRDefault="000E24D2" w:rsidP="00DD3AB6">
            <w:pPr>
              <w:jc w:val="center"/>
              <w:rPr>
                <w:rFonts w:ascii="Times New Roman" w:hAnsi="Times New Roman" w:cs="Times New Roman"/>
                <w:strike/>
                <w:color w:val="000000"/>
                <w:sz w:val="18"/>
                <w:szCs w:val="18"/>
                <w:lang w:eastAsia="lt-LT"/>
              </w:rPr>
            </w:pPr>
            <w:r w:rsidRPr="00316C1B">
              <w:rPr>
                <w:rFonts w:ascii="Times New Roman" w:hAnsi="Times New Roman" w:cs="Times New Roman"/>
                <w:strike/>
                <w:color w:val="000000"/>
                <w:sz w:val="18"/>
                <w:szCs w:val="18"/>
                <w:lang w:eastAsia="lt-LT"/>
              </w:rPr>
              <w:t>398.749.852</w:t>
            </w:r>
          </w:p>
          <w:p w:rsidR="00186E1A" w:rsidRPr="00316C1B" w:rsidRDefault="00186E1A" w:rsidP="00DD3AB6">
            <w:pPr>
              <w:jc w:val="center"/>
              <w:rPr>
                <w:rFonts w:ascii="Times New Roman" w:hAnsi="Times New Roman" w:cs="Times New Roman"/>
                <w:b/>
                <w:color w:val="000000"/>
                <w:sz w:val="18"/>
                <w:szCs w:val="18"/>
                <w:lang w:eastAsia="lt-LT"/>
              </w:rPr>
            </w:pPr>
            <w:r>
              <w:rPr>
                <w:rFonts w:ascii="Times New Roman" w:hAnsi="Times New Roman" w:cs="Times New Roman"/>
                <w:b/>
                <w:color w:val="000000"/>
                <w:sz w:val="18"/>
                <w:szCs w:val="18"/>
                <w:lang w:eastAsia="lt-LT"/>
              </w:rPr>
              <w:t>419.210.506</w:t>
            </w:r>
          </w:p>
        </w:tc>
      </w:tr>
    </w:tbl>
    <w:p w:rsidR="009C4E7B" w:rsidRPr="00697AD2" w:rsidRDefault="00C52CE6" w:rsidP="00143731">
      <w:pPr>
        <w:spacing w:before="240" w:after="240"/>
        <w:rPr>
          <w:vanish/>
        </w:rPr>
      </w:pPr>
      <w:r>
        <w:rPr>
          <w:rFonts w:ascii="Times New Roman" w:hAnsi="Times New Roman" w:cs="Times New Roman"/>
          <w:i/>
          <w:sz w:val="24"/>
          <w:szCs w:val="24"/>
          <w:u w:val="single"/>
        </w:rPr>
        <w:t>14</w:t>
      </w:r>
      <w:r w:rsidR="00BA5DE1">
        <w:rPr>
          <w:rFonts w:ascii="Times New Roman" w:hAnsi="Times New Roman" w:cs="Times New Roman"/>
          <w:i/>
          <w:sz w:val="24"/>
          <w:szCs w:val="24"/>
          <w:u w:val="single"/>
        </w:rPr>
        <w:t xml:space="preserve">. </w:t>
      </w:r>
      <w:r w:rsidR="009C4E7B" w:rsidRPr="00697AD2">
        <w:rPr>
          <w:rFonts w:ascii="Times New Roman" w:hAnsi="Times New Roman" w:cs="Times New Roman"/>
          <w:i/>
          <w:sz w:val="24"/>
          <w:szCs w:val="24"/>
          <w:u w:val="single"/>
        </w:rPr>
        <w:t xml:space="preserve">Pakeisti Veiksmų programos </w:t>
      </w:r>
      <w:r w:rsidR="009E1DDF" w:rsidRPr="00697AD2">
        <w:rPr>
          <w:rFonts w:ascii="Times New Roman" w:hAnsi="Times New Roman" w:cs="Times New Roman"/>
          <w:i/>
          <w:sz w:val="24"/>
          <w:szCs w:val="24"/>
          <w:u w:val="single"/>
        </w:rPr>
        <w:t xml:space="preserve">3 skirsnio „Veiksmų programos finansavimo planas“ </w:t>
      </w:r>
      <w:r w:rsidR="009C4E7B" w:rsidRPr="00697AD2">
        <w:rPr>
          <w:rFonts w:ascii="Times New Roman" w:hAnsi="Times New Roman" w:cs="Times New Roman"/>
          <w:i/>
          <w:sz w:val="24"/>
          <w:szCs w:val="24"/>
          <w:u w:val="single"/>
        </w:rPr>
        <w:t>4 lentelę „Veiksmų programos finansavimo plan</w:t>
      </w:r>
      <w:r w:rsidR="009909E8" w:rsidRPr="00697AD2">
        <w:rPr>
          <w:rFonts w:ascii="Times New Roman" w:hAnsi="Times New Roman" w:cs="Times New Roman"/>
          <w:i/>
          <w:sz w:val="24"/>
          <w:szCs w:val="24"/>
          <w:u w:val="single"/>
        </w:rPr>
        <w:t xml:space="preserve">as (eurais)“ ir išdėstyti </w:t>
      </w:r>
      <w:r w:rsidR="009E1DDF" w:rsidRPr="00697AD2">
        <w:rPr>
          <w:rFonts w:ascii="Times New Roman" w:hAnsi="Times New Roman" w:cs="Times New Roman"/>
          <w:i/>
          <w:sz w:val="24"/>
          <w:szCs w:val="24"/>
          <w:u w:val="single"/>
        </w:rPr>
        <w:t>ją</w:t>
      </w:r>
      <w:r w:rsidR="009C4E7B" w:rsidRPr="00697AD2">
        <w:rPr>
          <w:rFonts w:ascii="Times New Roman" w:hAnsi="Times New Roman" w:cs="Times New Roman"/>
          <w:i/>
          <w:sz w:val="24"/>
          <w:szCs w:val="24"/>
          <w:u w:val="single"/>
        </w:rPr>
        <w:t xml:space="preserve"> taip:</w:t>
      </w:r>
    </w:p>
    <w:tbl>
      <w:tblPr>
        <w:tblW w:w="15026" w:type="dxa"/>
        <w:tblInd w:w="108" w:type="dxa"/>
        <w:tblLayout w:type="fixed"/>
        <w:tblLook w:val="04A0" w:firstRow="1" w:lastRow="0" w:firstColumn="1" w:lastColumn="0" w:noHBand="0" w:noVBand="1"/>
      </w:tblPr>
      <w:tblGrid>
        <w:gridCol w:w="992"/>
        <w:gridCol w:w="738"/>
        <w:gridCol w:w="964"/>
        <w:gridCol w:w="1162"/>
        <w:gridCol w:w="1247"/>
        <w:gridCol w:w="1134"/>
        <w:gridCol w:w="1021"/>
        <w:gridCol w:w="1276"/>
        <w:gridCol w:w="680"/>
        <w:gridCol w:w="425"/>
        <w:gridCol w:w="1305"/>
        <w:gridCol w:w="1276"/>
        <w:gridCol w:w="1134"/>
        <w:gridCol w:w="1105"/>
        <w:gridCol w:w="567"/>
      </w:tblGrid>
      <w:tr w:rsidR="009E1DDF" w:rsidRPr="00697AD2" w:rsidTr="00C32E92">
        <w:trPr>
          <w:trHeight w:val="899"/>
          <w:tblHeader/>
        </w:trPr>
        <w:tc>
          <w:tcPr>
            <w:tcW w:w="992" w:type="dxa"/>
            <w:vMerge w:val="restart"/>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color w:val="000000"/>
                <w:sz w:val="16"/>
                <w:szCs w:val="16"/>
                <w:lang w:eastAsia="lt-LT"/>
              </w:rPr>
            </w:pPr>
            <w:r w:rsidRPr="00697AD2">
              <w:rPr>
                <w:rFonts w:ascii="Times New Roman" w:eastAsia="AngsanaUPC" w:hAnsi="Times New Roman" w:cs="Times New Roman"/>
                <w:b/>
                <w:bCs/>
                <w:sz w:val="16"/>
                <w:szCs w:val="16"/>
                <w:lang w:eastAsia="lt-LT"/>
              </w:rPr>
              <w:t>Prioritetas</w:t>
            </w:r>
          </w:p>
        </w:tc>
        <w:bookmarkStart w:id="4" w:name="RANGE!C3"/>
        <w:tc>
          <w:tcPr>
            <w:tcW w:w="738" w:type="dxa"/>
            <w:vMerge w:val="restart"/>
            <w:tcBorders>
              <w:top w:val="single" w:sz="4" w:space="0" w:color="auto"/>
              <w:left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fldChar w:fldCharType="begin"/>
            </w:r>
            <w:r w:rsidRPr="00697AD2">
              <w:rPr>
                <w:rFonts w:ascii="Times New Roman" w:hAnsi="Times New Roman" w:cs="Times New Roman"/>
                <w:b/>
                <w:bCs/>
                <w:color w:val="000000"/>
                <w:sz w:val="16"/>
                <w:szCs w:val="16"/>
                <w:lang w:eastAsia="lt-LT"/>
              </w:rPr>
              <w:instrText>HYPERLINK "C:\\Users\\I-5\\AppData\\Local\\Microsoft\\Windows\\Temporary Internet Files\\Content.Outlook\\AppData\\Local\\Temp\\notes21D1AE\\~1135434.xlsx" \l "RANGE!B35"</w:instrText>
            </w:r>
            <w:r w:rsidRPr="00697AD2">
              <w:rPr>
                <w:rFonts w:ascii="Times New Roman" w:hAnsi="Times New Roman" w:cs="Times New Roman"/>
                <w:b/>
                <w:bCs/>
                <w:color w:val="000000"/>
                <w:sz w:val="16"/>
                <w:szCs w:val="16"/>
                <w:lang w:eastAsia="lt-LT"/>
              </w:rPr>
              <w:fldChar w:fldCharType="separate"/>
            </w:r>
            <w:r w:rsidRPr="00697AD2">
              <w:rPr>
                <w:rFonts w:ascii="Times New Roman" w:hAnsi="Times New Roman" w:cs="Times New Roman"/>
                <w:b/>
                <w:bCs/>
                <w:color w:val="000000"/>
                <w:sz w:val="16"/>
                <w:szCs w:val="16"/>
                <w:lang w:eastAsia="lt-LT"/>
              </w:rPr>
              <w:t>Fondas</w:t>
            </w:r>
            <w:r w:rsidRPr="00697AD2">
              <w:rPr>
                <w:rFonts w:ascii="Times New Roman" w:hAnsi="Times New Roman" w:cs="Times New Roman"/>
                <w:b/>
                <w:bCs/>
                <w:color w:val="000000"/>
                <w:sz w:val="16"/>
                <w:szCs w:val="16"/>
                <w:lang w:eastAsia="lt-LT"/>
              </w:rPr>
              <w:fldChar w:fldCharType="end"/>
            </w:r>
            <w:bookmarkEnd w:id="4"/>
          </w:p>
        </w:tc>
        <w:tc>
          <w:tcPr>
            <w:tcW w:w="964"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eastAsia="AngsanaUPC" w:hAnsi="Times New Roman" w:cs="Times New Roman"/>
                <w:b/>
                <w:bCs/>
                <w:sz w:val="16"/>
                <w:szCs w:val="16"/>
                <w:lang w:eastAsia="lt-LT"/>
              </w:rPr>
              <w:t xml:space="preserve">Pagrindas </w:t>
            </w:r>
            <w:proofErr w:type="spellStart"/>
            <w:r w:rsidRPr="00697AD2">
              <w:rPr>
                <w:rFonts w:ascii="Times New Roman" w:eastAsia="AngsanaUPC" w:hAnsi="Times New Roman" w:cs="Times New Roman"/>
                <w:b/>
                <w:bCs/>
                <w:sz w:val="16"/>
                <w:szCs w:val="16"/>
                <w:lang w:eastAsia="lt-LT"/>
              </w:rPr>
              <w:t>apskai-čiuojant</w:t>
            </w:r>
            <w:proofErr w:type="spellEnd"/>
            <w:r w:rsidRPr="00697AD2">
              <w:rPr>
                <w:rFonts w:ascii="Times New Roman" w:eastAsia="AngsanaUPC" w:hAnsi="Times New Roman" w:cs="Times New Roman"/>
                <w:b/>
                <w:bCs/>
                <w:sz w:val="16"/>
                <w:szCs w:val="16"/>
                <w:lang w:eastAsia="lt-LT"/>
              </w:rPr>
              <w:t xml:space="preserve"> Bendrijos </w:t>
            </w:r>
            <w:proofErr w:type="spellStart"/>
            <w:r w:rsidRPr="00697AD2">
              <w:rPr>
                <w:rFonts w:ascii="Times New Roman" w:eastAsia="AngsanaUPC" w:hAnsi="Times New Roman" w:cs="Times New Roman"/>
                <w:b/>
                <w:bCs/>
                <w:sz w:val="16"/>
                <w:szCs w:val="16"/>
                <w:lang w:eastAsia="lt-LT"/>
              </w:rPr>
              <w:t>finansavi-mą</w:t>
            </w:r>
            <w:proofErr w:type="spellEnd"/>
            <w:r w:rsidRPr="00697AD2">
              <w:rPr>
                <w:rFonts w:ascii="Times New Roman" w:eastAsia="AngsanaUPC" w:hAnsi="Times New Roman" w:cs="Times New Roman"/>
                <w:b/>
                <w:bCs/>
                <w:sz w:val="16"/>
                <w:szCs w:val="16"/>
                <w:lang w:eastAsia="lt-LT"/>
              </w:rPr>
              <w:t xml:space="preserve"> (visos arba viešosios </w:t>
            </w:r>
            <w:proofErr w:type="spellStart"/>
            <w:r w:rsidRPr="00697AD2">
              <w:rPr>
                <w:rFonts w:ascii="Times New Roman" w:eastAsia="AngsanaUPC" w:hAnsi="Times New Roman" w:cs="Times New Roman"/>
                <w:b/>
                <w:bCs/>
                <w:sz w:val="16"/>
                <w:szCs w:val="16"/>
                <w:lang w:eastAsia="lt-LT"/>
              </w:rPr>
              <w:t>finansa-vimo</w:t>
            </w:r>
            <w:proofErr w:type="spellEnd"/>
            <w:r w:rsidRPr="00697AD2">
              <w:rPr>
                <w:rFonts w:ascii="Times New Roman" w:eastAsia="AngsanaUPC" w:hAnsi="Times New Roman" w:cs="Times New Roman"/>
                <w:b/>
                <w:bCs/>
                <w:sz w:val="16"/>
                <w:szCs w:val="16"/>
                <w:lang w:eastAsia="lt-LT"/>
              </w:rPr>
              <w:t xml:space="preserve"> </w:t>
            </w:r>
            <w:proofErr w:type="spellStart"/>
            <w:r w:rsidRPr="00697AD2">
              <w:rPr>
                <w:rFonts w:ascii="Times New Roman" w:eastAsia="AngsanaUPC" w:hAnsi="Times New Roman" w:cs="Times New Roman"/>
                <w:b/>
                <w:bCs/>
                <w:sz w:val="16"/>
                <w:szCs w:val="16"/>
                <w:lang w:eastAsia="lt-LT"/>
              </w:rPr>
              <w:lastRenderedPageBreak/>
              <w:t>reikala-vimus</w:t>
            </w:r>
            <w:proofErr w:type="spellEnd"/>
            <w:r w:rsidRPr="00697AD2">
              <w:rPr>
                <w:rFonts w:ascii="Times New Roman" w:eastAsia="AngsanaUPC" w:hAnsi="Times New Roman" w:cs="Times New Roman"/>
                <w:b/>
                <w:bCs/>
                <w:sz w:val="16"/>
                <w:szCs w:val="16"/>
                <w:lang w:eastAsia="lt-LT"/>
              </w:rPr>
              <w:t xml:space="preserve"> </w:t>
            </w:r>
            <w:proofErr w:type="spellStart"/>
            <w:r w:rsidRPr="00697AD2">
              <w:rPr>
                <w:rFonts w:ascii="Times New Roman" w:eastAsia="AngsanaUPC" w:hAnsi="Times New Roman" w:cs="Times New Roman"/>
                <w:b/>
                <w:bCs/>
                <w:sz w:val="16"/>
                <w:szCs w:val="16"/>
                <w:lang w:eastAsia="lt-LT"/>
              </w:rPr>
              <w:t>atitinkan-čios</w:t>
            </w:r>
            <w:proofErr w:type="spellEnd"/>
            <w:r w:rsidRPr="00697AD2">
              <w:rPr>
                <w:rFonts w:ascii="Times New Roman" w:eastAsia="AngsanaUPC" w:hAnsi="Times New Roman" w:cs="Times New Roman"/>
                <w:b/>
                <w:bCs/>
                <w:sz w:val="16"/>
                <w:szCs w:val="16"/>
                <w:lang w:eastAsia="lt-LT"/>
              </w:rPr>
              <w:t xml:space="preserve"> išlaidos)</w:t>
            </w:r>
          </w:p>
        </w:tc>
        <w:tc>
          <w:tcPr>
            <w:tcW w:w="116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eastAsia="AngsanaUPC" w:hAnsi="Times New Roman" w:cs="Times New Roman"/>
                <w:b/>
                <w:bCs/>
                <w:sz w:val="16"/>
                <w:szCs w:val="16"/>
                <w:lang w:eastAsia="lt-LT"/>
              </w:rPr>
              <w:lastRenderedPageBreak/>
              <w:t xml:space="preserve">Bendrijos finansavimas </w:t>
            </w:r>
          </w:p>
        </w:tc>
        <w:tc>
          <w:tcPr>
            <w:tcW w:w="124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eastAsia="AngsanaUPC" w:hAnsi="Times New Roman" w:cs="Times New Roman"/>
                <w:b/>
                <w:bCs/>
                <w:sz w:val="16"/>
                <w:szCs w:val="16"/>
                <w:lang w:eastAsia="lt-LT"/>
              </w:rPr>
              <w:t>Nacionalinis finansavimas</w:t>
            </w:r>
          </w:p>
        </w:tc>
        <w:tc>
          <w:tcPr>
            <w:tcW w:w="2155"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E1DDF" w:rsidRPr="00697AD2" w:rsidRDefault="009E1DDF" w:rsidP="009E1DDF">
            <w:pPr>
              <w:jc w:val="center"/>
              <w:rPr>
                <w:rFonts w:ascii="Times New Roman" w:eastAsia="AngsanaUPC" w:hAnsi="Times New Roman" w:cs="Times New Roman"/>
                <w:b/>
                <w:bCs/>
                <w:sz w:val="16"/>
                <w:szCs w:val="16"/>
                <w:lang w:eastAsia="lt-LT"/>
              </w:rPr>
            </w:pPr>
            <w:r w:rsidRPr="00697AD2">
              <w:rPr>
                <w:rFonts w:ascii="Times New Roman" w:eastAsia="AngsanaUPC" w:hAnsi="Times New Roman" w:cs="Times New Roman"/>
                <w:b/>
                <w:bCs/>
                <w:sz w:val="16"/>
                <w:szCs w:val="16"/>
                <w:lang w:eastAsia="lt-LT"/>
              </w:rPr>
              <w:t>Nacionalinio finansavimo paskirstymas</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eastAsia="AngsanaUPC" w:hAnsi="Times New Roman" w:cs="Times New Roman"/>
                <w:b/>
                <w:bCs/>
                <w:sz w:val="16"/>
                <w:szCs w:val="16"/>
                <w:lang w:eastAsia="lt-LT"/>
              </w:rPr>
              <w:t>Visas finansavimas</w:t>
            </w:r>
          </w:p>
        </w:tc>
        <w:tc>
          <w:tcPr>
            <w:tcW w:w="6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eastAsia="AngsanaUPC" w:hAnsi="Times New Roman" w:cs="Times New Roman"/>
                <w:b/>
                <w:bCs/>
                <w:sz w:val="16"/>
                <w:szCs w:val="16"/>
                <w:lang w:eastAsia="lt-LT"/>
              </w:rPr>
            </w:pPr>
            <w:proofErr w:type="spellStart"/>
            <w:r w:rsidRPr="00697AD2">
              <w:rPr>
                <w:rFonts w:ascii="Times New Roman" w:eastAsia="AngsanaUPC" w:hAnsi="Times New Roman" w:cs="Times New Roman"/>
                <w:b/>
                <w:bCs/>
                <w:sz w:val="16"/>
                <w:szCs w:val="16"/>
                <w:lang w:eastAsia="lt-LT"/>
              </w:rPr>
              <w:t>Ben-drojo</w:t>
            </w:r>
            <w:proofErr w:type="spellEnd"/>
            <w:r w:rsidRPr="00697AD2">
              <w:rPr>
                <w:rFonts w:ascii="Times New Roman" w:eastAsia="AngsanaUPC" w:hAnsi="Times New Roman" w:cs="Times New Roman"/>
                <w:b/>
                <w:bCs/>
                <w:sz w:val="16"/>
                <w:szCs w:val="16"/>
                <w:lang w:eastAsia="lt-LT"/>
              </w:rPr>
              <w:t xml:space="preserve"> finan</w:t>
            </w:r>
            <w:proofErr w:type="gramStart"/>
            <w:r w:rsidRPr="00697AD2">
              <w:rPr>
                <w:rFonts w:ascii="Times New Roman" w:eastAsia="AngsanaUPC" w:hAnsi="Times New Roman" w:cs="Times New Roman"/>
                <w:b/>
                <w:bCs/>
                <w:sz w:val="16"/>
                <w:szCs w:val="16"/>
                <w:lang w:eastAsia="lt-LT"/>
              </w:rPr>
              <w:t>-</w:t>
            </w:r>
            <w:proofErr w:type="spellStart"/>
            <w:proofErr w:type="gramEnd"/>
            <w:r w:rsidRPr="00697AD2">
              <w:rPr>
                <w:rFonts w:ascii="Times New Roman" w:eastAsia="AngsanaUPC" w:hAnsi="Times New Roman" w:cs="Times New Roman"/>
                <w:b/>
                <w:bCs/>
                <w:sz w:val="16"/>
                <w:szCs w:val="16"/>
                <w:lang w:eastAsia="lt-LT"/>
              </w:rPr>
              <w:t>savimo</w:t>
            </w:r>
            <w:proofErr w:type="spellEnd"/>
            <w:r w:rsidRPr="00697AD2">
              <w:rPr>
                <w:rFonts w:ascii="Times New Roman" w:eastAsia="AngsanaUPC" w:hAnsi="Times New Roman" w:cs="Times New Roman"/>
                <w:b/>
                <w:bCs/>
                <w:sz w:val="16"/>
                <w:szCs w:val="16"/>
                <w:lang w:eastAsia="lt-LT"/>
              </w:rPr>
              <w:t xml:space="preserve"> dalis</w:t>
            </w:r>
          </w:p>
          <w:p w:rsidR="009E1DDF" w:rsidRPr="00697AD2" w:rsidRDefault="009E1DDF" w:rsidP="009E1DDF">
            <w:pPr>
              <w:jc w:val="center"/>
              <w:rPr>
                <w:rFonts w:ascii="Times New Roman" w:hAnsi="Times New Roman" w:cs="Times New Roman"/>
                <w:b/>
                <w:bCs/>
                <w:color w:val="000000"/>
                <w:sz w:val="16"/>
                <w:szCs w:val="16"/>
                <w:lang w:val="en-US" w:eastAsia="lt-LT"/>
              </w:rPr>
            </w:pPr>
            <w:r w:rsidRPr="00697AD2">
              <w:rPr>
                <w:rFonts w:ascii="Times New Roman" w:eastAsia="AngsanaUPC" w:hAnsi="Times New Roman" w:cs="Times New Roman"/>
                <w:b/>
                <w:bCs/>
                <w:sz w:val="16"/>
                <w:szCs w:val="16"/>
                <w:lang w:val="en-US" w:eastAsia="lt-LT"/>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EEECE1" w:themeFill="background2"/>
            <w:textDirection w:val="btLr"/>
            <w:vAlign w:val="center"/>
            <w:hideMark/>
          </w:tcPr>
          <w:p w:rsidR="009E1DDF" w:rsidRPr="00697AD2" w:rsidRDefault="009E1DDF" w:rsidP="009E1DDF">
            <w:pPr>
              <w:ind w:left="113" w:right="113"/>
              <w:jc w:val="center"/>
              <w:rPr>
                <w:rFonts w:ascii="Times New Roman" w:hAnsi="Times New Roman" w:cs="Times New Roman"/>
                <w:b/>
                <w:bCs/>
                <w:color w:val="000000"/>
                <w:sz w:val="16"/>
                <w:szCs w:val="16"/>
                <w:lang w:eastAsia="lt-LT"/>
              </w:rPr>
            </w:pPr>
            <w:r w:rsidRPr="00697AD2">
              <w:rPr>
                <w:rFonts w:ascii="Times New Roman" w:eastAsia="AngsanaUPC" w:hAnsi="Times New Roman" w:cs="Times New Roman"/>
                <w:b/>
                <w:bCs/>
                <w:sz w:val="16"/>
                <w:szCs w:val="16"/>
                <w:lang w:eastAsia="lt-LT"/>
              </w:rPr>
              <w:t>EIB įnašas</w:t>
            </w:r>
          </w:p>
        </w:tc>
        <w:tc>
          <w:tcPr>
            <w:tcW w:w="258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Pagrindiniai asignavimai (finansavimas be rezervo)</w:t>
            </w:r>
          </w:p>
        </w:tc>
        <w:tc>
          <w:tcPr>
            <w:tcW w:w="223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Veiklos rezervas</w:t>
            </w:r>
          </w:p>
        </w:tc>
        <w:tc>
          <w:tcPr>
            <w:tcW w:w="567" w:type="dxa"/>
            <w:vMerge w:val="restart"/>
            <w:tcBorders>
              <w:top w:val="single" w:sz="4" w:space="0" w:color="auto"/>
              <w:left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val="en-US" w:eastAsia="lt-LT"/>
              </w:rPr>
            </w:pPr>
            <w:r w:rsidRPr="00697AD2">
              <w:rPr>
                <w:rFonts w:ascii="Times New Roman" w:hAnsi="Times New Roman" w:cs="Times New Roman"/>
                <w:b/>
                <w:bCs/>
                <w:color w:val="000000"/>
                <w:sz w:val="16"/>
                <w:szCs w:val="16"/>
                <w:lang w:eastAsia="lt-LT"/>
              </w:rPr>
              <w:t xml:space="preserve">Veiklos rezervo dalis </w:t>
            </w:r>
            <w:r w:rsidRPr="00697AD2">
              <w:rPr>
                <w:rFonts w:ascii="Times New Roman" w:hAnsi="Times New Roman" w:cs="Times New Roman"/>
                <w:b/>
                <w:bCs/>
                <w:color w:val="000000"/>
                <w:sz w:val="16"/>
                <w:szCs w:val="16"/>
                <w:lang w:val="en-US" w:eastAsia="lt-LT"/>
              </w:rPr>
              <w:t>%</w:t>
            </w:r>
          </w:p>
        </w:tc>
      </w:tr>
      <w:tr w:rsidR="009E1DDF" w:rsidRPr="00697AD2" w:rsidTr="00C32E92">
        <w:trPr>
          <w:trHeight w:val="429"/>
          <w:tblHeader/>
        </w:trPr>
        <w:tc>
          <w:tcPr>
            <w:tcW w:w="992" w:type="dxa"/>
            <w:vMerge/>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color w:val="000000"/>
                <w:sz w:val="16"/>
                <w:szCs w:val="16"/>
                <w:lang w:eastAsia="lt-LT"/>
              </w:rPr>
            </w:pPr>
          </w:p>
        </w:tc>
        <w:tc>
          <w:tcPr>
            <w:tcW w:w="738" w:type="dxa"/>
            <w:vMerge/>
            <w:tcBorders>
              <w:left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p>
        </w:tc>
        <w:tc>
          <w:tcPr>
            <w:tcW w:w="964"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(a)</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(b) = (c) + (d</w:t>
            </w:r>
            <w:proofErr w:type="gramStart"/>
            <w:r w:rsidRPr="00697AD2">
              <w:rPr>
                <w:rFonts w:ascii="Times New Roman" w:hAnsi="Times New Roman" w:cs="Times New Roman"/>
                <w:b/>
                <w:bCs/>
                <w:color w:val="000000"/>
                <w:sz w:val="16"/>
                <w:szCs w:val="16"/>
                <w:lang w:eastAsia="lt-LT"/>
              </w:rPr>
              <w:t>))</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rsidR="009E1DDF" w:rsidRPr="00697AD2" w:rsidRDefault="009E1DDF" w:rsidP="009E1DDF">
            <w:pPr>
              <w:jc w:val="center"/>
              <w:rPr>
                <w:rFonts w:ascii="Times New Roman" w:hAnsi="Times New Roman" w:cs="Times New Roman"/>
                <w:b/>
                <w:bCs/>
                <w:sz w:val="16"/>
                <w:szCs w:val="16"/>
                <w:lang w:eastAsia="lt-LT"/>
              </w:rPr>
            </w:pPr>
            <w:r w:rsidRPr="00697AD2">
              <w:rPr>
                <w:rFonts w:ascii="Times New Roman" w:hAnsi="Times New Roman" w:cs="Times New Roman"/>
                <w:b/>
                <w:bCs/>
                <w:sz w:val="16"/>
                <w:szCs w:val="16"/>
                <w:lang w:eastAsia="lt-LT"/>
              </w:rPr>
              <w:t>Nacionalinis viešasis finansavimas</w:t>
            </w:r>
          </w:p>
        </w:tc>
        <w:tc>
          <w:tcPr>
            <w:tcW w:w="1021" w:type="dxa"/>
            <w:tcBorders>
              <w:top w:val="single" w:sz="4" w:space="0" w:color="auto"/>
              <w:left w:val="single" w:sz="4" w:space="0" w:color="auto"/>
              <w:bottom w:val="single" w:sz="4" w:space="0" w:color="auto"/>
              <w:right w:val="single" w:sz="4" w:space="0" w:color="auto"/>
            </w:tcBorders>
            <w:shd w:val="clear" w:color="auto" w:fill="EEECE1" w:themeFill="background2"/>
          </w:tcPr>
          <w:p w:rsidR="009E1DDF" w:rsidRPr="00697AD2" w:rsidRDefault="009E1DDF" w:rsidP="009E1DDF">
            <w:pPr>
              <w:jc w:val="center"/>
              <w:rPr>
                <w:rFonts w:ascii="Times New Roman" w:hAnsi="Times New Roman" w:cs="Times New Roman"/>
                <w:b/>
                <w:bCs/>
                <w:sz w:val="16"/>
                <w:szCs w:val="16"/>
                <w:lang w:eastAsia="lt-LT"/>
              </w:rPr>
            </w:pPr>
            <w:r w:rsidRPr="00697AD2">
              <w:rPr>
                <w:rFonts w:ascii="Times New Roman" w:hAnsi="Times New Roman" w:cs="Times New Roman"/>
                <w:b/>
                <w:bCs/>
                <w:sz w:val="16"/>
                <w:szCs w:val="16"/>
                <w:lang w:eastAsia="lt-LT"/>
              </w:rPr>
              <w:t>Nacionalinis privatus finansavimas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(e) = (a) + (b)</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(f). = (a)/(e)</w:t>
            </w:r>
          </w:p>
        </w:tc>
        <w:tc>
          <w:tcPr>
            <w:tcW w:w="425"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p>
        </w:tc>
        <w:tc>
          <w:tcPr>
            <w:tcW w:w="1305" w:type="dxa"/>
            <w:tcBorders>
              <w:top w:val="single" w:sz="4" w:space="0" w:color="auto"/>
              <w:left w:val="nil"/>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eastAsia="AngsanaUPC" w:hAnsi="Times New Roman" w:cs="Times New Roman"/>
                <w:b/>
                <w:bCs/>
                <w:sz w:val="16"/>
                <w:szCs w:val="16"/>
                <w:lang w:eastAsia="lt-LT"/>
              </w:rPr>
              <w:t>Bendrijos finansavimas</w:t>
            </w: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eastAsia="AngsanaUPC" w:hAnsi="Times New Roman" w:cs="Times New Roman"/>
                <w:b/>
                <w:bCs/>
                <w:sz w:val="16"/>
                <w:szCs w:val="16"/>
                <w:lang w:eastAsia="lt-LT"/>
              </w:rPr>
              <w:t>Nacionalinis finansavimas</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eastAsia="AngsanaUPC" w:hAnsi="Times New Roman" w:cs="Times New Roman"/>
                <w:b/>
                <w:bCs/>
                <w:sz w:val="16"/>
                <w:szCs w:val="16"/>
                <w:lang w:eastAsia="lt-LT"/>
              </w:rPr>
              <w:t>Bendrijos finansavimas</w:t>
            </w:r>
          </w:p>
        </w:tc>
        <w:tc>
          <w:tcPr>
            <w:tcW w:w="1105" w:type="dxa"/>
            <w:tcBorders>
              <w:top w:val="single" w:sz="4" w:space="0" w:color="auto"/>
              <w:left w:val="nil"/>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eastAsia="AngsanaUPC" w:hAnsi="Times New Roman" w:cs="Times New Roman"/>
                <w:b/>
                <w:bCs/>
                <w:sz w:val="16"/>
                <w:szCs w:val="16"/>
                <w:lang w:eastAsia="lt-LT"/>
              </w:rPr>
              <w:t>Nacionalinis finansavimas</w:t>
            </w:r>
          </w:p>
        </w:tc>
        <w:tc>
          <w:tcPr>
            <w:tcW w:w="567" w:type="dxa"/>
            <w:vMerge/>
            <w:tcBorders>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p>
        </w:tc>
      </w:tr>
      <w:tr w:rsidR="009E1DDF" w:rsidRPr="00697AD2" w:rsidTr="00C32E92">
        <w:trPr>
          <w:trHeight w:val="509"/>
          <w:tblHeader/>
        </w:trPr>
        <w:tc>
          <w:tcPr>
            <w:tcW w:w="992" w:type="dxa"/>
            <w:vMerge/>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color w:val="000000"/>
                <w:sz w:val="16"/>
                <w:szCs w:val="16"/>
                <w:lang w:eastAsia="lt-LT"/>
              </w:rPr>
            </w:pPr>
          </w:p>
        </w:tc>
        <w:tc>
          <w:tcPr>
            <w:tcW w:w="738" w:type="dxa"/>
            <w:vMerge/>
            <w:tcBorders>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color w:val="000000"/>
                <w:sz w:val="16"/>
                <w:szCs w:val="16"/>
                <w:lang w:eastAsia="lt-LT"/>
              </w:rPr>
            </w:pPr>
          </w:p>
        </w:tc>
        <w:tc>
          <w:tcPr>
            <w:tcW w:w="964"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p>
        </w:tc>
        <w:tc>
          <w:tcPr>
            <w:tcW w:w="1162"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p>
        </w:tc>
        <w:tc>
          <w:tcPr>
            <w:tcW w:w="1247"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E1DDF" w:rsidRPr="00697AD2" w:rsidRDefault="009E1DDF" w:rsidP="009E1DDF">
            <w:pPr>
              <w:jc w:val="center"/>
              <w:rPr>
                <w:rFonts w:ascii="Times New Roman" w:hAnsi="Times New Roman" w:cs="Times New Roman"/>
                <w:b/>
                <w:bCs/>
                <w:sz w:val="16"/>
                <w:szCs w:val="16"/>
                <w:lang w:eastAsia="lt-LT"/>
              </w:rPr>
            </w:pPr>
            <w:r w:rsidRPr="00697AD2">
              <w:rPr>
                <w:rFonts w:ascii="Times New Roman" w:hAnsi="Times New Roman" w:cs="Times New Roman"/>
                <w:b/>
                <w:bCs/>
                <w:sz w:val="16"/>
                <w:szCs w:val="16"/>
                <w:lang w:eastAsia="lt-LT"/>
              </w:rPr>
              <w:t>(c)</w:t>
            </w:r>
          </w:p>
        </w:tc>
        <w:tc>
          <w:tcPr>
            <w:tcW w:w="102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E1DDF" w:rsidRPr="00697AD2" w:rsidRDefault="009E1DDF" w:rsidP="009E1DDF">
            <w:pPr>
              <w:jc w:val="center"/>
              <w:rPr>
                <w:rFonts w:ascii="Times New Roman" w:hAnsi="Times New Roman" w:cs="Times New Roman"/>
                <w:b/>
                <w:bCs/>
                <w:sz w:val="16"/>
                <w:szCs w:val="16"/>
                <w:lang w:eastAsia="lt-LT"/>
              </w:rPr>
            </w:pPr>
            <w:r w:rsidRPr="00697AD2">
              <w:rPr>
                <w:rFonts w:ascii="Times New Roman" w:hAnsi="Times New Roman" w:cs="Times New Roman"/>
                <w:b/>
                <w:bCs/>
                <w:sz w:val="16"/>
                <w:szCs w:val="16"/>
                <w:lang w:eastAsia="lt-LT"/>
              </w:rPr>
              <w:t>(d)</w:t>
            </w:r>
          </w:p>
        </w:tc>
        <w:tc>
          <w:tcPr>
            <w:tcW w:w="1276"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p>
        </w:tc>
        <w:tc>
          <w:tcPr>
            <w:tcW w:w="680"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p>
        </w:tc>
        <w:tc>
          <w:tcPr>
            <w:tcW w:w="425"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p>
        </w:tc>
        <w:tc>
          <w:tcPr>
            <w:tcW w:w="1305" w:type="dxa"/>
            <w:tcBorders>
              <w:top w:val="single" w:sz="4" w:space="0" w:color="auto"/>
              <w:left w:val="nil"/>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w:t>
            </w:r>
            <w:proofErr w:type="spellStart"/>
            <w:r w:rsidRPr="00697AD2">
              <w:rPr>
                <w:rFonts w:ascii="Times New Roman" w:hAnsi="Times New Roman" w:cs="Times New Roman"/>
                <w:b/>
                <w:bCs/>
                <w:color w:val="000000"/>
                <w:sz w:val="16"/>
                <w:szCs w:val="16"/>
                <w:lang w:eastAsia="lt-LT"/>
              </w:rPr>
              <w:t>h)=(a)-(j)</w:t>
            </w:r>
            <w:proofErr w:type="spellEnd"/>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(i) = (b) – (k)</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(j)</w:t>
            </w:r>
          </w:p>
        </w:tc>
        <w:tc>
          <w:tcPr>
            <w:tcW w:w="1105" w:type="dxa"/>
            <w:tcBorders>
              <w:top w:val="single" w:sz="4" w:space="0" w:color="auto"/>
              <w:left w:val="nil"/>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(k)= (b) * ((j)/(a</w:t>
            </w:r>
            <w:proofErr w:type="gramStart"/>
            <w:r w:rsidRPr="00697AD2">
              <w:rPr>
                <w:rFonts w:ascii="Times New Roman" w:hAnsi="Times New Roman" w:cs="Times New Roman"/>
                <w:b/>
                <w:bCs/>
                <w:color w:val="000000"/>
                <w:sz w:val="16"/>
                <w:szCs w:val="16"/>
                <w:lang w:eastAsia="lt-LT"/>
              </w:rPr>
              <w:t>))</w:t>
            </w:r>
            <w:proofErr w:type="gramEnd"/>
          </w:p>
        </w:tc>
        <w:tc>
          <w:tcPr>
            <w:tcW w:w="567" w:type="dxa"/>
            <w:tcBorders>
              <w:top w:val="single" w:sz="4" w:space="0" w:color="auto"/>
              <w:left w:val="nil"/>
              <w:bottom w:val="single" w:sz="4" w:space="0" w:color="auto"/>
              <w:right w:val="single" w:sz="4" w:space="0" w:color="auto"/>
            </w:tcBorders>
            <w:shd w:val="clear" w:color="auto" w:fill="EEECE1" w:themeFill="background2"/>
            <w:vAlign w:val="center"/>
            <w:hideMark/>
          </w:tcPr>
          <w:p w:rsidR="009E1DDF" w:rsidRPr="00697AD2" w:rsidRDefault="009E1DDF" w:rsidP="009E1DD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(l) =(j)/(a) *100</w:t>
            </w:r>
          </w:p>
        </w:tc>
      </w:tr>
      <w:tr w:rsidR="00716AFD" w:rsidRPr="00697AD2" w:rsidTr="009E1DDF">
        <w:trPr>
          <w:trHeight w:val="51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716AFD" w:rsidRPr="00697AD2" w:rsidRDefault="00716AFD" w:rsidP="009E1DDF">
            <w:pPr>
              <w:widowControl w:val="0"/>
              <w:tabs>
                <w:tab w:val="left" w:pos="622"/>
              </w:tabs>
              <w:rPr>
                <w:rFonts w:ascii="Times New Roman" w:eastAsia="AngsanaUPC" w:hAnsi="Times New Roman" w:cs="Times New Roman"/>
                <w:b/>
                <w:bCs/>
                <w:sz w:val="16"/>
                <w:szCs w:val="16"/>
                <w:lang w:eastAsia="lt-LT"/>
              </w:rPr>
            </w:pPr>
            <w:r w:rsidRPr="00697AD2">
              <w:rPr>
                <w:rFonts w:ascii="Times New Roman" w:eastAsia="AngsanaUPC" w:hAnsi="Times New Roman" w:cs="Times New Roman"/>
                <w:bCs/>
                <w:sz w:val="16"/>
                <w:szCs w:val="16"/>
                <w:lang w:eastAsia="lt-LT"/>
              </w:rPr>
              <w:lastRenderedPageBreak/>
              <w:t>1. MTEPI skatinimas</w:t>
            </w:r>
          </w:p>
        </w:tc>
        <w:tc>
          <w:tcPr>
            <w:tcW w:w="738" w:type="dxa"/>
            <w:tcBorders>
              <w:top w:val="nil"/>
              <w:left w:val="nil"/>
              <w:bottom w:val="single" w:sz="4" w:space="0" w:color="auto"/>
              <w:right w:val="single" w:sz="4" w:space="0" w:color="auto"/>
            </w:tcBorders>
            <w:shd w:val="clear" w:color="auto" w:fill="auto"/>
            <w:vAlign w:val="center"/>
            <w:hideMark/>
          </w:tcPr>
          <w:p w:rsidR="00716AFD" w:rsidRPr="00697AD2" w:rsidRDefault="00716AFD" w:rsidP="009E1DDF">
            <w:pPr>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ERPF</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716AFD" w:rsidRPr="00697AD2" w:rsidRDefault="00716AFD" w:rsidP="009E1DDF">
            <w:pPr>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Bendros tinkamos išlaidos</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823B34" w:rsidRPr="00EE75F8" w:rsidRDefault="00FE3814"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655.9</w:t>
            </w:r>
            <w:r w:rsidR="00823B34" w:rsidRPr="00EE75F8">
              <w:rPr>
                <w:rFonts w:ascii="Times New Roman" w:hAnsi="Times New Roman" w:cs="Times New Roman"/>
                <w:color w:val="000000"/>
                <w:sz w:val="16"/>
                <w:szCs w:val="16"/>
                <w:lang w:eastAsia="lt-LT"/>
              </w:rPr>
              <w:t>28.835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B06A6" w:rsidRPr="00EE75F8" w:rsidRDefault="00FE3814"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115.752.14</w:t>
            </w:r>
            <w:r w:rsidR="00FB06A6" w:rsidRPr="00EE75F8">
              <w:rPr>
                <w:rFonts w:ascii="Times New Roman" w:hAnsi="Times New Roman" w:cs="Times New Roman"/>
                <w:color w:val="000000"/>
                <w:sz w:val="16"/>
                <w:szCs w:val="16"/>
                <w:lang w:eastAsia="lt-LT"/>
              </w:rPr>
              <w:t>8</w:t>
            </w:r>
          </w:p>
        </w:tc>
        <w:tc>
          <w:tcPr>
            <w:tcW w:w="1134" w:type="dxa"/>
            <w:tcBorders>
              <w:top w:val="single" w:sz="4" w:space="0" w:color="auto"/>
              <w:left w:val="nil"/>
              <w:bottom w:val="single" w:sz="4" w:space="0" w:color="auto"/>
              <w:right w:val="single" w:sz="4" w:space="0" w:color="auto"/>
            </w:tcBorders>
            <w:vAlign w:val="center"/>
          </w:tcPr>
          <w:p w:rsidR="00716AFD" w:rsidRPr="00EE75F8" w:rsidRDefault="00716AFD" w:rsidP="009E1DDF">
            <w:pPr>
              <w:jc w:val="right"/>
              <w:rPr>
                <w:rFonts w:ascii="Times New Roman" w:hAnsi="Times New Roman" w:cs="Times New Roman"/>
                <w:sz w:val="16"/>
                <w:szCs w:val="16"/>
              </w:rPr>
            </w:pPr>
            <w:r w:rsidRPr="00EE75F8">
              <w:rPr>
                <w:rFonts w:ascii="Times New Roman" w:hAnsi="Times New Roman" w:cs="Times New Roman"/>
                <w:sz w:val="16"/>
                <w:szCs w:val="16"/>
              </w:rPr>
              <w:t>0</w:t>
            </w:r>
          </w:p>
        </w:tc>
        <w:tc>
          <w:tcPr>
            <w:tcW w:w="1021" w:type="dxa"/>
            <w:tcBorders>
              <w:top w:val="single" w:sz="4" w:space="0" w:color="auto"/>
              <w:left w:val="single" w:sz="4" w:space="0" w:color="auto"/>
              <w:bottom w:val="single" w:sz="4" w:space="0" w:color="auto"/>
              <w:right w:val="single" w:sz="4" w:space="0" w:color="auto"/>
            </w:tcBorders>
            <w:vAlign w:val="center"/>
          </w:tcPr>
          <w:p w:rsidR="00376D0A" w:rsidRPr="00EE75F8" w:rsidRDefault="00FE3814"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115.752.14</w:t>
            </w:r>
            <w:r w:rsidR="00376D0A" w:rsidRPr="00EE75F8">
              <w:rPr>
                <w:rFonts w:ascii="Times New Roman" w:hAnsi="Times New Roman" w:cs="Times New Roman"/>
                <w:color w:val="000000"/>
                <w:sz w:val="16"/>
                <w:szCs w:val="16"/>
                <w:lang w:eastAsia="lt-LT"/>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2B04" w:rsidRPr="00EE75F8" w:rsidRDefault="00FE3814"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771.680.983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16AFD" w:rsidRPr="00EE75F8" w:rsidRDefault="00716AFD" w:rsidP="009E1DD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85,00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16AFD" w:rsidRPr="00EE75F8" w:rsidRDefault="00716AFD" w:rsidP="009E1DD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5C2B04" w:rsidRPr="00EE75F8" w:rsidRDefault="00FE3814"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616.573.105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6961" w:rsidRPr="00EE75F8" w:rsidRDefault="00FE3814"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108.807.019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6961" w:rsidRPr="00EE75F8" w:rsidRDefault="00FE3814"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39.355.730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7A1559" w:rsidRPr="00EE75F8" w:rsidRDefault="00FE3814"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6.945.129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16AFD" w:rsidRPr="00697AD2" w:rsidRDefault="00716AFD" w:rsidP="009E1DDF">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6,00</w:t>
            </w:r>
          </w:p>
        </w:tc>
      </w:tr>
      <w:tr w:rsidR="009E1DDF" w:rsidRPr="00697AD2" w:rsidTr="009E1DDF">
        <w:trPr>
          <w:trHeight w:val="51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9E1DDF" w:rsidRPr="00697AD2" w:rsidRDefault="009E1DDF" w:rsidP="009E1DDF">
            <w:pPr>
              <w:widowControl w:val="0"/>
              <w:tabs>
                <w:tab w:val="left" w:pos="622"/>
              </w:tabs>
              <w:rPr>
                <w:rFonts w:ascii="Times New Roman" w:eastAsia="AngsanaUPC" w:hAnsi="Times New Roman" w:cs="Times New Roman"/>
                <w:bCs/>
                <w:sz w:val="16"/>
                <w:szCs w:val="16"/>
                <w:lang w:eastAsia="lt-LT"/>
              </w:rPr>
            </w:pPr>
            <w:r w:rsidRPr="00697AD2">
              <w:rPr>
                <w:rFonts w:ascii="Times New Roman" w:hAnsi="Times New Roman" w:cs="Times New Roman"/>
                <w:sz w:val="16"/>
                <w:szCs w:val="16"/>
              </w:rPr>
              <w:t>2. Informa</w:t>
            </w:r>
            <w:proofErr w:type="gramStart"/>
            <w:r w:rsidR="00D845D2" w:rsidRPr="00697AD2">
              <w:rPr>
                <w:rFonts w:ascii="Times New Roman" w:hAnsi="Times New Roman" w:cs="Times New Roman"/>
                <w:sz w:val="16"/>
                <w:szCs w:val="16"/>
              </w:rPr>
              <w:t>-</w:t>
            </w:r>
            <w:proofErr w:type="gramEnd"/>
            <w:r w:rsidRPr="00697AD2">
              <w:rPr>
                <w:rFonts w:ascii="Times New Roman" w:hAnsi="Times New Roman" w:cs="Times New Roman"/>
                <w:sz w:val="16"/>
                <w:szCs w:val="16"/>
              </w:rPr>
              <w:t>cinės visuomenės skatinimas</w:t>
            </w: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ERPF</w:t>
            </w:r>
          </w:p>
        </w:tc>
        <w:tc>
          <w:tcPr>
            <w:tcW w:w="96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Bendros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823B34"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180.287.</w:t>
            </w:r>
            <w:r w:rsidR="00823B34" w:rsidRPr="00EE75F8">
              <w:rPr>
                <w:rFonts w:ascii="Times New Roman" w:hAnsi="Times New Roman" w:cs="Times New Roman"/>
                <w:color w:val="000000"/>
                <w:sz w:val="16"/>
                <w:szCs w:val="16"/>
                <w:lang w:eastAsia="lt-LT"/>
              </w:rPr>
              <w:t>284</w:t>
            </w:r>
          </w:p>
        </w:tc>
        <w:tc>
          <w:tcPr>
            <w:tcW w:w="1247" w:type="dxa"/>
            <w:tcBorders>
              <w:top w:val="nil"/>
              <w:left w:val="nil"/>
              <w:bottom w:val="single" w:sz="4" w:space="0" w:color="auto"/>
              <w:right w:val="single" w:sz="4" w:space="0" w:color="auto"/>
            </w:tcBorders>
            <w:shd w:val="clear" w:color="auto" w:fill="auto"/>
            <w:vAlign w:val="center"/>
            <w:hideMark/>
          </w:tcPr>
          <w:p w:rsidR="00FB06A6"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31.815.</w:t>
            </w:r>
            <w:r w:rsidR="00FB06A6" w:rsidRPr="00EE75F8">
              <w:rPr>
                <w:rFonts w:ascii="Times New Roman" w:hAnsi="Times New Roman" w:cs="Times New Roman"/>
                <w:color w:val="000000"/>
                <w:sz w:val="16"/>
                <w:szCs w:val="16"/>
                <w:lang w:eastAsia="lt-LT"/>
              </w:rPr>
              <w:t>404</w:t>
            </w:r>
          </w:p>
        </w:tc>
        <w:tc>
          <w:tcPr>
            <w:tcW w:w="1134" w:type="dxa"/>
            <w:tcBorders>
              <w:top w:val="single" w:sz="4" w:space="0" w:color="auto"/>
              <w:left w:val="nil"/>
              <w:bottom w:val="single" w:sz="4" w:space="0" w:color="auto"/>
              <w:right w:val="single" w:sz="4" w:space="0" w:color="auto"/>
            </w:tcBorders>
            <w:vAlign w:val="center"/>
          </w:tcPr>
          <w:p w:rsidR="00FB06A6"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31.716.</w:t>
            </w:r>
            <w:r w:rsidR="00FB06A6" w:rsidRPr="00EE75F8">
              <w:rPr>
                <w:rFonts w:ascii="Times New Roman" w:hAnsi="Times New Roman" w:cs="Times New Roman"/>
                <w:color w:val="000000"/>
                <w:sz w:val="16"/>
                <w:szCs w:val="16"/>
                <w:lang w:eastAsia="lt-LT"/>
              </w:rPr>
              <w:t>872</w:t>
            </w:r>
          </w:p>
        </w:tc>
        <w:tc>
          <w:tcPr>
            <w:tcW w:w="1021" w:type="dxa"/>
            <w:tcBorders>
              <w:top w:val="single" w:sz="4" w:space="0" w:color="auto"/>
              <w:left w:val="single" w:sz="4" w:space="0" w:color="auto"/>
              <w:bottom w:val="single" w:sz="4" w:space="0" w:color="auto"/>
              <w:right w:val="single" w:sz="4" w:space="0" w:color="auto"/>
            </w:tcBorders>
            <w:vAlign w:val="center"/>
          </w:tcPr>
          <w:p w:rsidR="00376D0A" w:rsidRPr="00EE75F8" w:rsidRDefault="00400A7D" w:rsidP="001A0B6F">
            <w:pPr>
              <w:jc w:val="right"/>
              <w:rPr>
                <w:rFonts w:ascii="Times New Roman" w:hAnsi="Times New Roman" w:cs="Times New Roman"/>
                <w:sz w:val="16"/>
                <w:szCs w:val="16"/>
              </w:rPr>
            </w:pPr>
            <w:r w:rsidRPr="00EE75F8">
              <w:rPr>
                <w:rFonts w:ascii="Times New Roman" w:hAnsi="Times New Roman" w:cs="Times New Roman"/>
                <w:sz w:val="16"/>
                <w:szCs w:val="16"/>
              </w:rPr>
              <w:t>98.</w:t>
            </w:r>
            <w:r w:rsidR="00376D0A" w:rsidRPr="00EE75F8">
              <w:rPr>
                <w:rFonts w:ascii="Times New Roman" w:hAnsi="Times New Roman" w:cs="Times New Roman"/>
                <w:sz w:val="16"/>
                <w:szCs w:val="16"/>
              </w:rPr>
              <w:t>532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2B04"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212.102.</w:t>
            </w:r>
            <w:r w:rsidR="005C2B04" w:rsidRPr="00EE75F8">
              <w:rPr>
                <w:rFonts w:ascii="Times New Roman" w:hAnsi="Times New Roman" w:cs="Times New Roman"/>
                <w:color w:val="000000"/>
                <w:sz w:val="16"/>
                <w:szCs w:val="16"/>
                <w:lang w:eastAsia="lt-LT"/>
              </w:rPr>
              <w:t>688</w:t>
            </w:r>
          </w:p>
        </w:tc>
        <w:tc>
          <w:tcPr>
            <w:tcW w:w="680" w:type="dxa"/>
            <w:tcBorders>
              <w:top w:val="nil"/>
              <w:left w:val="nil"/>
              <w:bottom w:val="single" w:sz="4" w:space="0" w:color="auto"/>
              <w:right w:val="single" w:sz="4" w:space="0" w:color="auto"/>
            </w:tcBorders>
            <w:shd w:val="clear" w:color="auto" w:fill="auto"/>
            <w:vAlign w:val="center"/>
            <w:hideMark/>
          </w:tcPr>
          <w:p w:rsidR="009E1DDF" w:rsidRPr="00EE75F8" w:rsidRDefault="009E1DDF" w:rsidP="009E1DD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EE75F8" w:rsidRDefault="009E1DDF" w:rsidP="009E1DD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w:t>
            </w:r>
          </w:p>
        </w:tc>
        <w:tc>
          <w:tcPr>
            <w:tcW w:w="1305" w:type="dxa"/>
            <w:tcBorders>
              <w:top w:val="nil"/>
              <w:left w:val="nil"/>
              <w:bottom w:val="single" w:sz="4" w:space="0" w:color="auto"/>
              <w:right w:val="single" w:sz="4" w:space="0" w:color="auto"/>
            </w:tcBorders>
            <w:shd w:val="clear" w:color="auto" w:fill="auto"/>
            <w:vAlign w:val="center"/>
            <w:hideMark/>
          </w:tcPr>
          <w:p w:rsidR="005C2B04"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169.470.</w:t>
            </w:r>
            <w:r w:rsidR="005C2B04" w:rsidRPr="00EE75F8">
              <w:rPr>
                <w:rFonts w:ascii="Times New Roman" w:hAnsi="Times New Roman" w:cs="Times New Roman"/>
                <w:color w:val="000000"/>
                <w:sz w:val="16"/>
                <w:szCs w:val="16"/>
                <w:lang w:eastAsia="lt-LT"/>
              </w:rPr>
              <w:t>047</w:t>
            </w:r>
          </w:p>
        </w:tc>
        <w:tc>
          <w:tcPr>
            <w:tcW w:w="1276" w:type="dxa"/>
            <w:tcBorders>
              <w:top w:val="nil"/>
              <w:left w:val="nil"/>
              <w:bottom w:val="single" w:sz="4" w:space="0" w:color="auto"/>
              <w:right w:val="single" w:sz="4" w:space="0" w:color="auto"/>
            </w:tcBorders>
            <w:shd w:val="clear" w:color="auto" w:fill="auto"/>
            <w:vAlign w:val="center"/>
            <w:hideMark/>
          </w:tcPr>
          <w:p w:rsidR="00656961"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29.906.</w:t>
            </w:r>
            <w:r w:rsidR="00656961" w:rsidRPr="00EE75F8">
              <w:rPr>
                <w:rFonts w:ascii="Times New Roman" w:hAnsi="Times New Roman" w:cs="Times New Roman"/>
                <w:color w:val="000000"/>
                <w:sz w:val="16"/>
                <w:szCs w:val="16"/>
                <w:lang w:eastAsia="lt-LT"/>
              </w:rPr>
              <w:t>480</w:t>
            </w:r>
          </w:p>
        </w:tc>
        <w:tc>
          <w:tcPr>
            <w:tcW w:w="1134" w:type="dxa"/>
            <w:tcBorders>
              <w:top w:val="nil"/>
              <w:left w:val="nil"/>
              <w:bottom w:val="single" w:sz="4" w:space="0" w:color="auto"/>
              <w:right w:val="single" w:sz="4" w:space="0" w:color="auto"/>
            </w:tcBorders>
            <w:shd w:val="clear" w:color="auto" w:fill="auto"/>
            <w:vAlign w:val="center"/>
            <w:hideMark/>
          </w:tcPr>
          <w:p w:rsidR="00656961"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10.817.</w:t>
            </w:r>
            <w:r w:rsidR="00656961" w:rsidRPr="00EE75F8">
              <w:rPr>
                <w:rFonts w:ascii="Times New Roman" w:hAnsi="Times New Roman" w:cs="Times New Roman"/>
                <w:color w:val="000000"/>
                <w:sz w:val="16"/>
                <w:szCs w:val="16"/>
                <w:lang w:eastAsia="lt-LT"/>
              </w:rPr>
              <w:t>237</w:t>
            </w:r>
          </w:p>
        </w:tc>
        <w:tc>
          <w:tcPr>
            <w:tcW w:w="1105" w:type="dxa"/>
            <w:tcBorders>
              <w:top w:val="nil"/>
              <w:left w:val="nil"/>
              <w:bottom w:val="single" w:sz="4" w:space="0" w:color="auto"/>
              <w:right w:val="single" w:sz="4" w:space="0" w:color="auto"/>
            </w:tcBorders>
            <w:shd w:val="clear" w:color="auto" w:fill="auto"/>
            <w:vAlign w:val="center"/>
            <w:hideMark/>
          </w:tcPr>
          <w:p w:rsidR="007A1559"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1.908.</w:t>
            </w:r>
            <w:r w:rsidR="007A1559" w:rsidRPr="00EE75F8">
              <w:rPr>
                <w:rFonts w:ascii="Times New Roman" w:hAnsi="Times New Roman" w:cs="Times New Roman"/>
                <w:color w:val="000000"/>
                <w:sz w:val="16"/>
                <w:szCs w:val="16"/>
                <w:lang w:eastAsia="lt-LT"/>
              </w:rPr>
              <w:t>924</w:t>
            </w:r>
          </w:p>
        </w:tc>
        <w:tc>
          <w:tcPr>
            <w:tcW w:w="567"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6,00</w:t>
            </w:r>
          </w:p>
        </w:tc>
      </w:tr>
      <w:tr w:rsidR="00574150" w:rsidRPr="00697AD2" w:rsidTr="009E1DDF">
        <w:trPr>
          <w:trHeight w:val="51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574150" w:rsidRPr="00697AD2" w:rsidRDefault="00574150" w:rsidP="009E1DDF">
            <w:pPr>
              <w:widowControl w:val="0"/>
              <w:tabs>
                <w:tab w:val="left" w:pos="622"/>
              </w:tabs>
              <w:rPr>
                <w:rFonts w:ascii="Times New Roman" w:eastAsia="AngsanaUPC" w:hAnsi="Times New Roman" w:cs="Times New Roman"/>
                <w:bCs/>
                <w:sz w:val="16"/>
                <w:szCs w:val="16"/>
                <w:lang w:eastAsia="lt-LT"/>
              </w:rPr>
            </w:pPr>
            <w:r w:rsidRPr="00697AD2">
              <w:rPr>
                <w:rFonts w:ascii="Times New Roman" w:hAnsi="Times New Roman" w:cs="Times New Roman"/>
                <w:sz w:val="16"/>
                <w:szCs w:val="16"/>
              </w:rPr>
              <w:t>3. SVV konkuren-cingumo skatinimas</w:t>
            </w:r>
          </w:p>
        </w:tc>
        <w:tc>
          <w:tcPr>
            <w:tcW w:w="738" w:type="dxa"/>
            <w:tcBorders>
              <w:top w:val="nil"/>
              <w:left w:val="nil"/>
              <w:bottom w:val="single" w:sz="4" w:space="0" w:color="auto"/>
              <w:right w:val="single" w:sz="4" w:space="0" w:color="auto"/>
            </w:tcBorders>
            <w:shd w:val="clear" w:color="auto" w:fill="auto"/>
            <w:vAlign w:val="center"/>
            <w:hideMark/>
          </w:tcPr>
          <w:p w:rsidR="00574150" w:rsidRPr="00697AD2" w:rsidRDefault="00574150" w:rsidP="009E1DDF">
            <w:pPr>
              <w:jc w:val="both"/>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ERPF</w:t>
            </w:r>
          </w:p>
        </w:tc>
        <w:tc>
          <w:tcPr>
            <w:tcW w:w="964" w:type="dxa"/>
            <w:tcBorders>
              <w:top w:val="nil"/>
              <w:left w:val="nil"/>
              <w:bottom w:val="single" w:sz="4" w:space="0" w:color="auto"/>
              <w:right w:val="single" w:sz="4" w:space="0" w:color="auto"/>
            </w:tcBorders>
            <w:shd w:val="clear" w:color="auto" w:fill="auto"/>
            <w:vAlign w:val="center"/>
            <w:hideMark/>
          </w:tcPr>
          <w:p w:rsidR="00574150" w:rsidRPr="00697AD2" w:rsidRDefault="00574150" w:rsidP="009E1DDF">
            <w:pPr>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Bendros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823B34"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566.703.</w:t>
            </w:r>
            <w:r w:rsidR="00823B34" w:rsidRPr="00EE75F8">
              <w:rPr>
                <w:rFonts w:ascii="Times New Roman" w:hAnsi="Times New Roman" w:cs="Times New Roman"/>
                <w:color w:val="000000"/>
                <w:sz w:val="16"/>
                <w:szCs w:val="16"/>
                <w:lang w:eastAsia="lt-LT"/>
              </w:rPr>
              <w:t>253</w:t>
            </w:r>
          </w:p>
        </w:tc>
        <w:tc>
          <w:tcPr>
            <w:tcW w:w="1247" w:type="dxa"/>
            <w:tcBorders>
              <w:top w:val="nil"/>
              <w:left w:val="nil"/>
              <w:bottom w:val="single" w:sz="4" w:space="0" w:color="auto"/>
              <w:right w:val="single" w:sz="4" w:space="0" w:color="auto"/>
            </w:tcBorders>
            <w:shd w:val="clear" w:color="auto" w:fill="auto"/>
            <w:vAlign w:val="center"/>
            <w:hideMark/>
          </w:tcPr>
          <w:p w:rsidR="00FB06A6"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100.006.</w:t>
            </w:r>
            <w:r w:rsidR="00FB06A6" w:rsidRPr="00EE75F8">
              <w:rPr>
                <w:rFonts w:ascii="Times New Roman" w:hAnsi="Times New Roman" w:cs="Times New Roman"/>
                <w:color w:val="000000"/>
                <w:sz w:val="16"/>
                <w:szCs w:val="16"/>
                <w:lang w:eastAsia="lt-LT"/>
              </w:rPr>
              <w:t>458</w:t>
            </w:r>
          </w:p>
        </w:tc>
        <w:tc>
          <w:tcPr>
            <w:tcW w:w="1134" w:type="dxa"/>
            <w:tcBorders>
              <w:top w:val="single" w:sz="4" w:space="0" w:color="auto"/>
              <w:left w:val="nil"/>
              <w:bottom w:val="single" w:sz="4" w:space="0" w:color="auto"/>
              <w:right w:val="single" w:sz="4" w:space="0" w:color="auto"/>
            </w:tcBorders>
            <w:vAlign w:val="center"/>
          </w:tcPr>
          <w:p w:rsidR="00574150" w:rsidRPr="00EE75F8" w:rsidRDefault="00574150" w:rsidP="009E1DDF">
            <w:pPr>
              <w:jc w:val="right"/>
              <w:rPr>
                <w:rFonts w:ascii="Times New Roman" w:hAnsi="Times New Roman" w:cs="Times New Roman"/>
                <w:sz w:val="16"/>
                <w:szCs w:val="16"/>
              </w:rPr>
            </w:pPr>
            <w:r w:rsidRPr="00EE75F8">
              <w:rPr>
                <w:rFonts w:ascii="Times New Roman" w:hAnsi="Times New Roman" w:cs="Times New Roman"/>
                <w:sz w:val="16"/>
                <w:szCs w:val="16"/>
              </w:rPr>
              <w:t>0</w:t>
            </w:r>
          </w:p>
        </w:tc>
        <w:tc>
          <w:tcPr>
            <w:tcW w:w="1021" w:type="dxa"/>
            <w:tcBorders>
              <w:top w:val="single" w:sz="4" w:space="0" w:color="auto"/>
              <w:left w:val="single" w:sz="4" w:space="0" w:color="auto"/>
              <w:bottom w:val="single" w:sz="4" w:space="0" w:color="auto"/>
              <w:right w:val="single" w:sz="4" w:space="0" w:color="auto"/>
            </w:tcBorders>
            <w:vAlign w:val="center"/>
          </w:tcPr>
          <w:p w:rsidR="00376D0A"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100.006.</w:t>
            </w:r>
            <w:r w:rsidR="00376D0A" w:rsidRPr="00EE75F8">
              <w:rPr>
                <w:rFonts w:ascii="Times New Roman" w:hAnsi="Times New Roman" w:cs="Times New Roman"/>
                <w:color w:val="000000"/>
                <w:sz w:val="16"/>
                <w:szCs w:val="16"/>
                <w:lang w:eastAsia="lt-LT"/>
              </w:rPr>
              <w:t>458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2B04"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666.709.</w:t>
            </w:r>
            <w:r w:rsidR="005C2B04" w:rsidRPr="00EE75F8">
              <w:rPr>
                <w:rFonts w:ascii="Times New Roman" w:hAnsi="Times New Roman" w:cs="Times New Roman"/>
                <w:color w:val="000000"/>
                <w:sz w:val="16"/>
                <w:szCs w:val="16"/>
                <w:lang w:eastAsia="lt-LT"/>
              </w:rPr>
              <w:t>711</w:t>
            </w:r>
          </w:p>
        </w:tc>
        <w:tc>
          <w:tcPr>
            <w:tcW w:w="680" w:type="dxa"/>
            <w:tcBorders>
              <w:top w:val="nil"/>
              <w:left w:val="nil"/>
              <w:bottom w:val="single" w:sz="4" w:space="0" w:color="auto"/>
              <w:right w:val="single" w:sz="4" w:space="0" w:color="auto"/>
            </w:tcBorders>
            <w:shd w:val="clear" w:color="auto" w:fill="auto"/>
            <w:vAlign w:val="center"/>
            <w:hideMark/>
          </w:tcPr>
          <w:p w:rsidR="00574150" w:rsidRPr="00EE75F8" w:rsidRDefault="00574150" w:rsidP="009E1DD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574150" w:rsidRPr="00EE75F8" w:rsidRDefault="00574150" w:rsidP="009E1DD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w:t>
            </w:r>
          </w:p>
        </w:tc>
        <w:tc>
          <w:tcPr>
            <w:tcW w:w="1305" w:type="dxa"/>
            <w:tcBorders>
              <w:top w:val="nil"/>
              <w:left w:val="nil"/>
              <w:bottom w:val="single" w:sz="4" w:space="0" w:color="auto"/>
              <w:right w:val="single" w:sz="4" w:space="0" w:color="auto"/>
            </w:tcBorders>
            <w:shd w:val="clear" w:color="auto" w:fill="auto"/>
            <w:vAlign w:val="center"/>
            <w:hideMark/>
          </w:tcPr>
          <w:p w:rsidR="005C2B04"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532.701.</w:t>
            </w:r>
            <w:r w:rsidR="005C2B04" w:rsidRPr="00EE75F8">
              <w:rPr>
                <w:rFonts w:ascii="Times New Roman" w:hAnsi="Times New Roman" w:cs="Times New Roman"/>
                <w:color w:val="000000"/>
                <w:sz w:val="16"/>
                <w:szCs w:val="16"/>
                <w:lang w:eastAsia="lt-LT"/>
              </w:rPr>
              <w:t>058</w:t>
            </w:r>
          </w:p>
        </w:tc>
        <w:tc>
          <w:tcPr>
            <w:tcW w:w="1276" w:type="dxa"/>
            <w:tcBorders>
              <w:top w:val="nil"/>
              <w:left w:val="nil"/>
              <w:bottom w:val="single" w:sz="4" w:space="0" w:color="auto"/>
              <w:right w:val="single" w:sz="4" w:space="0" w:color="auto"/>
            </w:tcBorders>
            <w:shd w:val="clear" w:color="auto" w:fill="auto"/>
            <w:vAlign w:val="center"/>
            <w:hideMark/>
          </w:tcPr>
          <w:p w:rsidR="00656961" w:rsidRPr="00EE75F8" w:rsidRDefault="00656961" w:rsidP="00656961">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94</w:t>
            </w:r>
            <w:r w:rsidR="00400A7D" w:rsidRPr="00EE75F8">
              <w:rPr>
                <w:rFonts w:ascii="Times New Roman" w:hAnsi="Times New Roman" w:cs="Times New Roman"/>
                <w:color w:val="000000"/>
                <w:sz w:val="16"/>
                <w:szCs w:val="16"/>
                <w:lang w:eastAsia="lt-LT"/>
              </w:rPr>
              <w:t>.006.</w:t>
            </w:r>
            <w:r w:rsidRPr="00EE75F8">
              <w:rPr>
                <w:rFonts w:ascii="Times New Roman" w:hAnsi="Times New Roman" w:cs="Times New Roman"/>
                <w:color w:val="000000"/>
                <w:sz w:val="16"/>
                <w:szCs w:val="16"/>
                <w:lang w:eastAsia="lt-LT"/>
              </w:rPr>
              <w:t>071</w:t>
            </w:r>
          </w:p>
        </w:tc>
        <w:tc>
          <w:tcPr>
            <w:tcW w:w="1134" w:type="dxa"/>
            <w:tcBorders>
              <w:top w:val="nil"/>
              <w:left w:val="nil"/>
              <w:bottom w:val="single" w:sz="4" w:space="0" w:color="auto"/>
              <w:right w:val="single" w:sz="4" w:space="0" w:color="auto"/>
            </w:tcBorders>
            <w:shd w:val="clear" w:color="auto" w:fill="auto"/>
            <w:vAlign w:val="center"/>
            <w:hideMark/>
          </w:tcPr>
          <w:p w:rsidR="00656961" w:rsidRPr="00EE75F8" w:rsidRDefault="00400A7D" w:rsidP="001A0B6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34.002.</w:t>
            </w:r>
            <w:r w:rsidR="00656961" w:rsidRPr="00EE75F8">
              <w:rPr>
                <w:rFonts w:ascii="Times New Roman" w:hAnsi="Times New Roman" w:cs="Times New Roman"/>
                <w:color w:val="000000"/>
                <w:sz w:val="16"/>
                <w:szCs w:val="16"/>
                <w:lang w:eastAsia="lt-LT"/>
              </w:rPr>
              <w:t>195</w:t>
            </w:r>
          </w:p>
        </w:tc>
        <w:tc>
          <w:tcPr>
            <w:tcW w:w="1105" w:type="dxa"/>
            <w:tcBorders>
              <w:top w:val="nil"/>
              <w:left w:val="nil"/>
              <w:bottom w:val="single" w:sz="4" w:space="0" w:color="auto"/>
              <w:right w:val="single" w:sz="4" w:space="0" w:color="auto"/>
            </w:tcBorders>
            <w:shd w:val="clear" w:color="auto" w:fill="auto"/>
            <w:vAlign w:val="center"/>
            <w:hideMark/>
          </w:tcPr>
          <w:p w:rsidR="007A1559" w:rsidRPr="00EE75F8" w:rsidRDefault="00400A7D" w:rsidP="001A0B6F">
            <w:pPr>
              <w:jc w:val="right"/>
              <w:rPr>
                <w:rFonts w:ascii="Times New Roman" w:hAnsi="Times New Roman" w:cs="Times New Roman"/>
                <w:strike/>
                <w:color w:val="000000"/>
                <w:sz w:val="16"/>
                <w:szCs w:val="16"/>
                <w:lang w:eastAsia="lt-LT"/>
              </w:rPr>
            </w:pPr>
            <w:r w:rsidRPr="00EE75F8">
              <w:rPr>
                <w:rFonts w:ascii="Times New Roman" w:hAnsi="Times New Roman" w:cs="Times New Roman"/>
                <w:color w:val="000000"/>
                <w:sz w:val="16"/>
                <w:szCs w:val="16"/>
                <w:lang w:eastAsia="lt-LT"/>
              </w:rPr>
              <w:t>6.000.</w:t>
            </w:r>
            <w:r w:rsidR="007A1559" w:rsidRPr="00EE75F8">
              <w:rPr>
                <w:rFonts w:ascii="Times New Roman" w:hAnsi="Times New Roman" w:cs="Times New Roman"/>
                <w:color w:val="000000"/>
                <w:sz w:val="16"/>
                <w:szCs w:val="16"/>
                <w:lang w:eastAsia="lt-LT"/>
              </w:rPr>
              <w:t>387</w:t>
            </w:r>
          </w:p>
        </w:tc>
        <w:tc>
          <w:tcPr>
            <w:tcW w:w="567" w:type="dxa"/>
            <w:tcBorders>
              <w:top w:val="nil"/>
              <w:left w:val="nil"/>
              <w:bottom w:val="single" w:sz="4" w:space="0" w:color="auto"/>
              <w:right w:val="single" w:sz="4" w:space="0" w:color="auto"/>
            </w:tcBorders>
            <w:shd w:val="clear" w:color="auto" w:fill="auto"/>
            <w:vAlign w:val="center"/>
            <w:hideMark/>
          </w:tcPr>
          <w:p w:rsidR="00574150" w:rsidRPr="001A0B6F" w:rsidRDefault="00574150" w:rsidP="009E1DDF">
            <w:pPr>
              <w:jc w:val="right"/>
              <w:rPr>
                <w:rFonts w:ascii="Times New Roman" w:hAnsi="Times New Roman" w:cs="Times New Roman"/>
                <w:color w:val="000000"/>
                <w:sz w:val="16"/>
                <w:szCs w:val="16"/>
                <w:lang w:eastAsia="lt-LT"/>
              </w:rPr>
            </w:pPr>
            <w:r w:rsidRPr="001A0B6F">
              <w:rPr>
                <w:rFonts w:ascii="Times New Roman" w:hAnsi="Times New Roman" w:cs="Times New Roman"/>
                <w:color w:val="000000"/>
                <w:sz w:val="16"/>
                <w:szCs w:val="16"/>
                <w:lang w:eastAsia="lt-LT"/>
              </w:rPr>
              <w:t>6,00</w:t>
            </w:r>
          </w:p>
        </w:tc>
      </w:tr>
      <w:tr w:rsidR="009E1DDF" w:rsidRPr="00697AD2" w:rsidTr="009E1DDF">
        <w:trPr>
          <w:trHeight w:val="510"/>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E1DDF" w:rsidRPr="00697AD2" w:rsidRDefault="009E1DDF" w:rsidP="009E1DDF">
            <w:pPr>
              <w:widowControl w:val="0"/>
              <w:tabs>
                <w:tab w:val="left" w:pos="622"/>
              </w:tabs>
              <w:rPr>
                <w:rFonts w:ascii="Times New Roman" w:eastAsia="AngsanaUPC" w:hAnsi="Times New Roman" w:cs="Times New Roman"/>
                <w:bCs/>
                <w:sz w:val="16"/>
                <w:szCs w:val="16"/>
                <w:lang w:eastAsia="lt-LT"/>
              </w:rPr>
            </w:pPr>
            <w:r w:rsidRPr="00697AD2">
              <w:rPr>
                <w:rFonts w:ascii="Times New Roman" w:eastAsia="AngsanaUPC" w:hAnsi="Times New Roman" w:cs="Times New Roman"/>
                <w:bCs/>
                <w:sz w:val="16"/>
                <w:szCs w:val="16"/>
                <w:lang w:eastAsia="lt-LT"/>
              </w:rPr>
              <w:t xml:space="preserve">4. Energijos efektyvumo ir AIE gamybos ir naudojimo skatinimas </w:t>
            </w: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ERPF</w:t>
            </w:r>
          </w:p>
        </w:tc>
        <w:tc>
          <w:tcPr>
            <w:tcW w:w="96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rPr>
                <w:rFonts w:ascii="Times New Roman" w:hAnsi="Times New Roman" w:cs="Times New Roman"/>
                <w:sz w:val="16"/>
                <w:szCs w:val="16"/>
                <w:lang w:eastAsia="lt-LT"/>
              </w:rPr>
            </w:pPr>
            <w:r w:rsidRPr="00697AD2">
              <w:rPr>
                <w:rFonts w:ascii="Times New Roman" w:hAnsi="Times New Roman" w:cs="Times New Roman"/>
                <w:sz w:val="16"/>
                <w:szCs w:val="16"/>
                <w:lang w:eastAsia="lt-LT"/>
              </w:rPr>
              <w:t>Bendros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823B34" w:rsidRPr="00EE75F8" w:rsidRDefault="00400A7D" w:rsidP="001A0B6F">
            <w:pPr>
              <w:shd w:val="clear" w:color="auto" w:fill="FFFFFF"/>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519.</w:t>
            </w:r>
            <w:r w:rsidR="00FE3814" w:rsidRPr="00EE75F8">
              <w:rPr>
                <w:rFonts w:ascii="Times New Roman" w:hAnsi="Times New Roman" w:cs="Times New Roman"/>
                <w:sz w:val="16"/>
                <w:szCs w:val="16"/>
                <w:lang w:eastAsia="lt-LT"/>
              </w:rPr>
              <w:t>3</w:t>
            </w:r>
            <w:r w:rsidRPr="00EE75F8">
              <w:rPr>
                <w:rFonts w:ascii="Times New Roman" w:hAnsi="Times New Roman" w:cs="Times New Roman"/>
                <w:sz w:val="16"/>
                <w:szCs w:val="16"/>
                <w:lang w:eastAsia="lt-LT"/>
              </w:rPr>
              <w:t>01.</w:t>
            </w:r>
            <w:r w:rsidR="00823B34" w:rsidRPr="00EE75F8">
              <w:rPr>
                <w:rFonts w:ascii="Times New Roman" w:hAnsi="Times New Roman" w:cs="Times New Roman"/>
                <w:sz w:val="16"/>
                <w:szCs w:val="16"/>
                <w:lang w:eastAsia="lt-LT"/>
              </w:rPr>
              <w:t>697</w:t>
            </w:r>
          </w:p>
        </w:tc>
        <w:tc>
          <w:tcPr>
            <w:tcW w:w="1247" w:type="dxa"/>
            <w:tcBorders>
              <w:top w:val="nil"/>
              <w:left w:val="nil"/>
              <w:bottom w:val="single" w:sz="4" w:space="0" w:color="auto"/>
              <w:right w:val="single" w:sz="4" w:space="0" w:color="auto"/>
            </w:tcBorders>
            <w:shd w:val="clear" w:color="auto" w:fill="auto"/>
            <w:vAlign w:val="center"/>
            <w:hideMark/>
          </w:tcPr>
          <w:p w:rsidR="00FB06A6" w:rsidRPr="00EE75F8" w:rsidRDefault="00400A7D" w:rsidP="001A0B6F">
            <w:pPr>
              <w:shd w:val="clear" w:color="auto" w:fill="FFFFFF"/>
              <w:jc w:val="right"/>
              <w:rPr>
                <w:rFonts w:ascii="Times New Roman" w:hAnsi="Times New Roman" w:cs="Times New Roman"/>
                <w:sz w:val="16"/>
                <w:szCs w:val="16"/>
              </w:rPr>
            </w:pPr>
            <w:r w:rsidRPr="00EE75F8">
              <w:rPr>
                <w:rFonts w:ascii="Times New Roman" w:hAnsi="Times New Roman" w:cs="Times New Roman"/>
                <w:sz w:val="16"/>
                <w:szCs w:val="16"/>
              </w:rPr>
              <w:t>91.641.</w:t>
            </w:r>
            <w:r w:rsidR="00FE3814" w:rsidRPr="00EE75F8">
              <w:rPr>
                <w:rFonts w:ascii="Times New Roman" w:hAnsi="Times New Roman" w:cs="Times New Roman"/>
                <w:sz w:val="16"/>
                <w:szCs w:val="16"/>
              </w:rPr>
              <w:t>476</w:t>
            </w:r>
          </w:p>
        </w:tc>
        <w:tc>
          <w:tcPr>
            <w:tcW w:w="1134" w:type="dxa"/>
            <w:tcBorders>
              <w:top w:val="single" w:sz="4" w:space="0" w:color="auto"/>
              <w:left w:val="nil"/>
              <w:bottom w:val="single" w:sz="4" w:space="0" w:color="auto"/>
              <w:right w:val="single" w:sz="4" w:space="0" w:color="auto"/>
            </w:tcBorders>
            <w:vAlign w:val="center"/>
          </w:tcPr>
          <w:p w:rsidR="00FB06A6" w:rsidRPr="00EE75F8" w:rsidRDefault="00FE3814" w:rsidP="009E1DDF">
            <w:pPr>
              <w:shd w:val="clear" w:color="auto" w:fill="FFFFFF"/>
              <w:jc w:val="right"/>
              <w:rPr>
                <w:rFonts w:ascii="Times New Roman" w:hAnsi="Times New Roman" w:cs="Times New Roman"/>
                <w:sz w:val="16"/>
                <w:szCs w:val="16"/>
              </w:rPr>
            </w:pPr>
            <w:r w:rsidRPr="00EE75F8">
              <w:rPr>
                <w:rFonts w:ascii="Times New Roman" w:hAnsi="Times New Roman" w:cs="Times New Roman"/>
                <w:sz w:val="16"/>
                <w:szCs w:val="16"/>
              </w:rPr>
              <w:t>5.498.488</w:t>
            </w:r>
          </w:p>
        </w:tc>
        <w:tc>
          <w:tcPr>
            <w:tcW w:w="1021" w:type="dxa"/>
            <w:tcBorders>
              <w:top w:val="single" w:sz="4" w:space="0" w:color="auto"/>
              <w:left w:val="single" w:sz="4" w:space="0" w:color="auto"/>
              <w:bottom w:val="single" w:sz="4" w:space="0" w:color="auto"/>
              <w:right w:val="single" w:sz="4" w:space="0" w:color="auto"/>
            </w:tcBorders>
            <w:vAlign w:val="center"/>
          </w:tcPr>
          <w:p w:rsidR="00376D0A" w:rsidRPr="00EE75F8" w:rsidRDefault="00FE3814" w:rsidP="001A0B6F">
            <w:pPr>
              <w:shd w:val="clear" w:color="auto" w:fill="FFFFFF"/>
              <w:jc w:val="right"/>
              <w:rPr>
                <w:rFonts w:ascii="Times New Roman" w:hAnsi="Times New Roman" w:cs="Times New Roman"/>
                <w:sz w:val="16"/>
                <w:szCs w:val="16"/>
              </w:rPr>
            </w:pPr>
            <w:r w:rsidRPr="00EE75F8">
              <w:rPr>
                <w:rFonts w:ascii="Times New Roman" w:hAnsi="Times New Roman" w:cs="Times New Roman"/>
                <w:sz w:val="16"/>
                <w:szCs w:val="16"/>
              </w:rPr>
              <w:t>86.142.988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2B04" w:rsidRPr="00EE75F8" w:rsidRDefault="00FE3814" w:rsidP="001A0B6F">
            <w:pPr>
              <w:shd w:val="clear" w:color="auto" w:fill="FFFFFF"/>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6</w:t>
            </w:r>
            <w:r w:rsidR="007B0718" w:rsidRPr="00EE75F8">
              <w:rPr>
                <w:rFonts w:ascii="Times New Roman" w:hAnsi="Times New Roman" w:cs="Times New Roman"/>
                <w:color w:val="000000"/>
                <w:sz w:val="16"/>
                <w:szCs w:val="16"/>
                <w:lang w:eastAsia="lt-LT"/>
              </w:rPr>
              <w:t>10</w:t>
            </w:r>
            <w:r w:rsidRPr="00EE75F8">
              <w:rPr>
                <w:rFonts w:ascii="Times New Roman" w:hAnsi="Times New Roman" w:cs="Times New Roman"/>
                <w:color w:val="000000"/>
                <w:sz w:val="16"/>
                <w:szCs w:val="16"/>
                <w:lang w:eastAsia="lt-LT"/>
              </w:rPr>
              <w:t>.943.173</w:t>
            </w:r>
          </w:p>
        </w:tc>
        <w:tc>
          <w:tcPr>
            <w:tcW w:w="680" w:type="dxa"/>
            <w:tcBorders>
              <w:top w:val="nil"/>
              <w:left w:val="nil"/>
              <w:bottom w:val="single" w:sz="4" w:space="0" w:color="auto"/>
              <w:right w:val="single" w:sz="4" w:space="0" w:color="auto"/>
            </w:tcBorders>
            <w:shd w:val="clear" w:color="auto" w:fill="auto"/>
            <w:vAlign w:val="center"/>
            <w:hideMark/>
          </w:tcPr>
          <w:p w:rsidR="009E1DDF" w:rsidRPr="00EE75F8" w:rsidRDefault="009E1DDF" w:rsidP="009E1DD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EE75F8" w:rsidRDefault="009E1DDF" w:rsidP="009E1DD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w:t>
            </w:r>
          </w:p>
        </w:tc>
        <w:tc>
          <w:tcPr>
            <w:tcW w:w="1305" w:type="dxa"/>
            <w:tcBorders>
              <w:top w:val="nil"/>
              <w:left w:val="nil"/>
              <w:bottom w:val="single" w:sz="4" w:space="0" w:color="auto"/>
              <w:right w:val="single" w:sz="4" w:space="0" w:color="auto"/>
            </w:tcBorders>
            <w:shd w:val="clear" w:color="auto" w:fill="auto"/>
            <w:vAlign w:val="center"/>
            <w:hideMark/>
          </w:tcPr>
          <w:p w:rsidR="005C2B04" w:rsidRPr="00EE75F8" w:rsidRDefault="00FE3814" w:rsidP="001A0B6F">
            <w:pPr>
              <w:shd w:val="clear" w:color="auto" w:fill="FFFFFF"/>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488.143.596</w:t>
            </w:r>
          </w:p>
        </w:tc>
        <w:tc>
          <w:tcPr>
            <w:tcW w:w="1276" w:type="dxa"/>
            <w:tcBorders>
              <w:top w:val="nil"/>
              <w:left w:val="nil"/>
              <w:bottom w:val="single" w:sz="4" w:space="0" w:color="auto"/>
              <w:right w:val="single" w:sz="4" w:space="0" w:color="auto"/>
            </w:tcBorders>
            <w:shd w:val="clear" w:color="auto" w:fill="auto"/>
            <w:vAlign w:val="center"/>
            <w:hideMark/>
          </w:tcPr>
          <w:p w:rsidR="00656961" w:rsidRPr="00EE75F8" w:rsidRDefault="00FE3814" w:rsidP="001A0B6F">
            <w:pPr>
              <w:shd w:val="clear" w:color="auto" w:fill="FFFFFF"/>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86.142.988</w:t>
            </w:r>
          </w:p>
        </w:tc>
        <w:tc>
          <w:tcPr>
            <w:tcW w:w="1134" w:type="dxa"/>
            <w:tcBorders>
              <w:top w:val="nil"/>
              <w:left w:val="nil"/>
              <w:bottom w:val="single" w:sz="4" w:space="0" w:color="auto"/>
              <w:right w:val="single" w:sz="4" w:space="0" w:color="auto"/>
            </w:tcBorders>
            <w:shd w:val="clear" w:color="auto" w:fill="auto"/>
            <w:vAlign w:val="center"/>
            <w:hideMark/>
          </w:tcPr>
          <w:p w:rsidR="00656961" w:rsidRPr="00EE75F8" w:rsidRDefault="00FE3814" w:rsidP="001A0B6F">
            <w:pPr>
              <w:shd w:val="clear" w:color="auto" w:fill="FFFFFF"/>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31.158.101</w:t>
            </w:r>
          </w:p>
        </w:tc>
        <w:tc>
          <w:tcPr>
            <w:tcW w:w="1105" w:type="dxa"/>
            <w:tcBorders>
              <w:top w:val="nil"/>
              <w:left w:val="nil"/>
              <w:bottom w:val="single" w:sz="4" w:space="0" w:color="auto"/>
              <w:right w:val="single" w:sz="4" w:space="0" w:color="auto"/>
            </w:tcBorders>
            <w:shd w:val="clear" w:color="auto" w:fill="auto"/>
            <w:vAlign w:val="center"/>
            <w:hideMark/>
          </w:tcPr>
          <w:p w:rsidR="007A1559" w:rsidRPr="00EE75F8" w:rsidRDefault="00FE3814" w:rsidP="001A0B6F">
            <w:pPr>
              <w:shd w:val="clear" w:color="auto" w:fill="FFFFFF"/>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5.498.488</w:t>
            </w:r>
          </w:p>
        </w:tc>
        <w:tc>
          <w:tcPr>
            <w:tcW w:w="567"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6,00</w:t>
            </w:r>
          </w:p>
        </w:tc>
      </w:tr>
      <w:tr w:rsidR="009E1DDF" w:rsidRPr="00697AD2" w:rsidTr="009E1DDF">
        <w:trPr>
          <w:trHeight w:val="510"/>
        </w:trPr>
        <w:tc>
          <w:tcPr>
            <w:tcW w:w="992" w:type="dxa"/>
            <w:vMerge/>
            <w:tcBorders>
              <w:top w:val="nil"/>
              <w:left w:val="single" w:sz="4" w:space="0" w:color="auto"/>
              <w:bottom w:val="single" w:sz="4" w:space="0" w:color="000000"/>
              <w:right w:val="single" w:sz="4" w:space="0" w:color="auto"/>
            </w:tcBorders>
            <w:vAlign w:val="center"/>
            <w:hideMark/>
          </w:tcPr>
          <w:p w:rsidR="009E1DDF" w:rsidRPr="00697AD2" w:rsidRDefault="009E1DDF" w:rsidP="009E1DDF">
            <w:pPr>
              <w:rPr>
                <w:rFonts w:ascii="Times New Roman" w:hAnsi="Times New Roman" w:cs="Times New Roman"/>
                <w:i/>
                <w:iCs/>
                <w:color w:val="000000"/>
                <w:sz w:val="16"/>
                <w:szCs w:val="16"/>
                <w:lang w:eastAsia="lt-LT"/>
              </w:rPr>
            </w:pP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color w:val="000000"/>
                <w:sz w:val="16"/>
                <w:szCs w:val="16"/>
                <w:lang w:eastAsia="lt-LT"/>
              </w:rPr>
            </w:pPr>
            <w:proofErr w:type="spellStart"/>
            <w:r w:rsidRPr="00697AD2">
              <w:rPr>
                <w:rFonts w:ascii="Times New Roman" w:hAnsi="Times New Roman" w:cs="Times New Roman"/>
                <w:color w:val="000000"/>
                <w:sz w:val="16"/>
                <w:szCs w:val="16"/>
                <w:lang w:eastAsia="lt-LT"/>
              </w:rPr>
              <w:t>SaF</w:t>
            </w:r>
            <w:proofErr w:type="spellEnd"/>
          </w:p>
        </w:tc>
        <w:tc>
          <w:tcPr>
            <w:tcW w:w="96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rPr>
                <w:rFonts w:ascii="Times New Roman" w:hAnsi="Times New Roman" w:cs="Times New Roman"/>
                <w:sz w:val="16"/>
                <w:szCs w:val="16"/>
                <w:lang w:eastAsia="lt-LT"/>
              </w:rPr>
            </w:pPr>
            <w:r w:rsidRPr="00697AD2">
              <w:rPr>
                <w:rFonts w:ascii="Times New Roman" w:hAnsi="Times New Roman" w:cs="Times New Roman"/>
                <w:sz w:val="16"/>
                <w:szCs w:val="16"/>
                <w:lang w:eastAsia="lt-LT"/>
              </w:rPr>
              <w:t>Bendros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823B34" w:rsidRPr="00EE75F8" w:rsidRDefault="00400A7D" w:rsidP="001A0B6F">
            <w:pPr>
              <w:shd w:val="clear" w:color="auto" w:fill="FFFFFF"/>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364.518.</w:t>
            </w:r>
            <w:r w:rsidR="00823B34" w:rsidRPr="00EE75F8">
              <w:rPr>
                <w:rFonts w:ascii="Times New Roman" w:hAnsi="Times New Roman" w:cs="Times New Roman"/>
                <w:sz w:val="16"/>
                <w:szCs w:val="16"/>
                <w:lang w:eastAsia="lt-LT"/>
              </w:rPr>
              <w:t>432</w:t>
            </w:r>
          </w:p>
        </w:tc>
        <w:tc>
          <w:tcPr>
            <w:tcW w:w="1247" w:type="dxa"/>
            <w:tcBorders>
              <w:top w:val="nil"/>
              <w:left w:val="nil"/>
              <w:bottom w:val="single" w:sz="4" w:space="0" w:color="auto"/>
              <w:right w:val="single" w:sz="4" w:space="0" w:color="auto"/>
            </w:tcBorders>
            <w:shd w:val="clear" w:color="auto" w:fill="auto"/>
            <w:vAlign w:val="center"/>
            <w:hideMark/>
          </w:tcPr>
          <w:p w:rsidR="00FB06A6" w:rsidRPr="00EE75F8" w:rsidRDefault="00400A7D" w:rsidP="001A0B6F">
            <w:pPr>
              <w:shd w:val="clear" w:color="auto" w:fill="FFFFFF"/>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64.326.</w:t>
            </w:r>
            <w:r w:rsidR="00FB06A6" w:rsidRPr="00EE75F8">
              <w:rPr>
                <w:rFonts w:ascii="Times New Roman" w:hAnsi="Times New Roman" w:cs="Times New Roman"/>
                <w:sz w:val="16"/>
                <w:szCs w:val="16"/>
                <w:lang w:eastAsia="lt-LT"/>
              </w:rPr>
              <w:t>783</w:t>
            </w:r>
          </w:p>
        </w:tc>
        <w:tc>
          <w:tcPr>
            <w:tcW w:w="1134" w:type="dxa"/>
            <w:tcBorders>
              <w:top w:val="single" w:sz="4" w:space="0" w:color="auto"/>
              <w:left w:val="nil"/>
              <w:bottom w:val="single" w:sz="4" w:space="0" w:color="auto"/>
              <w:right w:val="single" w:sz="4" w:space="0" w:color="auto"/>
            </w:tcBorders>
            <w:vAlign w:val="center"/>
          </w:tcPr>
          <w:p w:rsidR="009E1DDF" w:rsidRPr="00EE75F8" w:rsidRDefault="001A0B6F" w:rsidP="001A0B6F">
            <w:pPr>
              <w:shd w:val="clear" w:color="auto" w:fill="FFFFFF"/>
              <w:jc w:val="right"/>
              <w:rPr>
                <w:rFonts w:ascii="Times New Roman" w:hAnsi="Times New Roman" w:cs="Times New Roman"/>
                <w:sz w:val="16"/>
                <w:szCs w:val="16"/>
              </w:rPr>
            </w:pPr>
            <w:r w:rsidRPr="00EE75F8">
              <w:rPr>
                <w:rFonts w:ascii="Times New Roman" w:hAnsi="Times New Roman" w:cs="Times New Roman"/>
                <w:sz w:val="16"/>
                <w:szCs w:val="16"/>
              </w:rPr>
              <w:t>2.678.842</w:t>
            </w:r>
          </w:p>
        </w:tc>
        <w:tc>
          <w:tcPr>
            <w:tcW w:w="1021" w:type="dxa"/>
            <w:tcBorders>
              <w:top w:val="single" w:sz="4" w:space="0" w:color="auto"/>
              <w:left w:val="single" w:sz="4" w:space="0" w:color="auto"/>
              <w:bottom w:val="single" w:sz="4" w:space="0" w:color="auto"/>
              <w:right w:val="single" w:sz="4" w:space="0" w:color="auto"/>
            </w:tcBorders>
            <w:vAlign w:val="center"/>
          </w:tcPr>
          <w:p w:rsidR="00376D0A" w:rsidRPr="00EE75F8" w:rsidRDefault="00400A7D" w:rsidP="001A0B6F">
            <w:pPr>
              <w:shd w:val="clear" w:color="auto" w:fill="FFFFFF"/>
              <w:jc w:val="right"/>
              <w:rPr>
                <w:rFonts w:ascii="Times New Roman" w:hAnsi="Times New Roman" w:cs="Times New Roman"/>
                <w:sz w:val="16"/>
                <w:szCs w:val="16"/>
              </w:rPr>
            </w:pPr>
            <w:r w:rsidRPr="00EE75F8">
              <w:rPr>
                <w:rFonts w:ascii="Times New Roman" w:hAnsi="Times New Roman" w:cs="Times New Roman"/>
                <w:sz w:val="16"/>
                <w:szCs w:val="16"/>
              </w:rPr>
              <w:t>61.647.</w:t>
            </w:r>
            <w:r w:rsidR="00376D0A" w:rsidRPr="00EE75F8">
              <w:rPr>
                <w:rFonts w:ascii="Times New Roman" w:hAnsi="Times New Roman" w:cs="Times New Roman"/>
                <w:sz w:val="16"/>
                <w:szCs w:val="16"/>
              </w:rPr>
              <w:t>941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2B04" w:rsidRPr="00EE75F8" w:rsidRDefault="00400A7D" w:rsidP="001A0B6F">
            <w:pPr>
              <w:shd w:val="clear" w:color="auto" w:fill="FFFFFF"/>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428.845.</w:t>
            </w:r>
            <w:r w:rsidR="005C2B04" w:rsidRPr="00EE75F8">
              <w:rPr>
                <w:rFonts w:ascii="Times New Roman" w:hAnsi="Times New Roman" w:cs="Times New Roman"/>
                <w:color w:val="000000"/>
                <w:sz w:val="16"/>
                <w:szCs w:val="16"/>
                <w:lang w:eastAsia="lt-LT"/>
              </w:rPr>
              <w:t>215</w:t>
            </w:r>
          </w:p>
        </w:tc>
        <w:tc>
          <w:tcPr>
            <w:tcW w:w="680" w:type="dxa"/>
            <w:tcBorders>
              <w:top w:val="nil"/>
              <w:left w:val="nil"/>
              <w:bottom w:val="single" w:sz="4" w:space="0" w:color="auto"/>
              <w:right w:val="single" w:sz="4" w:space="0" w:color="auto"/>
            </w:tcBorders>
            <w:shd w:val="clear" w:color="auto" w:fill="auto"/>
            <w:vAlign w:val="center"/>
            <w:hideMark/>
          </w:tcPr>
          <w:p w:rsidR="009E1DDF" w:rsidRPr="00EE75F8" w:rsidRDefault="009E1DDF" w:rsidP="009E1DD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85,00</w:t>
            </w:r>
          </w:p>
        </w:tc>
        <w:tc>
          <w:tcPr>
            <w:tcW w:w="425" w:type="dxa"/>
            <w:tcBorders>
              <w:top w:val="nil"/>
              <w:left w:val="nil"/>
              <w:bottom w:val="single" w:sz="4" w:space="0" w:color="auto"/>
              <w:right w:val="single" w:sz="4" w:space="0" w:color="auto"/>
            </w:tcBorders>
            <w:shd w:val="clear" w:color="auto" w:fill="auto"/>
            <w:noWrap/>
            <w:vAlign w:val="bottom"/>
            <w:hideMark/>
          </w:tcPr>
          <w:p w:rsidR="009E1DDF" w:rsidRPr="00EE75F8" w:rsidRDefault="009E1DDF" w:rsidP="009E1DDF">
            <w:pPr>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w:t>
            </w:r>
          </w:p>
        </w:tc>
        <w:tc>
          <w:tcPr>
            <w:tcW w:w="1305" w:type="dxa"/>
            <w:tcBorders>
              <w:top w:val="nil"/>
              <w:left w:val="nil"/>
              <w:bottom w:val="single" w:sz="4" w:space="0" w:color="auto"/>
              <w:right w:val="single" w:sz="4" w:space="0" w:color="auto"/>
            </w:tcBorders>
            <w:shd w:val="clear" w:color="auto" w:fill="auto"/>
            <w:vAlign w:val="center"/>
            <w:hideMark/>
          </w:tcPr>
          <w:p w:rsidR="005C2B04" w:rsidRPr="00EE75F8" w:rsidRDefault="00B3511F" w:rsidP="001A0B6F">
            <w:pPr>
              <w:shd w:val="clear" w:color="auto" w:fill="FFFFFF"/>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340.432.872</w:t>
            </w:r>
          </w:p>
        </w:tc>
        <w:tc>
          <w:tcPr>
            <w:tcW w:w="1276" w:type="dxa"/>
            <w:tcBorders>
              <w:top w:val="nil"/>
              <w:left w:val="nil"/>
              <w:bottom w:val="single" w:sz="4" w:space="0" w:color="auto"/>
              <w:right w:val="single" w:sz="4" w:space="0" w:color="auto"/>
            </w:tcBorders>
            <w:shd w:val="clear" w:color="auto" w:fill="auto"/>
            <w:vAlign w:val="center"/>
            <w:hideMark/>
          </w:tcPr>
          <w:p w:rsidR="00656961" w:rsidRPr="00EE75F8" w:rsidRDefault="00B3511F" w:rsidP="00BF2EAD">
            <w:pPr>
              <w:shd w:val="clear" w:color="auto" w:fill="FFFFFF"/>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60.076</w:t>
            </w:r>
            <w:r w:rsidR="00377149" w:rsidRPr="00EE75F8">
              <w:rPr>
                <w:rFonts w:ascii="Times New Roman" w:hAnsi="Times New Roman" w:cs="Times New Roman"/>
                <w:color w:val="000000"/>
                <w:sz w:val="16"/>
                <w:szCs w:val="16"/>
                <w:lang w:eastAsia="lt-LT"/>
              </w:rPr>
              <w:t>.</w:t>
            </w:r>
            <w:r w:rsidRPr="00EE75F8">
              <w:rPr>
                <w:rFonts w:ascii="Times New Roman" w:hAnsi="Times New Roman" w:cs="Times New Roman"/>
                <w:color w:val="000000"/>
                <w:sz w:val="16"/>
                <w:szCs w:val="16"/>
                <w:lang w:eastAsia="lt-LT"/>
              </w:rPr>
              <w:t>390</w:t>
            </w:r>
          </w:p>
        </w:tc>
        <w:tc>
          <w:tcPr>
            <w:tcW w:w="1134" w:type="dxa"/>
            <w:tcBorders>
              <w:top w:val="nil"/>
              <w:left w:val="nil"/>
              <w:bottom w:val="single" w:sz="4" w:space="0" w:color="auto"/>
              <w:right w:val="single" w:sz="4" w:space="0" w:color="auto"/>
            </w:tcBorders>
            <w:shd w:val="clear" w:color="auto" w:fill="auto"/>
            <w:vAlign w:val="center"/>
            <w:hideMark/>
          </w:tcPr>
          <w:p w:rsidR="00656961" w:rsidRPr="00EE75F8" w:rsidRDefault="00B3511F" w:rsidP="001A0B6F">
            <w:pPr>
              <w:shd w:val="clear" w:color="auto" w:fill="FFFFFF"/>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24.085.560</w:t>
            </w:r>
          </w:p>
        </w:tc>
        <w:tc>
          <w:tcPr>
            <w:tcW w:w="1105" w:type="dxa"/>
            <w:tcBorders>
              <w:top w:val="nil"/>
              <w:left w:val="nil"/>
              <w:bottom w:val="single" w:sz="4" w:space="0" w:color="auto"/>
              <w:right w:val="single" w:sz="4" w:space="0" w:color="auto"/>
            </w:tcBorders>
            <w:shd w:val="clear" w:color="auto" w:fill="auto"/>
            <w:vAlign w:val="center"/>
            <w:hideMark/>
          </w:tcPr>
          <w:p w:rsidR="007A1559" w:rsidRPr="00EE75F8" w:rsidRDefault="00B3511F" w:rsidP="006422C3">
            <w:pPr>
              <w:shd w:val="clear" w:color="auto" w:fill="FFFFFF"/>
              <w:jc w:val="right"/>
              <w:rPr>
                <w:rFonts w:ascii="Times New Roman" w:hAnsi="Times New Roman" w:cs="Times New Roman"/>
                <w:color w:val="000000"/>
                <w:sz w:val="16"/>
                <w:szCs w:val="16"/>
                <w:lang w:eastAsia="lt-LT"/>
              </w:rPr>
            </w:pPr>
            <w:r w:rsidRPr="00EE75F8">
              <w:rPr>
                <w:rFonts w:ascii="Times New Roman" w:hAnsi="Times New Roman" w:cs="Times New Roman"/>
                <w:color w:val="000000"/>
                <w:sz w:val="16"/>
                <w:szCs w:val="16"/>
                <w:lang w:eastAsia="lt-LT"/>
              </w:rPr>
              <w:t>4.250.393</w:t>
            </w:r>
          </w:p>
        </w:tc>
        <w:tc>
          <w:tcPr>
            <w:tcW w:w="567" w:type="dxa"/>
            <w:tcBorders>
              <w:top w:val="nil"/>
              <w:left w:val="nil"/>
              <w:bottom w:val="single" w:sz="4" w:space="0" w:color="auto"/>
              <w:right w:val="single" w:sz="4" w:space="0" w:color="auto"/>
            </w:tcBorders>
            <w:shd w:val="clear" w:color="auto" w:fill="auto"/>
            <w:vAlign w:val="center"/>
            <w:hideMark/>
          </w:tcPr>
          <w:p w:rsidR="009E1DDF" w:rsidRPr="00C104D0" w:rsidRDefault="009E1DDF" w:rsidP="009E1DDF">
            <w:pPr>
              <w:jc w:val="right"/>
              <w:rPr>
                <w:rFonts w:ascii="Times New Roman" w:hAnsi="Times New Roman" w:cs="Times New Roman"/>
                <w:color w:val="000000"/>
                <w:sz w:val="16"/>
                <w:szCs w:val="16"/>
                <w:lang w:eastAsia="lt-LT"/>
              </w:rPr>
            </w:pPr>
            <w:r w:rsidRPr="00C104D0">
              <w:rPr>
                <w:rFonts w:ascii="Times New Roman" w:hAnsi="Times New Roman" w:cs="Times New Roman"/>
                <w:color w:val="000000"/>
                <w:sz w:val="16"/>
                <w:szCs w:val="16"/>
                <w:lang w:eastAsia="lt-LT"/>
              </w:rPr>
              <w:t>6,60</w:t>
            </w:r>
          </w:p>
        </w:tc>
      </w:tr>
      <w:tr w:rsidR="009E1DDF" w:rsidRPr="00697AD2" w:rsidTr="009E1DDF">
        <w:trPr>
          <w:trHeight w:val="510"/>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E1DDF" w:rsidRPr="00697AD2" w:rsidRDefault="009E1DDF" w:rsidP="009E1DDF">
            <w:pPr>
              <w:widowControl w:val="0"/>
              <w:tabs>
                <w:tab w:val="left" w:pos="622"/>
              </w:tabs>
              <w:rPr>
                <w:rFonts w:ascii="Times New Roman" w:eastAsia="AngsanaUPC" w:hAnsi="Times New Roman" w:cs="Times New Roman"/>
                <w:bCs/>
                <w:sz w:val="16"/>
                <w:szCs w:val="16"/>
                <w:lang w:eastAsia="lt-LT"/>
              </w:rPr>
            </w:pPr>
            <w:r w:rsidRPr="00697AD2">
              <w:rPr>
                <w:rFonts w:ascii="Times New Roman" w:eastAsia="AngsanaUPC" w:hAnsi="Times New Roman" w:cs="Times New Roman"/>
                <w:bCs/>
                <w:sz w:val="16"/>
                <w:szCs w:val="16"/>
                <w:lang w:eastAsia="lt-LT"/>
              </w:rPr>
              <w:t>5. Aplinko</w:t>
            </w:r>
            <w:proofErr w:type="gramStart"/>
            <w:r w:rsidR="00D845D2" w:rsidRPr="00697AD2">
              <w:rPr>
                <w:rFonts w:ascii="Times New Roman" w:eastAsia="AngsanaUPC" w:hAnsi="Times New Roman" w:cs="Times New Roman"/>
                <w:bCs/>
                <w:sz w:val="16"/>
                <w:szCs w:val="16"/>
                <w:lang w:eastAsia="lt-LT"/>
              </w:rPr>
              <w:t>-</w:t>
            </w:r>
            <w:proofErr w:type="gramEnd"/>
            <w:r w:rsidRPr="00697AD2">
              <w:rPr>
                <w:rFonts w:ascii="Times New Roman" w:eastAsia="AngsanaUPC" w:hAnsi="Times New Roman" w:cs="Times New Roman"/>
                <w:bCs/>
                <w:sz w:val="16"/>
                <w:szCs w:val="16"/>
                <w:lang w:eastAsia="lt-LT"/>
              </w:rPr>
              <w:t xml:space="preserve">sauga, gamtos išteklių darnus naudojimas ir </w:t>
            </w:r>
            <w:proofErr w:type="spellStart"/>
            <w:r w:rsidRPr="00697AD2">
              <w:rPr>
                <w:rFonts w:ascii="Times New Roman" w:eastAsia="AngsanaUPC" w:hAnsi="Times New Roman" w:cs="Times New Roman"/>
                <w:bCs/>
                <w:sz w:val="16"/>
                <w:szCs w:val="16"/>
                <w:lang w:eastAsia="lt-LT"/>
              </w:rPr>
              <w:t>prisitai</w:t>
            </w:r>
            <w:r w:rsidR="00D845D2" w:rsidRPr="00697AD2">
              <w:rPr>
                <w:rFonts w:ascii="Times New Roman" w:eastAsia="AngsanaUPC" w:hAnsi="Times New Roman" w:cs="Times New Roman"/>
                <w:bCs/>
                <w:sz w:val="16"/>
                <w:szCs w:val="16"/>
                <w:lang w:eastAsia="lt-LT"/>
              </w:rPr>
              <w:t>-</w:t>
            </w:r>
            <w:r w:rsidRPr="00697AD2">
              <w:rPr>
                <w:rFonts w:ascii="Times New Roman" w:eastAsia="AngsanaUPC" w:hAnsi="Times New Roman" w:cs="Times New Roman"/>
                <w:bCs/>
                <w:sz w:val="16"/>
                <w:szCs w:val="16"/>
                <w:lang w:eastAsia="lt-LT"/>
              </w:rPr>
              <w:t>kymas</w:t>
            </w:r>
            <w:proofErr w:type="spellEnd"/>
            <w:r w:rsidRPr="00697AD2">
              <w:rPr>
                <w:rFonts w:ascii="Times New Roman" w:eastAsia="AngsanaUPC" w:hAnsi="Times New Roman" w:cs="Times New Roman"/>
                <w:bCs/>
                <w:sz w:val="16"/>
                <w:szCs w:val="16"/>
                <w:lang w:eastAsia="lt-LT"/>
              </w:rPr>
              <w:t xml:space="preserve"> prie klimato kaitos.</w:t>
            </w:r>
          </w:p>
        </w:tc>
        <w:tc>
          <w:tcPr>
            <w:tcW w:w="738" w:type="dxa"/>
            <w:tcBorders>
              <w:top w:val="nil"/>
              <w:left w:val="nil"/>
              <w:bottom w:val="single" w:sz="4" w:space="0" w:color="auto"/>
              <w:right w:val="single" w:sz="4" w:space="0" w:color="auto"/>
            </w:tcBorders>
            <w:shd w:val="clear" w:color="auto" w:fill="auto"/>
            <w:vAlign w:val="center"/>
            <w:hideMark/>
          </w:tcPr>
          <w:p w:rsidR="009E1DDF" w:rsidRPr="00136C57" w:rsidRDefault="009E1DDF" w:rsidP="009E1DDF">
            <w:pPr>
              <w:jc w:val="both"/>
              <w:rPr>
                <w:rFonts w:ascii="Times New Roman" w:hAnsi="Times New Roman" w:cs="Times New Roman"/>
                <w:color w:val="000000"/>
                <w:sz w:val="16"/>
                <w:szCs w:val="16"/>
                <w:lang w:eastAsia="lt-LT"/>
              </w:rPr>
            </w:pPr>
            <w:r w:rsidRPr="00136C57">
              <w:rPr>
                <w:rFonts w:ascii="Times New Roman" w:hAnsi="Times New Roman" w:cs="Times New Roman"/>
                <w:color w:val="000000"/>
                <w:sz w:val="16"/>
                <w:szCs w:val="16"/>
                <w:lang w:eastAsia="lt-LT"/>
              </w:rPr>
              <w:t>ERPF</w:t>
            </w:r>
          </w:p>
        </w:tc>
        <w:tc>
          <w:tcPr>
            <w:tcW w:w="964" w:type="dxa"/>
            <w:tcBorders>
              <w:top w:val="nil"/>
              <w:left w:val="nil"/>
              <w:bottom w:val="single" w:sz="4" w:space="0" w:color="auto"/>
              <w:right w:val="single" w:sz="4" w:space="0" w:color="auto"/>
            </w:tcBorders>
            <w:shd w:val="clear" w:color="auto" w:fill="auto"/>
            <w:vAlign w:val="center"/>
            <w:hideMark/>
          </w:tcPr>
          <w:p w:rsidR="009E1DDF" w:rsidRPr="00136C57" w:rsidRDefault="009E1DDF" w:rsidP="009E1DDF">
            <w:pPr>
              <w:rPr>
                <w:rFonts w:ascii="Times New Roman" w:hAnsi="Times New Roman" w:cs="Times New Roman"/>
                <w:sz w:val="16"/>
                <w:szCs w:val="16"/>
                <w:lang w:eastAsia="lt-LT"/>
              </w:rPr>
            </w:pPr>
            <w:r w:rsidRPr="00136C57">
              <w:rPr>
                <w:rFonts w:ascii="Times New Roman" w:hAnsi="Times New Roman" w:cs="Times New Roman"/>
                <w:sz w:val="16"/>
                <w:szCs w:val="16"/>
                <w:lang w:eastAsia="lt-LT"/>
              </w:rPr>
              <w:t>Bendros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823B34" w:rsidRPr="00EE75F8" w:rsidRDefault="00C7408A" w:rsidP="00C104D0">
            <w:pPr>
              <w:shd w:val="clear" w:color="auto" w:fill="FFFFFF"/>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198.080.709</w:t>
            </w:r>
          </w:p>
        </w:tc>
        <w:tc>
          <w:tcPr>
            <w:tcW w:w="1247" w:type="dxa"/>
            <w:tcBorders>
              <w:top w:val="nil"/>
              <w:left w:val="nil"/>
              <w:bottom w:val="single" w:sz="4" w:space="0" w:color="auto"/>
              <w:right w:val="single" w:sz="4" w:space="0" w:color="auto"/>
            </w:tcBorders>
            <w:shd w:val="clear" w:color="auto" w:fill="auto"/>
            <w:vAlign w:val="center"/>
            <w:hideMark/>
          </w:tcPr>
          <w:p w:rsidR="00FB06A6" w:rsidRPr="00EE75F8" w:rsidRDefault="00C7408A" w:rsidP="009E1DDF">
            <w:pPr>
              <w:shd w:val="clear" w:color="auto" w:fill="FFFFFF"/>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34.955.420</w:t>
            </w:r>
          </w:p>
        </w:tc>
        <w:tc>
          <w:tcPr>
            <w:tcW w:w="1134" w:type="dxa"/>
            <w:tcBorders>
              <w:top w:val="single" w:sz="4" w:space="0" w:color="auto"/>
              <w:left w:val="nil"/>
              <w:bottom w:val="single" w:sz="4" w:space="0" w:color="auto"/>
              <w:right w:val="single" w:sz="4" w:space="0" w:color="auto"/>
            </w:tcBorders>
            <w:vAlign w:val="center"/>
          </w:tcPr>
          <w:p w:rsidR="00FB06A6" w:rsidRPr="00EE75F8" w:rsidRDefault="00FB06A6" w:rsidP="006422C3">
            <w:pPr>
              <w:shd w:val="clear" w:color="auto" w:fill="FFFFFF"/>
              <w:jc w:val="right"/>
              <w:rPr>
                <w:rFonts w:ascii="Times New Roman" w:hAnsi="Times New Roman" w:cs="Times New Roman"/>
                <w:sz w:val="16"/>
                <w:szCs w:val="16"/>
              </w:rPr>
            </w:pPr>
            <w:r w:rsidRPr="00EE75F8">
              <w:rPr>
                <w:rFonts w:ascii="Times New Roman" w:hAnsi="Times New Roman" w:cs="Times New Roman"/>
                <w:sz w:val="16"/>
                <w:szCs w:val="16"/>
              </w:rPr>
              <w:t>31</w:t>
            </w:r>
            <w:r w:rsidR="00C7408A" w:rsidRPr="00EE75F8">
              <w:rPr>
                <w:rFonts w:ascii="Times New Roman" w:hAnsi="Times New Roman" w:cs="Times New Roman"/>
                <w:sz w:val="16"/>
                <w:szCs w:val="16"/>
              </w:rPr>
              <w:t>.029.926</w:t>
            </w:r>
          </w:p>
        </w:tc>
        <w:tc>
          <w:tcPr>
            <w:tcW w:w="1021" w:type="dxa"/>
            <w:tcBorders>
              <w:top w:val="single" w:sz="4" w:space="0" w:color="auto"/>
              <w:left w:val="single" w:sz="4" w:space="0" w:color="auto"/>
              <w:bottom w:val="single" w:sz="4" w:space="0" w:color="auto"/>
              <w:right w:val="single" w:sz="4" w:space="0" w:color="auto"/>
            </w:tcBorders>
            <w:vAlign w:val="center"/>
          </w:tcPr>
          <w:p w:rsidR="00C7408A" w:rsidRPr="00EE75F8" w:rsidRDefault="00C7408A" w:rsidP="00C7408A">
            <w:pPr>
              <w:shd w:val="clear" w:color="auto" w:fill="FFFFFF"/>
              <w:jc w:val="right"/>
              <w:rPr>
                <w:rFonts w:ascii="Times New Roman" w:hAnsi="Times New Roman" w:cs="Times New Roman"/>
                <w:sz w:val="16"/>
                <w:szCs w:val="16"/>
              </w:rPr>
            </w:pPr>
            <w:r w:rsidRPr="00EE75F8">
              <w:rPr>
                <w:rFonts w:ascii="Times New Roman" w:hAnsi="Times New Roman" w:cs="Times New Roman"/>
                <w:sz w:val="16"/>
                <w:szCs w:val="16"/>
              </w:rPr>
              <w:t>3.925.494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2B04" w:rsidRPr="00EE75F8" w:rsidRDefault="00C7408A" w:rsidP="006422C3">
            <w:pPr>
              <w:shd w:val="clear" w:color="auto" w:fill="FFFFFF"/>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233.036.129</w:t>
            </w:r>
          </w:p>
        </w:tc>
        <w:tc>
          <w:tcPr>
            <w:tcW w:w="680" w:type="dxa"/>
            <w:tcBorders>
              <w:top w:val="nil"/>
              <w:left w:val="nil"/>
              <w:bottom w:val="single" w:sz="4" w:space="0" w:color="auto"/>
              <w:right w:val="single" w:sz="4" w:space="0" w:color="auto"/>
            </w:tcBorders>
            <w:shd w:val="clear" w:color="auto" w:fill="auto"/>
            <w:vAlign w:val="center"/>
            <w:hideMark/>
          </w:tcPr>
          <w:p w:rsidR="009E1DDF" w:rsidRPr="00EE75F8" w:rsidRDefault="009E1DDF" w:rsidP="009E1DDF">
            <w:pPr>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EE75F8" w:rsidRDefault="009E1DDF" w:rsidP="009E1DDF">
            <w:pPr>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w:t>
            </w:r>
          </w:p>
        </w:tc>
        <w:tc>
          <w:tcPr>
            <w:tcW w:w="1305" w:type="dxa"/>
            <w:tcBorders>
              <w:top w:val="nil"/>
              <w:left w:val="nil"/>
              <w:bottom w:val="single" w:sz="4" w:space="0" w:color="auto"/>
              <w:right w:val="single" w:sz="4" w:space="0" w:color="auto"/>
            </w:tcBorders>
            <w:shd w:val="clear" w:color="auto" w:fill="auto"/>
            <w:vAlign w:val="center"/>
            <w:hideMark/>
          </w:tcPr>
          <w:p w:rsidR="005C2B04" w:rsidRPr="00EE75F8" w:rsidRDefault="00C7408A" w:rsidP="006422C3">
            <w:pPr>
              <w:shd w:val="clear" w:color="auto" w:fill="FFFFFF"/>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186.195.866</w:t>
            </w:r>
          </w:p>
        </w:tc>
        <w:tc>
          <w:tcPr>
            <w:tcW w:w="1276" w:type="dxa"/>
            <w:tcBorders>
              <w:top w:val="nil"/>
              <w:left w:val="nil"/>
              <w:bottom w:val="single" w:sz="4" w:space="0" w:color="auto"/>
              <w:right w:val="single" w:sz="4" w:space="0" w:color="auto"/>
            </w:tcBorders>
            <w:shd w:val="clear" w:color="auto" w:fill="auto"/>
            <w:vAlign w:val="center"/>
            <w:hideMark/>
          </w:tcPr>
          <w:p w:rsidR="00656961" w:rsidRPr="00EE75F8" w:rsidRDefault="00C7408A" w:rsidP="006422C3">
            <w:pPr>
              <w:shd w:val="clear" w:color="auto" w:fill="FFFFFF"/>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32.858.095</w:t>
            </w:r>
          </w:p>
        </w:tc>
        <w:tc>
          <w:tcPr>
            <w:tcW w:w="1134" w:type="dxa"/>
            <w:tcBorders>
              <w:top w:val="nil"/>
              <w:left w:val="nil"/>
              <w:bottom w:val="single" w:sz="4" w:space="0" w:color="auto"/>
              <w:right w:val="single" w:sz="4" w:space="0" w:color="auto"/>
            </w:tcBorders>
            <w:shd w:val="clear" w:color="auto" w:fill="auto"/>
            <w:vAlign w:val="center"/>
            <w:hideMark/>
          </w:tcPr>
          <w:p w:rsidR="00656961" w:rsidRPr="00EE75F8" w:rsidRDefault="00C7408A" w:rsidP="006422C3">
            <w:pPr>
              <w:shd w:val="clear" w:color="auto" w:fill="FFFFFF"/>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11.884.843</w:t>
            </w:r>
          </w:p>
        </w:tc>
        <w:tc>
          <w:tcPr>
            <w:tcW w:w="1105" w:type="dxa"/>
            <w:tcBorders>
              <w:top w:val="nil"/>
              <w:left w:val="nil"/>
              <w:bottom w:val="single" w:sz="4" w:space="0" w:color="auto"/>
              <w:right w:val="single" w:sz="4" w:space="0" w:color="auto"/>
            </w:tcBorders>
            <w:shd w:val="clear" w:color="auto" w:fill="auto"/>
            <w:vAlign w:val="center"/>
            <w:hideMark/>
          </w:tcPr>
          <w:p w:rsidR="007A1559" w:rsidRPr="00EE75F8" w:rsidRDefault="00C7408A" w:rsidP="006422C3">
            <w:pPr>
              <w:shd w:val="clear" w:color="auto" w:fill="FFFFFF"/>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2.097.325</w:t>
            </w:r>
          </w:p>
        </w:tc>
        <w:tc>
          <w:tcPr>
            <w:tcW w:w="567" w:type="dxa"/>
            <w:tcBorders>
              <w:top w:val="nil"/>
              <w:left w:val="nil"/>
              <w:bottom w:val="single" w:sz="4" w:space="0" w:color="auto"/>
              <w:right w:val="single" w:sz="4" w:space="0" w:color="auto"/>
            </w:tcBorders>
            <w:shd w:val="clear" w:color="auto" w:fill="auto"/>
            <w:vAlign w:val="center"/>
            <w:hideMark/>
          </w:tcPr>
          <w:p w:rsidR="009E1DDF" w:rsidRPr="00C104D0" w:rsidRDefault="009E1DDF" w:rsidP="009E1DDF">
            <w:pPr>
              <w:jc w:val="right"/>
              <w:rPr>
                <w:rFonts w:ascii="Times New Roman" w:hAnsi="Times New Roman" w:cs="Times New Roman"/>
                <w:color w:val="000000"/>
                <w:sz w:val="16"/>
                <w:szCs w:val="16"/>
                <w:lang w:eastAsia="lt-LT"/>
              </w:rPr>
            </w:pPr>
            <w:r w:rsidRPr="00C104D0">
              <w:rPr>
                <w:rFonts w:ascii="Times New Roman" w:hAnsi="Times New Roman" w:cs="Times New Roman"/>
                <w:color w:val="000000"/>
                <w:sz w:val="16"/>
                <w:szCs w:val="16"/>
                <w:lang w:eastAsia="lt-LT"/>
              </w:rPr>
              <w:t>6,00</w:t>
            </w:r>
          </w:p>
        </w:tc>
      </w:tr>
      <w:tr w:rsidR="009E1DDF" w:rsidRPr="00697AD2" w:rsidTr="009E1DDF">
        <w:trPr>
          <w:trHeight w:val="510"/>
        </w:trPr>
        <w:tc>
          <w:tcPr>
            <w:tcW w:w="992" w:type="dxa"/>
            <w:vMerge/>
            <w:tcBorders>
              <w:top w:val="nil"/>
              <w:left w:val="single" w:sz="4" w:space="0" w:color="auto"/>
              <w:bottom w:val="single" w:sz="4" w:space="0" w:color="000000"/>
              <w:right w:val="single" w:sz="4" w:space="0" w:color="auto"/>
            </w:tcBorders>
            <w:vAlign w:val="center"/>
            <w:hideMark/>
          </w:tcPr>
          <w:p w:rsidR="009E1DDF" w:rsidRPr="00697AD2" w:rsidRDefault="009E1DDF" w:rsidP="009E1DDF">
            <w:pPr>
              <w:rPr>
                <w:rFonts w:ascii="Times New Roman" w:hAnsi="Times New Roman" w:cs="Times New Roman"/>
                <w:i/>
                <w:iCs/>
                <w:color w:val="000000"/>
                <w:sz w:val="16"/>
                <w:szCs w:val="16"/>
                <w:lang w:eastAsia="lt-LT"/>
              </w:rPr>
            </w:pPr>
          </w:p>
        </w:tc>
        <w:tc>
          <w:tcPr>
            <w:tcW w:w="738" w:type="dxa"/>
            <w:tcBorders>
              <w:top w:val="nil"/>
              <w:left w:val="nil"/>
              <w:bottom w:val="single" w:sz="4" w:space="0" w:color="auto"/>
              <w:right w:val="single" w:sz="4" w:space="0" w:color="auto"/>
            </w:tcBorders>
            <w:shd w:val="clear" w:color="auto" w:fill="auto"/>
            <w:vAlign w:val="center"/>
            <w:hideMark/>
          </w:tcPr>
          <w:p w:rsidR="009E1DDF" w:rsidRPr="00136C57" w:rsidRDefault="009E1DDF" w:rsidP="009E1DDF">
            <w:pPr>
              <w:jc w:val="both"/>
              <w:rPr>
                <w:rFonts w:ascii="Times New Roman" w:hAnsi="Times New Roman" w:cs="Times New Roman"/>
                <w:color w:val="000000"/>
                <w:sz w:val="16"/>
                <w:szCs w:val="16"/>
                <w:lang w:eastAsia="lt-LT"/>
              </w:rPr>
            </w:pPr>
            <w:proofErr w:type="spellStart"/>
            <w:r w:rsidRPr="00136C57">
              <w:rPr>
                <w:rFonts w:ascii="Times New Roman" w:hAnsi="Times New Roman" w:cs="Times New Roman"/>
                <w:color w:val="000000"/>
                <w:sz w:val="16"/>
                <w:szCs w:val="16"/>
                <w:lang w:eastAsia="lt-LT"/>
              </w:rPr>
              <w:t>SaF</w:t>
            </w:r>
            <w:proofErr w:type="spellEnd"/>
          </w:p>
        </w:tc>
        <w:tc>
          <w:tcPr>
            <w:tcW w:w="964" w:type="dxa"/>
            <w:tcBorders>
              <w:top w:val="nil"/>
              <w:left w:val="nil"/>
              <w:bottom w:val="single" w:sz="4" w:space="0" w:color="auto"/>
              <w:right w:val="single" w:sz="4" w:space="0" w:color="auto"/>
            </w:tcBorders>
            <w:shd w:val="clear" w:color="auto" w:fill="auto"/>
            <w:vAlign w:val="center"/>
            <w:hideMark/>
          </w:tcPr>
          <w:p w:rsidR="009E1DDF" w:rsidRPr="00136C57" w:rsidRDefault="009E1DDF" w:rsidP="009E1DDF">
            <w:pPr>
              <w:rPr>
                <w:rFonts w:ascii="Times New Roman" w:hAnsi="Times New Roman" w:cs="Times New Roman"/>
                <w:sz w:val="16"/>
                <w:szCs w:val="16"/>
                <w:lang w:eastAsia="lt-LT"/>
              </w:rPr>
            </w:pPr>
            <w:r w:rsidRPr="00136C57">
              <w:rPr>
                <w:rFonts w:ascii="Times New Roman" w:hAnsi="Times New Roman" w:cs="Times New Roman"/>
                <w:sz w:val="16"/>
                <w:szCs w:val="16"/>
                <w:lang w:eastAsia="lt-LT"/>
              </w:rPr>
              <w:t>Bendros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FB06A6" w:rsidRPr="00EE75F8" w:rsidRDefault="00400A7D" w:rsidP="006422C3">
            <w:pPr>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712.999.</w:t>
            </w:r>
            <w:r w:rsidR="00FB06A6" w:rsidRPr="00EE75F8">
              <w:rPr>
                <w:rFonts w:ascii="Times New Roman" w:hAnsi="Times New Roman" w:cs="Times New Roman"/>
                <w:sz w:val="16"/>
                <w:szCs w:val="16"/>
                <w:lang w:eastAsia="lt-LT"/>
              </w:rPr>
              <w:t>887</w:t>
            </w:r>
          </w:p>
        </w:tc>
        <w:tc>
          <w:tcPr>
            <w:tcW w:w="1247" w:type="dxa"/>
            <w:tcBorders>
              <w:top w:val="nil"/>
              <w:left w:val="nil"/>
              <w:bottom w:val="single" w:sz="4" w:space="0" w:color="auto"/>
              <w:right w:val="single" w:sz="4" w:space="0" w:color="auto"/>
            </w:tcBorders>
            <w:shd w:val="clear" w:color="auto" w:fill="auto"/>
            <w:vAlign w:val="center"/>
            <w:hideMark/>
          </w:tcPr>
          <w:p w:rsidR="00FB06A6" w:rsidRPr="00EE75F8" w:rsidRDefault="00400A7D" w:rsidP="006422C3">
            <w:pPr>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125.823.</w:t>
            </w:r>
            <w:r w:rsidR="00FB06A6" w:rsidRPr="00EE75F8">
              <w:rPr>
                <w:rFonts w:ascii="Times New Roman" w:hAnsi="Times New Roman" w:cs="Times New Roman"/>
                <w:sz w:val="16"/>
                <w:szCs w:val="16"/>
                <w:lang w:eastAsia="lt-LT"/>
              </w:rPr>
              <w:t>510</w:t>
            </w:r>
          </w:p>
        </w:tc>
        <w:tc>
          <w:tcPr>
            <w:tcW w:w="1134" w:type="dxa"/>
            <w:tcBorders>
              <w:top w:val="single" w:sz="4" w:space="0" w:color="auto"/>
              <w:left w:val="nil"/>
              <w:bottom w:val="single" w:sz="4" w:space="0" w:color="auto"/>
              <w:right w:val="single" w:sz="4" w:space="0" w:color="auto"/>
            </w:tcBorders>
            <w:vAlign w:val="center"/>
          </w:tcPr>
          <w:p w:rsidR="00376D0A" w:rsidRPr="00EE75F8" w:rsidRDefault="00400A7D" w:rsidP="006422C3">
            <w:pPr>
              <w:jc w:val="right"/>
              <w:rPr>
                <w:rFonts w:ascii="Times New Roman" w:hAnsi="Times New Roman" w:cs="Times New Roman"/>
                <w:sz w:val="16"/>
                <w:szCs w:val="16"/>
              </w:rPr>
            </w:pPr>
            <w:r w:rsidRPr="00EE75F8">
              <w:rPr>
                <w:rFonts w:ascii="Times New Roman" w:hAnsi="Times New Roman" w:cs="Times New Roman"/>
                <w:sz w:val="16"/>
                <w:szCs w:val="16"/>
              </w:rPr>
              <w:t>35.717.</w:t>
            </w:r>
            <w:r w:rsidR="00376D0A" w:rsidRPr="00EE75F8">
              <w:rPr>
                <w:rFonts w:ascii="Times New Roman" w:hAnsi="Times New Roman" w:cs="Times New Roman"/>
                <w:sz w:val="16"/>
                <w:szCs w:val="16"/>
              </w:rPr>
              <w:t>620</w:t>
            </w:r>
          </w:p>
        </w:tc>
        <w:tc>
          <w:tcPr>
            <w:tcW w:w="1021" w:type="dxa"/>
            <w:tcBorders>
              <w:top w:val="single" w:sz="4" w:space="0" w:color="auto"/>
              <w:left w:val="single" w:sz="4" w:space="0" w:color="auto"/>
              <w:bottom w:val="single" w:sz="4" w:space="0" w:color="auto"/>
              <w:right w:val="single" w:sz="4" w:space="0" w:color="auto"/>
            </w:tcBorders>
            <w:vAlign w:val="center"/>
          </w:tcPr>
          <w:p w:rsidR="009E1DDF" w:rsidRPr="00EE75F8" w:rsidRDefault="006422C3" w:rsidP="006422C3">
            <w:pPr>
              <w:jc w:val="right"/>
              <w:rPr>
                <w:rFonts w:ascii="Times New Roman" w:hAnsi="Times New Roman" w:cs="Times New Roman"/>
                <w:sz w:val="16"/>
                <w:szCs w:val="16"/>
              </w:rPr>
            </w:pPr>
            <w:r w:rsidRPr="00EE75F8">
              <w:rPr>
                <w:rFonts w:ascii="Times New Roman" w:hAnsi="Times New Roman" w:cs="Times New Roman"/>
                <w:sz w:val="16"/>
                <w:szCs w:val="16"/>
              </w:rPr>
              <w:t>90.105.890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2B04" w:rsidRPr="00EE75F8" w:rsidRDefault="00400A7D" w:rsidP="006422C3">
            <w:pPr>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838.823.</w:t>
            </w:r>
            <w:r w:rsidR="005C2B04" w:rsidRPr="00EE75F8">
              <w:rPr>
                <w:rFonts w:ascii="Times New Roman" w:hAnsi="Times New Roman" w:cs="Times New Roman"/>
                <w:sz w:val="16"/>
                <w:szCs w:val="16"/>
                <w:lang w:eastAsia="lt-LT"/>
              </w:rPr>
              <w:t>397</w:t>
            </w:r>
          </w:p>
        </w:tc>
        <w:tc>
          <w:tcPr>
            <w:tcW w:w="680" w:type="dxa"/>
            <w:tcBorders>
              <w:top w:val="nil"/>
              <w:left w:val="nil"/>
              <w:bottom w:val="single" w:sz="4" w:space="0" w:color="auto"/>
              <w:right w:val="single" w:sz="4" w:space="0" w:color="auto"/>
            </w:tcBorders>
            <w:shd w:val="clear" w:color="auto" w:fill="auto"/>
            <w:vAlign w:val="center"/>
            <w:hideMark/>
          </w:tcPr>
          <w:p w:rsidR="009E1DDF" w:rsidRPr="00EE75F8" w:rsidRDefault="009E1DDF" w:rsidP="009E1DDF">
            <w:pPr>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EE75F8" w:rsidRDefault="009E1DDF" w:rsidP="009E1DDF">
            <w:pPr>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w:t>
            </w:r>
          </w:p>
        </w:tc>
        <w:tc>
          <w:tcPr>
            <w:tcW w:w="1305" w:type="dxa"/>
            <w:tcBorders>
              <w:top w:val="nil"/>
              <w:left w:val="nil"/>
              <w:bottom w:val="single" w:sz="4" w:space="0" w:color="auto"/>
              <w:right w:val="single" w:sz="4" w:space="0" w:color="auto"/>
            </w:tcBorders>
            <w:shd w:val="clear" w:color="auto" w:fill="auto"/>
            <w:vAlign w:val="center"/>
            <w:hideMark/>
          </w:tcPr>
          <w:p w:rsidR="005C2B04" w:rsidRPr="00EE75F8" w:rsidRDefault="00377149" w:rsidP="006422C3">
            <w:pPr>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665.888.410</w:t>
            </w:r>
          </w:p>
        </w:tc>
        <w:tc>
          <w:tcPr>
            <w:tcW w:w="1276" w:type="dxa"/>
            <w:tcBorders>
              <w:top w:val="nil"/>
              <w:left w:val="nil"/>
              <w:bottom w:val="single" w:sz="4" w:space="0" w:color="auto"/>
              <w:right w:val="single" w:sz="4" w:space="0" w:color="auto"/>
            </w:tcBorders>
            <w:shd w:val="clear" w:color="auto" w:fill="auto"/>
            <w:vAlign w:val="center"/>
            <w:hideMark/>
          </w:tcPr>
          <w:p w:rsidR="00656961" w:rsidRPr="00EE75F8" w:rsidRDefault="00377149" w:rsidP="006422C3">
            <w:pPr>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117.509.720</w:t>
            </w:r>
          </w:p>
        </w:tc>
        <w:tc>
          <w:tcPr>
            <w:tcW w:w="1134" w:type="dxa"/>
            <w:tcBorders>
              <w:top w:val="nil"/>
              <w:left w:val="nil"/>
              <w:bottom w:val="single" w:sz="4" w:space="0" w:color="auto"/>
              <w:right w:val="single" w:sz="4" w:space="0" w:color="auto"/>
            </w:tcBorders>
            <w:shd w:val="clear" w:color="auto" w:fill="auto"/>
            <w:vAlign w:val="center"/>
            <w:hideMark/>
          </w:tcPr>
          <w:p w:rsidR="00656961" w:rsidRPr="00EE75F8" w:rsidRDefault="00377149" w:rsidP="006422C3">
            <w:pPr>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47.111.477</w:t>
            </w:r>
          </w:p>
        </w:tc>
        <w:tc>
          <w:tcPr>
            <w:tcW w:w="1105" w:type="dxa"/>
            <w:tcBorders>
              <w:top w:val="nil"/>
              <w:left w:val="nil"/>
              <w:bottom w:val="single" w:sz="4" w:space="0" w:color="auto"/>
              <w:right w:val="single" w:sz="4" w:space="0" w:color="auto"/>
            </w:tcBorders>
            <w:shd w:val="clear" w:color="auto" w:fill="auto"/>
            <w:vAlign w:val="center"/>
            <w:hideMark/>
          </w:tcPr>
          <w:p w:rsidR="007A1559" w:rsidRPr="00EE75F8" w:rsidRDefault="00377149" w:rsidP="006422C3">
            <w:pPr>
              <w:jc w:val="right"/>
              <w:rPr>
                <w:rFonts w:ascii="Times New Roman" w:hAnsi="Times New Roman" w:cs="Times New Roman"/>
                <w:sz w:val="16"/>
                <w:szCs w:val="16"/>
                <w:lang w:eastAsia="lt-LT"/>
              </w:rPr>
            </w:pPr>
            <w:r w:rsidRPr="00EE75F8">
              <w:rPr>
                <w:rFonts w:ascii="Times New Roman" w:hAnsi="Times New Roman" w:cs="Times New Roman"/>
                <w:sz w:val="16"/>
                <w:szCs w:val="16"/>
                <w:lang w:eastAsia="lt-LT"/>
              </w:rPr>
              <w:t>8.313.790</w:t>
            </w:r>
          </w:p>
        </w:tc>
        <w:tc>
          <w:tcPr>
            <w:tcW w:w="567" w:type="dxa"/>
            <w:tcBorders>
              <w:top w:val="nil"/>
              <w:left w:val="nil"/>
              <w:bottom w:val="single" w:sz="4" w:space="0" w:color="auto"/>
              <w:right w:val="single" w:sz="4" w:space="0" w:color="auto"/>
            </w:tcBorders>
            <w:shd w:val="clear" w:color="auto" w:fill="auto"/>
            <w:vAlign w:val="center"/>
            <w:hideMark/>
          </w:tcPr>
          <w:p w:rsidR="009E1DDF" w:rsidRPr="00C104D0" w:rsidRDefault="009E1DDF" w:rsidP="009E1DDF">
            <w:pPr>
              <w:jc w:val="right"/>
              <w:rPr>
                <w:rFonts w:ascii="Times New Roman" w:hAnsi="Times New Roman" w:cs="Times New Roman"/>
                <w:color w:val="000000"/>
                <w:sz w:val="16"/>
                <w:szCs w:val="16"/>
                <w:lang w:eastAsia="lt-LT"/>
              </w:rPr>
            </w:pPr>
            <w:r w:rsidRPr="00C104D0">
              <w:rPr>
                <w:rFonts w:ascii="Times New Roman" w:hAnsi="Times New Roman" w:cs="Times New Roman"/>
                <w:color w:val="000000"/>
                <w:sz w:val="16"/>
                <w:szCs w:val="16"/>
                <w:lang w:eastAsia="lt-LT"/>
              </w:rPr>
              <w:t>6,60</w:t>
            </w:r>
          </w:p>
        </w:tc>
      </w:tr>
      <w:tr w:rsidR="009E1DDF" w:rsidRPr="00697AD2" w:rsidTr="009E1DDF">
        <w:trPr>
          <w:trHeight w:val="229"/>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E1DDF" w:rsidRPr="00697AD2" w:rsidRDefault="009E1DDF" w:rsidP="009E1DDF">
            <w:pPr>
              <w:widowControl w:val="0"/>
              <w:tabs>
                <w:tab w:val="left" w:pos="622"/>
              </w:tabs>
              <w:rPr>
                <w:rFonts w:ascii="Times New Roman" w:eastAsia="AngsanaUPC" w:hAnsi="Times New Roman" w:cs="Times New Roman"/>
                <w:bCs/>
                <w:sz w:val="16"/>
                <w:szCs w:val="16"/>
                <w:lang w:eastAsia="lt-LT"/>
              </w:rPr>
            </w:pPr>
            <w:r w:rsidRPr="00697AD2">
              <w:rPr>
                <w:rFonts w:ascii="Times New Roman" w:eastAsia="AngsanaUPC" w:hAnsi="Times New Roman" w:cs="Times New Roman"/>
                <w:bCs/>
                <w:sz w:val="16"/>
                <w:szCs w:val="16"/>
                <w:lang w:eastAsia="lt-LT"/>
              </w:rPr>
              <w:t>6. Darnaus transporto ir pagrindinių tinklų infrastruktūros plėtra</w:t>
            </w:r>
          </w:p>
        </w:tc>
        <w:tc>
          <w:tcPr>
            <w:tcW w:w="738" w:type="dxa"/>
            <w:tcBorders>
              <w:top w:val="nil"/>
              <w:left w:val="nil"/>
              <w:bottom w:val="single" w:sz="4" w:space="0" w:color="auto"/>
              <w:right w:val="single" w:sz="4" w:space="0" w:color="auto"/>
            </w:tcBorders>
            <w:shd w:val="clear" w:color="auto" w:fill="auto"/>
            <w:vAlign w:val="center"/>
            <w:hideMark/>
          </w:tcPr>
          <w:p w:rsidR="009E1DDF" w:rsidRPr="00136C57" w:rsidRDefault="009E1DDF" w:rsidP="009E1DDF">
            <w:pPr>
              <w:jc w:val="both"/>
              <w:rPr>
                <w:rFonts w:ascii="Times New Roman" w:hAnsi="Times New Roman" w:cs="Times New Roman"/>
                <w:color w:val="000000"/>
                <w:sz w:val="16"/>
                <w:szCs w:val="16"/>
                <w:lang w:eastAsia="lt-LT"/>
              </w:rPr>
            </w:pPr>
            <w:r w:rsidRPr="00136C57">
              <w:rPr>
                <w:rFonts w:ascii="Times New Roman" w:hAnsi="Times New Roman" w:cs="Times New Roman"/>
                <w:color w:val="000000"/>
                <w:sz w:val="16"/>
                <w:szCs w:val="16"/>
                <w:lang w:eastAsia="lt-LT"/>
              </w:rPr>
              <w:t>ERPF</w:t>
            </w:r>
          </w:p>
        </w:tc>
        <w:tc>
          <w:tcPr>
            <w:tcW w:w="964" w:type="dxa"/>
            <w:tcBorders>
              <w:top w:val="nil"/>
              <w:left w:val="nil"/>
              <w:bottom w:val="single" w:sz="4" w:space="0" w:color="auto"/>
              <w:right w:val="single" w:sz="4" w:space="0" w:color="auto"/>
            </w:tcBorders>
            <w:shd w:val="clear" w:color="auto" w:fill="auto"/>
            <w:vAlign w:val="center"/>
            <w:hideMark/>
          </w:tcPr>
          <w:p w:rsidR="009E1DDF" w:rsidRPr="00136C57" w:rsidRDefault="009E1DDF" w:rsidP="009E1DDF">
            <w:pPr>
              <w:rPr>
                <w:rFonts w:ascii="Times New Roman" w:hAnsi="Times New Roman" w:cs="Times New Roman"/>
                <w:sz w:val="16"/>
                <w:szCs w:val="16"/>
                <w:lang w:eastAsia="lt-LT"/>
              </w:rPr>
            </w:pPr>
            <w:r w:rsidRPr="00136C57">
              <w:rPr>
                <w:rFonts w:ascii="Times New Roman" w:hAnsi="Times New Roman" w:cs="Times New Roman"/>
                <w:sz w:val="16"/>
                <w:szCs w:val="16"/>
                <w:lang w:eastAsia="lt-LT"/>
              </w:rPr>
              <w:t>Bendros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FB06A6" w:rsidRPr="00C5039F" w:rsidRDefault="002535FB" w:rsidP="006422C3">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319.425.</w:t>
            </w:r>
            <w:r w:rsidR="00FB06A6" w:rsidRPr="00C5039F">
              <w:rPr>
                <w:rFonts w:ascii="Times New Roman" w:hAnsi="Times New Roman" w:cs="Times New Roman"/>
                <w:sz w:val="16"/>
                <w:szCs w:val="16"/>
                <w:lang w:eastAsia="lt-LT"/>
              </w:rPr>
              <w:t>213</w:t>
            </w:r>
          </w:p>
        </w:tc>
        <w:tc>
          <w:tcPr>
            <w:tcW w:w="1247" w:type="dxa"/>
            <w:tcBorders>
              <w:top w:val="nil"/>
              <w:left w:val="nil"/>
              <w:bottom w:val="single" w:sz="4" w:space="0" w:color="auto"/>
              <w:right w:val="single" w:sz="4" w:space="0" w:color="auto"/>
            </w:tcBorders>
            <w:shd w:val="clear" w:color="auto" w:fill="auto"/>
            <w:vAlign w:val="center"/>
            <w:hideMark/>
          </w:tcPr>
          <w:p w:rsidR="00FB06A6" w:rsidRPr="00C5039F" w:rsidRDefault="009E004D" w:rsidP="006422C3">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56.369.</w:t>
            </w:r>
            <w:r w:rsidR="00FB06A6" w:rsidRPr="00C5039F">
              <w:rPr>
                <w:rFonts w:ascii="Times New Roman" w:hAnsi="Times New Roman" w:cs="Times New Roman"/>
                <w:sz w:val="16"/>
                <w:szCs w:val="16"/>
                <w:lang w:eastAsia="lt-LT"/>
              </w:rPr>
              <w:t>156</w:t>
            </w:r>
          </w:p>
        </w:tc>
        <w:tc>
          <w:tcPr>
            <w:tcW w:w="1134" w:type="dxa"/>
            <w:tcBorders>
              <w:top w:val="single" w:sz="4" w:space="0" w:color="auto"/>
              <w:left w:val="nil"/>
              <w:bottom w:val="single" w:sz="4" w:space="0" w:color="auto"/>
              <w:right w:val="single" w:sz="4" w:space="0" w:color="auto"/>
            </w:tcBorders>
            <w:vAlign w:val="center"/>
          </w:tcPr>
          <w:p w:rsidR="00376D0A" w:rsidRPr="00C5039F" w:rsidRDefault="009E004D" w:rsidP="006422C3">
            <w:pPr>
              <w:jc w:val="right"/>
              <w:rPr>
                <w:rFonts w:ascii="Times New Roman" w:hAnsi="Times New Roman" w:cs="Times New Roman"/>
                <w:sz w:val="16"/>
                <w:szCs w:val="16"/>
              </w:rPr>
            </w:pPr>
            <w:r w:rsidRPr="00C5039F">
              <w:rPr>
                <w:rFonts w:ascii="Times New Roman" w:hAnsi="Times New Roman" w:cs="Times New Roman"/>
                <w:sz w:val="16"/>
                <w:szCs w:val="16"/>
              </w:rPr>
              <w:t>8.141.</w:t>
            </w:r>
            <w:r w:rsidR="00376D0A" w:rsidRPr="00C5039F">
              <w:rPr>
                <w:rFonts w:ascii="Times New Roman" w:hAnsi="Times New Roman" w:cs="Times New Roman"/>
                <w:sz w:val="16"/>
                <w:szCs w:val="16"/>
              </w:rPr>
              <w:t>247</w:t>
            </w:r>
          </w:p>
        </w:tc>
        <w:tc>
          <w:tcPr>
            <w:tcW w:w="1021" w:type="dxa"/>
            <w:tcBorders>
              <w:top w:val="single" w:sz="4" w:space="0" w:color="auto"/>
              <w:left w:val="single" w:sz="4" w:space="0" w:color="auto"/>
              <w:bottom w:val="single" w:sz="4" w:space="0" w:color="auto"/>
              <w:right w:val="single" w:sz="4" w:space="0" w:color="auto"/>
            </w:tcBorders>
            <w:vAlign w:val="center"/>
          </w:tcPr>
          <w:p w:rsidR="00376D0A" w:rsidRPr="00C5039F" w:rsidRDefault="009E004D" w:rsidP="006422C3">
            <w:pPr>
              <w:jc w:val="right"/>
              <w:rPr>
                <w:rFonts w:ascii="Times New Roman" w:hAnsi="Times New Roman" w:cs="Times New Roman"/>
                <w:sz w:val="16"/>
                <w:szCs w:val="16"/>
              </w:rPr>
            </w:pPr>
            <w:r w:rsidRPr="00C5039F">
              <w:rPr>
                <w:rFonts w:ascii="Times New Roman" w:hAnsi="Times New Roman" w:cs="Times New Roman"/>
                <w:sz w:val="16"/>
                <w:szCs w:val="16"/>
              </w:rPr>
              <w:t>48.227.</w:t>
            </w:r>
            <w:r w:rsidR="005C2B04" w:rsidRPr="00C5039F">
              <w:rPr>
                <w:rFonts w:ascii="Times New Roman" w:hAnsi="Times New Roman" w:cs="Times New Roman"/>
                <w:sz w:val="16"/>
                <w:szCs w:val="16"/>
              </w:rPr>
              <w:t>909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2B04" w:rsidRPr="00C5039F" w:rsidRDefault="009E004D" w:rsidP="006422C3">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375.794.</w:t>
            </w:r>
            <w:r w:rsidR="005C2B04" w:rsidRPr="00C5039F">
              <w:rPr>
                <w:rFonts w:ascii="Times New Roman" w:hAnsi="Times New Roman" w:cs="Times New Roman"/>
                <w:sz w:val="16"/>
                <w:szCs w:val="16"/>
                <w:lang w:eastAsia="lt-LT"/>
              </w:rPr>
              <w:t>369</w:t>
            </w:r>
          </w:p>
        </w:tc>
        <w:tc>
          <w:tcPr>
            <w:tcW w:w="680"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9E1DDF">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9E1DDF">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w:t>
            </w:r>
          </w:p>
        </w:tc>
        <w:tc>
          <w:tcPr>
            <w:tcW w:w="1305" w:type="dxa"/>
            <w:tcBorders>
              <w:top w:val="nil"/>
              <w:left w:val="nil"/>
              <w:bottom w:val="single" w:sz="4" w:space="0" w:color="auto"/>
              <w:right w:val="single" w:sz="4" w:space="0" w:color="auto"/>
            </w:tcBorders>
            <w:shd w:val="clear" w:color="auto" w:fill="auto"/>
            <w:vAlign w:val="center"/>
            <w:hideMark/>
          </w:tcPr>
          <w:p w:rsidR="005C2B04" w:rsidRPr="00C5039F" w:rsidRDefault="009E004D" w:rsidP="00467870">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300.259.</w:t>
            </w:r>
            <w:r w:rsidR="005C2B04" w:rsidRPr="00C5039F">
              <w:rPr>
                <w:rFonts w:ascii="Times New Roman" w:hAnsi="Times New Roman" w:cs="Times New Roman"/>
                <w:sz w:val="16"/>
                <w:szCs w:val="16"/>
                <w:lang w:eastAsia="lt-LT"/>
              </w:rPr>
              <w:t>700</w:t>
            </w:r>
          </w:p>
        </w:tc>
        <w:tc>
          <w:tcPr>
            <w:tcW w:w="1276" w:type="dxa"/>
            <w:tcBorders>
              <w:top w:val="nil"/>
              <w:left w:val="nil"/>
              <w:bottom w:val="single" w:sz="4" w:space="0" w:color="auto"/>
              <w:right w:val="single" w:sz="4" w:space="0" w:color="auto"/>
            </w:tcBorders>
            <w:shd w:val="clear" w:color="auto" w:fill="auto"/>
            <w:vAlign w:val="center"/>
            <w:hideMark/>
          </w:tcPr>
          <w:p w:rsidR="00656961" w:rsidRPr="00C5039F" w:rsidRDefault="009E004D" w:rsidP="00467870">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52.987.</w:t>
            </w:r>
            <w:r w:rsidR="00656961" w:rsidRPr="00C5039F">
              <w:rPr>
                <w:rFonts w:ascii="Times New Roman" w:hAnsi="Times New Roman" w:cs="Times New Roman"/>
                <w:sz w:val="16"/>
                <w:szCs w:val="16"/>
                <w:lang w:eastAsia="lt-LT"/>
              </w:rPr>
              <w:t>007</w:t>
            </w:r>
          </w:p>
        </w:tc>
        <w:tc>
          <w:tcPr>
            <w:tcW w:w="1134" w:type="dxa"/>
            <w:tcBorders>
              <w:top w:val="nil"/>
              <w:left w:val="nil"/>
              <w:bottom w:val="single" w:sz="4" w:space="0" w:color="auto"/>
              <w:right w:val="single" w:sz="4" w:space="0" w:color="auto"/>
            </w:tcBorders>
            <w:shd w:val="clear" w:color="auto" w:fill="auto"/>
            <w:vAlign w:val="center"/>
            <w:hideMark/>
          </w:tcPr>
          <w:p w:rsidR="00656961" w:rsidRPr="00C5039F" w:rsidRDefault="009E004D" w:rsidP="00467870">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19.165.</w:t>
            </w:r>
            <w:r w:rsidR="00656961" w:rsidRPr="00C5039F">
              <w:rPr>
                <w:rFonts w:ascii="Times New Roman" w:hAnsi="Times New Roman" w:cs="Times New Roman"/>
                <w:sz w:val="16"/>
                <w:szCs w:val="16"/>
                <w:lang w:eastAsia="lt-LT"/>
              </w:rPr>
              <w:t>513</w:t>
            </w:r>
          </w:p>
        </w:tc>
        <w:tc>
          <w:tcPr>
            <w:tcW w:w="1105" w:type="dxa"/>
            <w:tcBorders>
              <w:top w:val="nil"/>
              <w:left w:val="nil"/>
              <w:bottom w:val="single" w:sz="4" w:space="0" w:color="auto"/>
              <w:right w:val="single" w:sz="4" w:space="0" w:color="auto"/>
            </w:tcBorders>
            <w:shd w:val="clear" w:color="auto" w:fill="auto"/>
            <w:vAlign w:val="center"/>
            <w:hideMark/>
          </w:tcPr>
          <w:p w:rsidR="007A1559" w:rsidRPr="00C5039F" w:rsidRDefault="009E004D" w:rsidP="00467870">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3.382.</w:t>
            </w:r>
            <w:r w:rsidR="007A1559" w:rsidRPr="00C5039F">
              <w:rPr>
                <w:rFonts w:ascii="Times New Roman" w:hAnsi="Times New Roman" w:cs="Times New Roman"/>
                <w:sz w:val="16"/>
                <w:szCs w:val="16"/>
                <w:lang w:eastAsia="lt-LT"/>
              </w:rPr>
              <w:t>149</w:t>
            </w:r>
          </w:p>
        </w:tc>
        <w:tc>
          <w:tcPr>
            <w:tcW w:w="567" w:type="dxa"/>
            <w:tcBorders>
              <w:top w:val="nil"/>
              <w:left w:val="nil"/>
              <w:bottom w:val="single" w:sz="4" w:space="0" w:color="auto"/>
              <w:right w:val="single" w:sz="4" w:space="0" w:color="auto"/>
            </w:tcBorders>
            <w:shd w:val="clear" w:color="auto" w:fill="auto"/>
            <w:vAlign w:val="center"/>
            <w:hideMark/>
          </w:tcPr>
          <w:p w:rsidR="009E1DDF" w:rsidRPr="00C104D0" w:rsidRDefault="009E1DDF" w:rsidP="009E1DDF">
            <w:pPr>
              <w:jc w:val="right"/>
              <w:rPr>
                <w:rFonts w:ascii="Times New Roman" w:hAnsi="Times New Roman" w:cs="Times New Roman"/>
                <w:color w:val="000000"/>
                <w:sz w:val="16"/>
                <w:szCs w:val="16"/>
                <w:lang w:eastAsia="lt-LT"/>
              </w:rPr>
            </w:pPr>
            <w:r w:rsidRPr="00C104D0">
              <w:rPr>
                <w:rFonts w:ascii="Times New Roman" w:hAnsi="Times New Roman" w:cs="Times New Roman"/>
                <w:color w:val="000000"/>
                <w:sz w:val="16"/>
                <w:szCs w:val="16"/>
                <w:lang w:eastAsia="lt-LT"/>
              </w:rPr>
              <w:t>6,00</w:t>
            </w:r>
          </w:p>
        </w:tc>
      </w:tr>
      <w:tr w:rsidR="009E1DDF" w:rsidRPr="00697AD2" w:rsidTr="0051277F">
        <w:trPr>
          <w:trHeight w:val="510"/>
        </w:trPr>
        <w:tc>
          <w:tcPr>
            <w:tcW w:w="992" w:type="dxa"/>
            <w:vMerge/>
            <w:tcBorders>
              <w:top w:val="nil"/>
              <w:left w:val="single" w:sz="4" w:space="0" w:color="auto"/>
              <w:bottom w:val="single" w:sz="4" w:space="0" w:color="000000"/>
              <w:right w:val="single" w:sz="4" w:space="0" w:color="auto"/>
            </w:tcBorders>
            <w:vAlign w:val="center"/>
            <w:hideMark/>
          </w:tcPr>
          <w:p w:rsidR="009E1DDF" w:rsidRPr="00697AD2" w:rsidRDefault="009E1DDF" w:rsidP="009E1DDF">
            <w:pPr>
              <w:rPr>
                <w:rFonts w:ascii="Times New Roman" w:hAnsi="Times New Roman" w:cs="Times New Roman"/>
                <w:i/>
                <w:iCs/>
                <w:color w:val="000000"/>
                <w:sz w:val="16"/>
                <w:szCs w:val="16"/>
                <w:lang w:eastAsia="lt-LT"/>
              </w:rPr>
            </w:pPr>
          </w:p>
        </w:tc>
        <w:tc>
          <w:tcPr>
            <w:tcW w:w="738" w:type="dxa"/>
            <w:tcBorders>
              <w:top w:val="nil"/>
              <w:left w:val="nil"/>
              <w:bottom w:val="single" w:sz="4" w:space="0" w:color="auto"/>
              <w:right w:val="single" w:sz="4" w:space="0" w:color="auto"/>
            </w:tcBorders>
            <w:shd w:val="clear" w:color="auto" w:fill="auto"/>
            <w:vAlign w:val="center"/>
            <w:hideMark/>
          </w:tcPr>
          <w:p w:rsidR="009E1DDF" w:rsidRPr="00136C57" w:rsidRDefault="009E1DDF" w:rsidP="009E1DDF">
            <w:pPr>
              <w:jc w:val="both"/>
              <w:rPr>
                <w:rFonts w:ascii="Times New Roman" w:hAnsi="Times New Roman" w:cs="Times New Roman"/>
                <w:color w:val="000000"/>
                <w:sz w:val="16"/>
                <w:szCs w:val="16"/>
                <w:lang w:eastAsia="lt-LT"/>
              </w:rPr>
            </w:pPr>
            <w:proofErr w:type="spellStart"/>
            <w:r w:rsidRPr="00136C57">
              <w:rPr>
                <w:rFonts w:ascii="Times New Roman" w:hAnsi="Times New Roman" w:cs="Times New Roman"/>
                <w:color w:val="000000"/>
                <w:sz w:val="16"/>
                <w:szCs w:val="16"/>
                <w:lang w:eastAsia="lt-LT"/>
              </w:rPr>
              <w:t>SaF</w:t>
            </w:r>
            <w:proofErr w:type="spellEnd"/>
          </w:p>
        </w:tc>
        <w:tc>
          <w:tcPr>
            <w:tcW w:w="964" w:type="dxa"/>
            <w:tcBorders>
              <w:top w:val="nil"/>
              <w:left w:val="nil"/>
              <w:bottom w:val="single" w:sz="4" w:space="0" w:color="auto"/>
              <w:right w:val="single" w:sz="4" w:space="0" w:color="auto"/>
            </w:tcBorders>
            <w:shd w:val="clear" w:color="auto" w:fill="auto"/>
            <w:vAlign w:val="center"/>
            <w:hideMark/>
          </w:tcPr>
          <w:p w:rsidR="009E1DDF" w:rsidRPr="00136C57" w:rsidRDefault="009E1DDF" w:rsidP="009E1DDF">
            <w:pPr>
              <w:rPr>
                <w:rFonts w:ascii="Times New Roman" w:hAnsi="Times New Roman" w:cs="Times New Roman"/>
                <w:sz w:val="16"/>
                <w:szCs w:val="16"/>
                <w:lang w:eastAsia="lt-LT"/>
              </w:rPr>
            </w:pPr>
            <w:r w:rsidRPr="00136C57">
              <w:rPr>
                <w:rFonts w:ascii="Times New Roman" w:hAnsi="Times New Roman" w:cs="Times New Roman"/>
                <w:sz w:val="16"/>
                <w:szCs w:val="16"/>
                <w:lang w:eastAsia="lt-LT"/>
              </w:rPr>
              <w:t>Bendros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6D37FE" w:rsidRPr="00C5039F" w:rsidRDefault="009E004D" w:rsidP="00E62E19">
            <w:pPr>
              <w:shd w:val="clear" w:color="auto" w:fill="FFFFFF"/>
              <w:jc w:val="right"/>
              <w:rPr>
                <w:rFonts w:ascii="Times New Roman" w:hAnsi="Times New Roman" w:cs="Times New Roman"/>
                <w:strike/>
                <w:sz w:val="16"/>
                <w:szCs w:val="16"/>
              </w:rPr>
            </w:pPr>
            <w:r w:rsidRPr="00C5039F">
              <w:rPr>
                <w:rFonts w:ascii="Times New Roman" w:hAnsi="Times New Roman" w:cs="Times New Roman"/>
                <w:sz w:val="16"/>
                <w:szCs w:val="16"/>
                <w:lang w:eastAsia="lt-LT"/>
              </w:rPr>
              <w:t>774.756.</w:t>
            </w:r>
            <w:r w:rsidR="006D37FE" w:rsidRPr="00C5039F">
              <w:rPr>
                <w:rFonts w:ascii="Times New Roman" w:hAnsi="Times New Roman" w:cs="Times New Roman"/>
                <w:sz w:val="16"/>
                <w:szCs w:val="16"/>
                <w:lang w:eastAsia="lt-LT"/>
              </w:rPr>
              <w:t>109</w:t>
            </w:r>
          </w:p>
        </w:tc>
        <w:tc>
          <w:tcPr>
            <w:tcW w:w="1247" w:type="dxa"/>
            <w:tcBorders>
              <w:top w:val="nil"/>
              <w:left w:val="nil"/>
              <w:bottom w:val="single" w:sz="4" w:space="0" w:color="auto"/>
              <w:right w:val="single" w:sz="4" w:space="0" w:color="auto"/>
            </w:tcBorders>
            <w:shd w:val="clear" w:color="auto" w:fill="auto"/>
            <w:vAlign w:val="center"/>
            <w:hideMark/>
          </w:tcPr>
          <w:p w:rsidR="00FB06A6" w:rsidRPr="00C5039F" w:rsidRDefault="009E004D" w:rsidP="00E62E19">
            <w:pPr>
              <w:shd w:val="clear" w:color="auto" w:fill="FFFFFF"/>
              <w:jc w:val="right"/>
              <w:rPr>
                <w:rFonts w:ascii="Times New Roman" w:hAnsi="Times New Roman" w:cs="Times New Roman"/>
                <w:sz w:val="16"/>
                <w:szCs w:val="16"/>
              </w:rPr>
            </w:pPr>
            <w:r w:rsidRPr="00C5039F">
              <w:rPr>
                <w:rFonts w:ascii="Times New Roman" w:hAnsi="Times New Roman" w:cs="Times New Roman"/>
                <w:sz w:val="16"/>
                <w:szCs w:val="16"/>
              </w:rPr>
              <w:t>136.721.</w:t>
            </w:r>
            <w:r w:rsidR="007415E9" w:rsidRPr="00C5039F">
              <w:rPr>
                <w:rFonts w:ascii="Times New Roman" w:hAnsi="Times New Roman" w:cs="Times New Roman"/>
                <w:sz w:val="16"/>
                <w:szCs w:val="16"/>
              </w:rPr>
              <w:t>667</w:t>
            </w:r>
          </w:p>
        </w:tc>
        <w:tc>
          <w:tcPr>
            <w:tcW w:w="1134" w:type="dxa"/>
            <w:tcBorders>
              <w:top w:val="single" w:sz="4" w:space="0" w:color="auto"/>
              <w:left w:val="nil"/>
              <w:bottom w:val="single" w:sz="4" w:space="0" w:color="auto"/>
              <w:right w:val="single" w:sz="4" w:space="0" w:color="auto"/>
            </w:tcBorders>
            <w:vAlign w:val="center"/>
          </w:tcPr>
          <w:p w:rsidR="007415E9" w:rsidRPr="00C5039F" w:rsidRDefault="009E004D" w:rsidP="00E62E19">
            <w:pPr>
              <w:shd w:val="clear" w:color="auto" w:fill="FFFFFF"/>
              <w:jc w:val="right"/>
              <w:rPr>
                <w:rFonts w:ascii="Times New Roman" w:hAnsi="Times New Roman" w:cs="Times New Roman"/>
                <w:sz w:val="16"/>
                <w:szCs w:val="16"/>
              </w:rPr>
            </w:pPr>
            <w:r w:rsidRPr="00C5039F">
              <w:rPr>
                <w:rFonts w:ascii="Times New Roman" w:hAnsi="Times New Roman" w:cs="Times New Roman"/>
                <w:sz w:val="16"/>
                <w:szCs w:val="16"/>
              </w:rPr>
              <w:t>66.345.</w:t>
            </w:r>
            <w:r w:rsidR="007415E9" w:rsidRPr="00C5039F">
              <w:rPr>
                <w:rFonts w:ascii="Times New Roman" w:hAnsi="Times New Roman" w:cs="Times New Roman"/>
                <w:sz w:val="16"/>
                <w:szCs w:val="16"/>
              </w:rPr>
              <w:t>279</w:t>
            </w:r>
          </w:p>
        </w:tc>
        <w:tc>
          <w:tcPr>
            <w:tcW w:w="1021" w:type="dxa"/>
            <w:tcBorders>
              <w:top w:val="single" w:sz="4" w:space="0" w:color="auto"/>
              <w:left w:val="single" w:sz="4" w:space="0" w:color="auto"/>
              <w:bottom w:val="single" w:sz="4" w:space="0" w:color="auto"/>
              <w:right w:val="single" w:sz="4" w:space="0" w:color="auto"/>
            </w:tcBorders>
            <w:vAlign w:val="center"/>
          </w:tcPr>
          <w:p w:rsidR="007415E9" w:rsidRPr="00C5039F" w:rsidRDefault="009E004D" w:rsidP="00E62E19">
            <w:pPr>
              <w:shd w:val="clear" w:color="auto" w:fill="FFFFFF"/>
              <w:jc w:val="right"/>
              <w:rPr>
                <w:rFonts w:ascii="Times New Roman" w:hAnsi="Times New Roman" w:cs="Times New Roman"/>
                <w:strike/>
                <w:sz w:val="16"/>
                <w:szCs w:val="16"/>
              </w:rPr>
            </w:pPr>
            <w:r w:rsidRPr="00C5039F">
              <w:rPr>
                <w:rFonts w:ascii="Times New Roman" w:hAnsi="Times New Roman" w:cs="Times New Roman"/>
                <w:sz w:val="16"/>
                <w:szCs w:val="16"/>
              </w:rPr>
              <w:t>70.376.</w:t>
            </w:r>
            <w:r w:rsidR="007415E9" w:rsidRPr="00C5039F">
              <w:rPr>
                <w:rFonts w:ascii="Times New Roman" w:hAnsi="Times New Roman" w:cs="Times New Roman"/>
                <w:sz w:val="16"/>
                <w:szCs w:val="16"/>
              </w:rPr>
              <w:t>388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15E9" w:rsidRPr="00C5039F" w:rsidRDefault="00BF2EAD" w:rsidP="00E62E19">
            <w:pPr>
              <w:shd w:val="clear" w:color="auto" w:fill="FFFFFF"/>
              <w:jc w:val="right"/>
              <w:rPr>
                <w:rFonts w:ascii="Times New Roman" w:hAnsi="Times New Roman" w:cs="Times New Roman"/>
                <w:strike/>
                <w:sz w:val="16"/>
                <w:szCs w:val="16"/>
                <w:lang w:eastAsia="lt-LT"/>
              </w:rPr>
            </w:pPr>
            <w:r w:rsidRPr="00C5039F">
              <w:rPr>
                <w:rFonts w:ascii="Times New Roman" w:hAnsi="Times New Roman" w:cs="Times New Roman"/>
                <w:sz w:val="16"/>
                <w:szCs w:val="16"/>
                <w:lang w:eastAsia="lt-LT"/>
              </w:rPr>
              <w:t>911.</w:t>
            </w:r>
            <w:r w:rsidR="00817F7F" w:rsidRPr="00C5039F">
              <w:rPr>
                <w:rFonts w:ascii="Times New Roman" w:hAnsi="Times New Roman" w:cs="Times New Roman"/>
                <w:sz w:val="16"/>
                <w:szCs w:val="16"/>
                <w:lang w:eastAsia="lt-LT"/>
              </w:rPr>
              <w:t>4</w:t>
            </w:r>
            <w:r w:rsidR="009E004D" w:rsidRPr="00C5039F">
              <w:rPr>
                <w:rFonts w:ascii="Times New Roman" w:hAnsi="Times New Roman" w:cs="Times New Roman"/>
                <w:sz w:val="16"/>
                <w:szCs w:val="16"/>
                <w:lang w:eastAsia="lt-LT"/>
              </w:rPr>
              <w:t>77.</w:t>
            </w:r>
            <w:r w:rsidR="007415E9" w:rsidRPr="00C5039F">
              <w:rPr>
                <w:rFonts w:ascii="Times New Roman" w:hAnsi="Times New Roman" w:cs="Times New Roman"/>
                <w:sz w:val="16"/>
                <w:szCs w:val="16"/>
                <w:lang w:eastAsia="lt-LT"/>
              </w:rPr>
              <w:t>776</w:t>
            </w:r>
          </w:p>
        </w:tc>
        <w:tc>
          <w:tcPr>
            <w:tcW w:w="680"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7415E9" w:rsidRPr="00C5039F" w:rsidRDefault="00BF2EAD" w:rsidP="00E62E19">
            <w:pPr>
              <w:shd w:val="clear" w:color="auto" w:fill="FFFFFF"/>
              <w:jc w:val="right"/>
              <w:rPr>
                <w:rFonts w:ascii="Times New Roman" w:hAnsi="Times New Roman" w:cs="Times New Roman"/>
                <w:strike/>
                <w:sz w:val="16"/>
                <w:szCs w:val="16"/>
                <w:lang w:eastAsia="lt-LT"/>
              </w:rPr>
            </w:pPr>
            <w:r w:rsidRPr="00C5039F">
              <w:rPr>
                <w:rFonts w:ascii="Times New Roman" w:hAnsi="Times New Roman" w:cs="Times New Roman"/>
                <w:sz w:val="16"/>
                <w:szCs w:val="16"/>
              </w:rPr>
              <w:t>723.</w:t>
            </w:r>
            <w:r w:rsidR="00377149" w:rsidRPr="00C5039F">
              <w:rPr>
                <w:rFonts w:ascii="Times New Roman" w:hAnsi="Times New Roman" w:cs="Times New Roman"/>
                <w:sz w:val="16"/>
                <w:szCs w:val="16"/>
              </w:rPr>
              <w:t>564.089</w:t>
            </w:r>
          </w:p>
        </w:tc>
        <w:tc>
          <w:tcPr>
            <w:tcW w:w="1276" w:type="dxa"/>
            <w:tcBorders>
              <w:top w:val="nil"/>
              <w:left w:val="nil"/>
              <w:bottom w:val="single" w:sz="4" w:space="0" w:color="auto"/>
              <w:right w:val="single" w:sz="4" w:space="0" w:color="auto"/>
            </w:tcBorders>
            <w:shd w:val="clear" w:color="auto" w:fill="auto"/>
            <w:vAlign w:val="center"/>
            <w:hideMark/>
          </w:tcPr>
          <w:p w:rsidR="007415E9" w:rsidRPr="00C5039F" w:rsidRDefault="00377149" w:rsidP="00E62E19">
            <w:pPr>
              <w:shd w:val="clear" w:color="auto" w:fill="FFFFFF"/>
              <w:jc w:val="right"/>
              <w:rPr>
                <w:rFonts w:ascii="Times New Roman" w:hAnsi="Times New Roman" w:cs="Times New Roman"/>
                <w:strike/>
                <w:sz w:val="16"/>
                <w:szCs w:val="16"/>
                <w:lang w:eastAsia="lt-LT"/>
              </w:rPr>
            </w:pPr>
            <w:r w:rsidRPr="00C5039F">
              <w:rPr>
                <w:rFonts w:ascii="Times New Roman" w:hAnsi="Times New Roman" w:cs="Times New Roman"/>
                <w:sz w:val="16"/>
                <w:szCs w:val="16"/>
                <w:lang w:eastAsia="lt-LT"/>
              </w:rPr>
              <w:t>127.687.781</w:t>
            </w:r>
          </w:p>
        </w:tc>
        <w:tc>
          <w:tcPr>
            <w:tcW w:w="1134" w:type="dxa"/>
            <w:tcBorders>
              <w:top w:val="nil"/>
              <w:left w:val="nil"/>
              <w:bottom w:val="single" w:sz="4" w:space="0" w:color="auto"/>
              <w:right w:val="single" w:sz="4" w:space="0" w:color="auto"/>
            </w:tcBorders>
            <w:shd w:val="clear" w:color="auto" w:fill="auto"/>
            <w:vAlign w:val="center"/>
            <w:hideMark/>
          </w:tcPr>
          <w:p w:rsidR="007415E9" w:rsidRPr="00C5039F" w:rsidRDefault="00377149" w:rsidP="00E62E19">
            <w:pPr>
              <w:shd w:val="clear" w:color="auto" w:fill="FFFFFF"/>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51.192.020</w:t>
            </w:r>
          </w:p>
        </w:tc>
        <w:tc>
          <w:tcPr>
            <w:tcW w:w="1105" w:type="dxa"/>
            <w:tcBorders>
              <w:top w:val="nil"/>
              <w:left w:val="nil"/>
              <w:bottom w:val="single" w:sz="4" w:space="0" w:color="auto"/>
              <w:right w:val="single" w:sz="4" w:space="0" w:color="auto"/>
            </w:tcBorders>
            <w:shd w:val="clear" w:color="auto" w:fill="auto"/>
            <w:vAlign w:val="center"/>
            <w:hideMark/>
          </w:tcPr>
          <w:p w:rsidR="007415E9" w:rsidRPr="00C5039F" w:rsidRDefault="00377149" w:rsidP="00E62E19">
            <w:pPr>
              <w:shd w:val="clear" w:color="auto" w:fill="FFFFFF"/>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9.033.886</w:t>
            </w:r>
          </w:p>
        </w:tc>
        <w:tc>
          <w:tcPr>
            <w:tcW w:w="567"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E62E19">
            <w:pPr>
              <w:jc w:val="right"/>
              <w:rPr>
                <w:rFonts w:ascii="Times New Roman" w:hAnsi="Times New Roman" w:cs="Times New Roman"/>
                <w:color w:val="000000"/>
                <w:sz w:val="16"/>
                <w:szCs w:val="16"/>
                <w:lang w:eastAsia="lt-LT"/>
              </w:rPr>
            </w:pPr>
            <w:r w:rsidRPr="003C080E">
              <w:rPr>
                <w:rFonts w:ascii="Times New Roman" w:hAnsi="Times New Roman" w:cs="Times New Roman"/>
                <w:color w:val="000000"/>
                <w:sz w:val="16"/>
                <w:szCs w:val="16"/>
                <w:lang w:eastAsia="lt-LT"/>
              </w:rPr>
              <w:t>6,60</w:t>
            </w:r>
          </w:p>
        </w:tc>
      </w:tr>
      <w:tr w:rsidR="009E1DDF" w:rsidRPr="00697AD2" w:rsidTr="0051277F">
        <w:trPr>
          <w:trHeight w:val="510"/>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E1DDF" w:rsidRPr="00697AD2" w:rsidRDefault="009E1DDF" w:rsidP="009E1DDF">
            <w:pPr>
              <w:widowControl w:val="0"/>
              <w:tabs>
                <w:tab w:val="left" w:pos="622"/>
              </w:tabs>
              <w:rPr>
                <w:rFonts w:ascii="Times New Roman" w:eastAsia="AngsanaUPC" w:hAnsi="Times New Roman" w:cs="Times New Roman"/>
                <w:bCs/>
                <w:sz w:val="16"/>
                <w:szCs w:val="16"/>
                <w:lang w:eastAsia="lt-LT"/>
              </w:rPr>
            </w:pPr>
            <w:r w:rsidRPr="00697AD2">
              <w:rPr>
                <w:rFonts w:ascii="Times New Roman" w:eastAsia="AngsanaUPC" w:hAnsi="Times New Roman" w:cs="Times New Roman"/>
                <w:bCs/>
                <w:sz w:val="16"/>
                <w:szCs w:val="16"/>
                <w:lang w:eastAsia="lt-LT"/>
              </w:rPr>
              <w:t>7. Kokybiško užimtumo ir dalyvavimo darbo rinkoje skatinimas</w:t>
            </w:r>
          </w:p>
        </w:tc>
        <w:tc>
          <w:tcPr>
            <w:tcW w:w="738" w:type="dxa"/>
            <w:tcBorders>
              <w:top w:val="nil"/>
              <w:left w:val="nil"/>
              <w:bottom w:val="single" w:sz="4" w:space="0" w:color="auto"/>
              <w:right w:val="single" w:sz="4" w:space="0" w:color="auto"/>
            </w:tcBorders>
            <w:shd w:val="clear" w:color="auto" w:fill="auto"/>
            <w:vAlign w:val="center"/>
            <w:hideMark/>
          </w:tcPr>
          <w:p w:rsidR="009E1DDF" w:rsidRPr="00836CF2" w:rsidRDefault="009E1DDF" w:rsidP="009E1DDF">
            <w:pPr>
              <w:jc w:val="both"/>
              <w:rPr>
                <w:rFonts w:ascii="Times New Roman" w:hAnsi="Times New Roman" w:cs="Times New Roman"/>
                <w:color w:val="000000"/>
                <w:sz w:val="16"/>
                <w:szCs w:val="16"/>
                <w:lang w:eastAsia="lt-LT"/>
              </w:rPr>
            </w:pPr>
            <w:r w:rsidRPr="00836CF2">
              <w:rPr>
                <w:rFonts w:ascii="Times New Roman" w:hAnsi="Times New Roman" w:cs="Times New Roman"/>
                <w:color w:val="000000"/>
                <w:sz w:val="16"/>
                <w:szCs w:val="16"/>
                <w:lang w:eastAsia="lt-LT"/>
              </w:rPr>
              <w:t>ERPF</w:t>
            </w:r>
          </w:p>
        </w:tc>
        <w:tc>
          <w:tcPr>
            <w:tcW w:w="964" w:type="dxa"/>
            <w:tcBorders>
              <w:top w:val="nil"/>
              <w:left w:val="nil"/>
              <w:bottom w:val="single" w:sz="4" w:space="0" w:color="auto"/>
              <w:right w:val="single" w:sz="4" w:space="0" w:color="auto"/>
            </w:tcBorders>
            <w:shd w:val="clear" w:color="auto" w:fill="auto"/>
            <w:vAlign w:val="center"/>
            <w:hideMark/>
          </w:tcPr>
          <w:p w:rsidR="009E1DDF" w:rsidRPr="00836CF2" w:rsidRDefault="009E1DDF" w:rsidP="009E1DDF">
            <w:pPr>
              <w:rPr>
                <w:rFonts w:ascii="Times New Roman" w:hAnsi="Times New Roman" w:cs="Times New Roman"/>
                <w:sz w:val="16"/>
                <w:szCs w:val="16"/>
                <w:lang w:eastAsia="lt-LT"/>
              </w:rPr>
            </w:pPr>
            <w:r w:rsidRPr="00836CF2">
              <w:rPr>
                <w:rFonts w:ascii="Times New Roman" w:hAnsi="Times New Roman" w:cs="Times New Roman"/>
                <w:sz w:val="16"/>
                <w:szCs w:val="16"/>
                <w:lang w:eastAsia="lt-LT"/>
              </w:rPr>
              <w:t>Viešosios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7415E9" w:rsidRPr="00C5039F" w:rsidRDefault="009E004D"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399.736.</w:t>
            </w:r>
            <w:r w:rsidR="007415E9" w:rsidRPr="00C5039F">
              <w:rPr>
                <w:rFonts w:ascii="Times New Roman" w:hAnsi="Times New Roman" w:cs="Times New Roman"/>
                <w:sz w:val="16"/>
                <w:szCs w:val="16"/>
                <w:lang w:eastAsia="lt-LT"/>
              </w:rPr>
              <w:t>853</w:t>
            </w:r>
          </w:p>
        </w:tc>
        <w:tc>
          <w:tcPr>
            <w:tcW w:w="1247" w:type="dxa"/>
            <w:tcBorders>
              <w:top w:val="nil"/>
              <w:left w:val="nil"/>
              <w:bottom w:val="single" w:sz="4" w:space="0" w:color="auto"/>
              <w:right w:val="single" w:sz="4" w:space="0" w:color="auto"/>
            </w:tcBorders>
            <w:shd w:val="clear" w:color="auto" w:fill="auto"/>
            <w:vAlign w:val="center"/>
            <w:hideMark/>
          </w:tcPr>
          <w:p w:rsidR="007415E9" w:rsidRPr="00C5039F" w:rsidRDefault="009E004D"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70.541.</w:t>
            </w:r>
            <w:r w:rsidR="007415E9" w:rsidRPr="00C5039F">
              <w:rPr>
                <w:rFonts w:ascii="Times New Roman" w:hAnsi="Times New Roman" w:cs="Times New Roman"/>
                <w:sz w:val="16"/>
                <w:szCs w:val="16"/>
                <w:lang w:eastAsia="lt-LT"/>
              </w:rPr>
              <w:t>798</w:t>
            </w:r>
          </w:p>
        </w:tc>
        <w:tc>
          <w:tcPr>
            <w:tcW w:w="1134" w:type="dxa"/>
            <w:tcBorders>
              <w:top w:val="single" w:sz="4" w:space="0" w:color="auto"/>
              <w:left w:val="nil"/>
              <w:bottom w:val="single" w:sz="4" w:space="0" w:color="auto"/>
              <w:right w:val="single" w:sz="4" w:space="0" w:color="auto"/>
            </w:tcBorders>
            <w:vAlign w:val="center"/>
          </w:tcPr>
          <w:p w:rsidR="009E1DDF" w:rsidRPr="00C5039F" w:rsidRDefault="009E004D" w:rsidP="00E62E19">
            <w:pPr>
              <w:jc w:val="right"/>
              <w:rPr>
                <w:rFonts w:ascii="Times New Roman" w:hAnsi="Times New Roman" w:cs="Times New Roman"/>
                <w:sz w:val="16"/>
                <w:szCs w:val="16"/>
              </w:rPr>
            </w:pPr>
            <w:r w:rsidRPr="00C5039F">
              <w:rPr>
                <w:rFonts w:ascii="Times New Roman" w:hAnsi="Times New Roman" w:cs="Times New Roman"/>
                <w:sz w:val="16"/>
                <w:szCs w:val="16"/>
              </w:rPr>
              <w:t>70.541.</w:t>
            </w:r>
            <w:r w:rsidR="007415E9" w:rsidRPr="00C5039F">
              <w:rPr>
                <w:rFonts w:ascii="Times New Roman" w:hAnsi="Times New Roman" w:cs="Times New Roman"/>
                <w:sz w:val="16"/>
                <w:szCs w:val="16"/>
              </w:rPr>
              <w:t>798</w:t>
            </w:r>
          </w:p>
        </w:tc>
        <w:tc>
          <w:tcPr>
            <w:tcW w:w="1021" w:type="dxa"/>
            <w:tcBorders>
              <w:top w:val="single" w:sz="4" w:space="0" w:color="auto"/>
              <w:left w:val="single" w:sz="4" w:space="0" w:color="auto"/>
              <w:bottom w:val="single" w:sz="4" w:space="0" w:color="auto"/>
              <w:right w:val="single" w:sz="4" w:space="0" w:color="auto"/>
            </w:tcBorders>
            <w:vAlign w:val="center"/>
          </w:tcPr>
          <w:p w:rsidR="009E1DDF" w:rsidRPr="00C5039F" w:rsidRDefault="009E1DDF" w:rsidP="00E62E19">
            <w:pPr>
              <w:jc w:val="right"/>
              <w:rPr>
                <w:rFonts w:ascii="Times New Roman" w:hAnsi="Times New Roman" w:cs="Times New Roman"/>
                <w:sz w:val="16"/>
                <w:szCs w:val="16"/>
              </w:rPr>
            </w:pPr>
            <w:r w:rsidRPr="00C5039F">
              <w:rPr>
                <w:rFonts w:ascii="Times New Roman" w:hAnsi="Times New Roman" w:cs="Times New Roman"/>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15E9" w:rsidRPr="00C5039F" w:rsidRDefault="009E004D"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470.278.</w:t>
            </w:r>
            <w:r w:rsidR="007415E9" w:rsidRPr="00C5039F">
              <w:rPr>
                <w:rFonts w:ascii="Times New Roman" w:hAnsi="Times New Roman" w:cs="Times New Roman"/>
                <w:sz w:val="16"/>
                <w:szCs w:val="16"/>
                <w:lang w:eastAsia="lt-LT"/>
              </w:rPr>
              <w:t>651</w:t>
            </w:r>
          </w:p>
        </w:tc>
        <w:tc>
          <w:tcPr>
            <w:tcW w:w="680"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7415E9" w:rsidRPr="00C5039F" w:rsidRDefault="009E004D"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375.752.</w:t>
            </w:r>
            <w:r w:rsidR="007415E9" w:rsidRPr="00C5039F">
              <w:rPr>
                <w:rFonts w:ascii="Times New Roman" w:hAnsi="Times New Roman" w:cs="Times New Roman"/>
                <w:sz w:val="16"/>
                <w:szCs w:val="16"/>
                <w:lang w:eastAsia="lt-LT"/>
              </w:rPr>
              <w:t>642</w:t>
            </w:r>
          </w:p>
        </w:tc>
        <w:tc>
          <w:tcPr>
            <w:tcW w:w="1276" w:type="dxa"/>
            <w:tcBorders>
              <w:top w:val="nil"/>
              <w:left w:val="nil"/>
              <w:bottom w:val="single" w:sz="4" w:space="0" w:color="auto"/>
              <w:right w:val="single" w:sz="4" w:space="0" w:color="auto"/>
            </w:tcBorders>
            <w:shd w:val="clear" w:color="auto" w:fill="auto"/>
            <w:vAlign w:val="center"/>
            <w:hideMark/>
          </w:tcPr>
          <w:p w:rsidR="007415E9" w:rsidRPr="00C5039F" w:rsidRDefault="009E004D"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66.309.</w:t>
            </w:r>
            <w:r w:rsidR="007415E9" w:rsidRPr="00C5039F">
              <w:rPr>
                <w:rFonts w:ascii="Times New Roman" w:hAnsi="Times New Roman" w:cs="Times New Roman"/>
                <w:sz w:val="16"/>
                <w:szCs w:val="16"/>
                <w:lang w:eastAsia="lt-LT"/>
              </w:rPr>
              <w:t>290</w:t>
            </w:r>
          </w:p>
        </w:tc>
        <w:tc>
          <w:tcPr>
            <w:tcW w:w="1134" w:type="dxa"/>
            <w:tcBorders>
              <w:top w:val="nil"/>
              <w:left w:val="nil"/>
              <w:bottom w:val="single" w:sz="4" w:space="0" w:color="auto"/>
              <w:right w:val="single" w:sz="4" w:space="0" w:color="auto"/>
            </w:tcBorders>
            <w:shd w:val="clear" w:color="auto" w:fill="auto"/>
            <w:vAlign w:val="center"/>
            <w:hideMark/>
          </w:tcPr>
          <w:p w:rsidR="007415E9" w:rsidRPr="00C5039F" w:rsidRDefault="009E004D"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23.984.</w:t>
            </w:r>
            <w:r w:rsidR="007415E9" w:rsidRPr="00C5039F">
              <w:rPr>
                <w:rFonts w:ascii="Times New Roman" w:hAnsi="Times New Roman" w:cs="Times New Roman"/>
                <w:sz w:val="16"/>
                <w:szCs w:val="16"/>
                <w:lang w:eastAsia="lt-LT"/>
              </w:rPr>
              <w:t>211</w:t>
            </w:r>
          </w:p>
        </w:tc>
        <w:tc>
          <w:tcPr>
            <w:tcW w:w="1105" w:type="dxa"/>
            <w:tcBorders>
              <w:top w:val="nil"/>
              <w:left w:val="nil"/>
              <w:bottom w:val="single" w:sz="4" w:space="0" w:color="auto"/>
              <w:right w:val="single" w:sz="4" w:space="0" w:color="auto"/>
            </w:tcBorders>
            <w:shd w:val="clear" w:color="auto" w:fill="auto"/>
            <w:vAlign w:val="center"/>
            <w:hideMark/>
          </w:tcPr>
          <w:p w:rsidR="007415E9" w:rsidRPr="00C5039F" w:rsidRDefault="009E004D"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4.232.</w:t>
            </w:r>
            <w:r w:rsidR="007415E9" w:rsidRPr="00C5039F">
              <w:rPr>
                <w:rFonts w:ascii="Times New Roman" w:hAnsi="Times New Roman" w:cs="Times New Roman"/>
                <w:sz w:val="16"/>
                <w:szCs w:val="16"/>
                <w:lang w:eastAsia="lt-LT"/>
              </w:rPr>
              <w:t>508</w:t>
            </w:r>
          </w:p>
        </w:tc>
        <w:tc>
          <w:tcPr>
            <w:tcW w:w="567"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6,00</w:t>
            </w:r>
          </w:p>
        </w:tc>
      </w:tr>
      <w:tr w:rsidR="009E1DDF" w:rsidRPr="00697AD2" w:rsidTr="0051277F">
        <w:trPr>
          <w:trHeight w:val="510"/>
        </w:trPr>
        <w:tc>
          <w:tcPr>
            <w:tcW w:w="992" w:type="dxa"/>
            <w:vMerge/>
            <w:tcBorders>
              <w:top w:val="nil"/>
              <w:left w:val="single" w:sz="4" w:space="0" w:color="auto"/>
              <w:bottom w:val="single" w:sz="4" w:space="0" w:color="000000"/>
              <w:right w:val="single" w:sz="4" w:space="0" w:color="auto"/>
            </w:tcBorders>
            <w:vAlign w:val="center"/>
            <w:hideMark/>
          </w:tcPr>
          <w:p w:rsidR="009E1DDF" w:rsidRPr="00697AD2" w:rsidRDefault="009E1DDF" w:rsidP="009E1DDF">
            <w:pPr>
              <w:rPr>
                <w:rFonts w:ascii="Times New Roman" w:hAnsi="Times New Roman" w:cs="Times New Roman"/>
                <w:i/>
                <w:iCs/>
                <w:color w:val="000000"/>
                <w:sz w:val="16"/>
                <w:szCs w:val="16"/>
                <w:lang w:eastAsia="lt-LT"/>
              </w:rPr>
            </w:pP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ESF</w:t>
            </w:r>
          </w:p>
        </w:tc>
        <w:tc>
          <w:tcPr>
            <w:tcW w:w="96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rPr>
                <w:rFonts w:ascii="Times New Roman" w:hAnsi="Times New Roman" w:cs="Times New Roman"/>
                <w:sz w:val="16"/>
                <w:szCs w:val="16"/>
                <w:lang w:eastAsia="lt-LT"/>
              </w:rPr>
            </w:pPr>
            <w:r w:rsidRPr="00697AD2">
              <w:rPr>
                <w:rFonts w:ascii="Times New Roman" w:hAnsi="Times New Roman" w:cs="Times New Roman"/>
                <w:sz w:val="16"/>
                <w:szCs w:val="16"/>
                <w:lang w:eastAsia="lt-LT"/>
              </w:rPr>
              <w:t>Bendros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7415E9" w:rsidRPr="00C5039F" w:rsidRDefault="009E004D" w:rsidP="00783FCE">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372.852.</w:t>
            </w:r>
            <w:r w:rsidR="007415E9" w:rsidRPr="00C5039F">
              <w:rPr>
                <w:rFonts w:ascii="Times New Roman" w:hAnsi="Times New Roman" w:cs="Times New Roman"/>
                <w:sz w:val="16"/>
                <w:szCs w:val="16"/>
                <w:lang w:eastAsia="lt-LT"/>
              </w:rPr>
              <w:t>916</w:t>
            </w:r>
          </w:p>
        </w:tc>
        <w:tc>
          <w:tcPr>
            <w:tcW w:w="1247" w:type="dxa"/>
            <w:tcBorders>
              <w:top w:val="nil"/>
              <w:left w:val="nil"/>
              <w:bottom w:val="single" w:sz="4" w:space="0" w:color="auto"/>
              <w:right w:val="single" w:sz="4" w:space="0" w:color="auto"/>
            </w:tcBorders>
            <w:shd w:val="clear" w:color="auto" w:fill="auto"/>
            <w:vAlign w:val="center"/>
            <w:hideMark/>
          </w:tcPr>
          <w:p w:rsidR="007415E9" w:rsidRPr="00C5039F" w:rsidRDefault="009E004D" w:rsidP="00783FCE">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65.797.</w:t>
            </w:r>
            <w:r w:rsidR="007415E9" w:rsidRPr="00C5039F">
              <w:rPr>
                <w:rFonts w:ascii="Times New Roman" w:hAnsi="Times New Roman" w:cs="Times New Roman"/>
                <w:sz w:val="16"/>
                <w:szCs w:val="16"/>
                <w:lang w:eastAsia="lt-LT"/>
              </w:rPr>
              <w:t>574</w:t>
            </w:r>
          </w:p>
        </w:tc>
        <w:tc>
          <w:tcPr>
            <w:tcW w:w="1134" w:type="dxa"/>
            <w:tcBorders>
              <w:top w:val="single" w:sz="4" w:space="0" w:color="auto"/>
              <w:left w:val="nil"/>
              <w:bottom w:val="single" w:sz="4" w:space="0" w:color="auto"/>
              <w:right w:val="single" w:sz="4" w:space="0" w:color="auto"/>
            </w:tcBorders>
            <w:vAlign w:val="center"/>
          </w:tcPr>
          <w:p w:rsidR="007415E9" w:rsidRPr="00C5039F" w:rsidRDefault="009E004D" w:rsidP="00783FCE">
            <w:pPr>
              <w:jc w:val="right"/>
              <w:rPr>
                <w:rFonts w:ascii="Times New Roman" w:hAnsi="Times New Roman" w:cs="Times New Roman"/>
                <w:sz w:val="16"/>
                <w:szCs w:val="16"/>
              </w:rPr>
            </w:pPr>
            <w:r w:rsidRPr="00C5039F">
              <w:rPr>
                <w:rFonts w:ascii="Times New Roman" w:hAnsi="Times New Roman" w:cs="Times New Roman"/>
                <w:sz w:val="16"/>
                <w:szCs w:val="16"/>
              </w:rPr>
              <w:t>65.794.</w:t>
            </w:r>
            <w:r w:rsidR="007415E9" w:rsidRPr="00C5039F">
              <w:rPr>
                <w:rFonts w:ascii="Times New Roman" w:hAnsi="Times New Roman" w:cs="Times New Roman"/>
                <w:sz w:val="16"/>
                <w:szCs w:val="16"/>
              </w:rPr>
              <w:t>678</w:t>
            </w:r>
          </w:p>
        </w:tc>
        <w:tc>
          <w:tcPr>
            <w:tcW w:w="1021" w:type="dxa"/>
            <w:tcBorders>
              <w:top w:val="single" w:sz="4" w:space="0" w:color="auto"/>
              <w:left w:val="single" w:sz="4" w:space="0" w:color="auto"/>
              <w:bottom w:val="single" w:sz="4" w:space="0" w:color="auto"/>
              <w:right w:val="single" w:sz="4" w:space="0" w:color="auto"/>
            </w:tcBorders>
            <w:vAlign w:val="center"/>
          </w:tcPr>
          <w:p w:rsidR="009E1DDF" w:rsidRPr="00C5039F" w:rsidRDefault="00E62E19" w:rsidP="00783FCE">
            <w:pPr>
              <w:jc w:val="right"/>
              <w:rPr>
                <w:rFonts w:ascii="Times New Roman" w:hAnsi="Times New Roman" w:cs="Times New Roman"/>
                <w:sz w:val="16"/>
                <w:szCs w:val="16"/>
              </w:rPr>
            </w:pPr>
            <w:r w:rsidRPr="00C5039F">
              <w:rPr>
                <w:rFonts w:ascii="Times New Roman" w:hAnsi="Times New Roman" w:cs="Times New Roman"/>
                <w:sz w:val="16"/>
                <w:szCs w:val="16"/>
              </w:rPr>
              <w:t>2.</w:t>
            </w:r>
            <w:r w:rsidR="001310D8" w:rsidRPr="00C5039F">
              <w:rPr>
                <w:rFonts w:ascii="Times New Roman" w:hAnsi="Times New Roman" w:cs="Times New Roman"/>
                <w:sz w:val="16"/>
                <w:szCs w:val="16"/>
              </w:rPr>
              <w:t>896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415E9" w:rsidRPr="00C5039F" w:rsidRDefault="009E004D" w:rsidP="000E7695">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438.650.</w:t>
            </w:r>
            <w:r w:rsidR="007415E9" w:rsidRPr="00C5039F">
              <w:rPr>
                <w:rFonts w:ascii="Times New Roman" w:hAnsi="Times New Roman" w:cs="Times New Roman"/>
                <w:sz w:val="16"/>
                <w:szCs w:val="16"/>
                <w:lang w:eastAsia="lt-LT"/>
              </w:rPr>
              <w:t>490</w:t>
            </w:r>
          </w:p>
        </w:tc>
        <w:tc>
          <w:tcPr>
            <w:tcW w:w="680"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7415E9" w:rsidRPr="00C5039F" w:rsidRDefault="00377149" w:rsidP="000E7695">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349.990.106</w:t>
            </w:r>
          </w:p>
        </w:tc>
        <w:tc>
          <w:tcPr>
            <w:tcW w:w="1276" w:type="dxa"/>
            <w:tcBorders>
              <w:top w:val="nil"/>
              <w:left w:val="nil"/>
              <w:bottom w:val="single" w:sz="4" w:space="0" w:color="auto"/>
              <w:right w:val="single" w:sz="4" w:space="0" w:color="auto"/>
            </w:tcBorders>
            <w:shd w:val="clear" w:color="auto" w:fill="auto"/>
            <w:vAlign w:val="center"/>
            <w:hideMark/>
          </w:tcPr>
          <w:p w:rsidR="007415E9" w:rsidRPr="00C5039F" w:rsidRDefault="00377149" w:rsidP="000E7695">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61.762.960</w:t>
            </w:r>
          </w:p>
        </w:tc>
        <w:tc>
          <w:tcPr>
            <w:tcW w:w="1134" w:type="dxa"/>
            <w:tcBorders>
              <w:top w:val="nil"/>
              <w:left w:val="nil"/>
              <w:bottom w:val="single" w:sz="4" w:space="0" w:color="auto"/>
              <w:right w:val="single" w:sz="4" w:space="0" w:color="auto"/>
            </w:tcBorders>
            <w:shd w:val="clear" w:color="auto" w:fill="auto"/>
            <w:vAlign w:val="center"/>
            <w:hideMark/>
          </w:tcPr>
          <w:p w:rsidR="007415E9" w:rsidRPr="00C5039F" w:rsidRDefault="00377149" w:rsidP="000E7695">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22.862.810</w:t>
            </w:r>
          </w:p>
        </w:tc>
        <w:tc>
          <w:tcPr>
            <w:tcW w:w="1105" w:type="dxa"/>
            <w:tcBorders>
              <w:top w:val="nil"/>
              <w:left w:val="nil"/>
              <w:bottom w:val="single" w:sz="4" w:space="0" w:color="auto"/>
              <w:right w:val="single" w:sz="4" w:space="0" w:color="auto"/>
            </w:tcBorders>
            <w:shd w:val="clear" w:color="auto" w:fill="auto"/>
            <w:vAlign w:val="center"/>
            <w:hideMark/>
          </w:tcPr>
          <w:p w:rsidR="007415E9" w:rsidRPr="00C5039F" w:rsidRDefault="00377149" w:rsidP="000E7695">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4.034.614</w:t>
            </w:r>
          </w:p>
        </w:tc>
        <w:tc>
          <w:tcPr>
            <w:tcW w:w="567" w:type="dxa"/>
            <w:tcBorders>
              <w:top w:val="nil"/>
              <w:left w:val="nil"/>
              <w:bottom w:val="single" w:sz="4" w:space="0" w:color="auto"/>
              <w:right w:val="single" w:sz="4" w:space="0" w:color="auto"/>
            </w:tcBorders>
            <w:shd w:val="clear" w:color="auto" w:fill="auto"/>
            <w:vAlign w:val="center"/>
            <w:hideMark/>
          </w:tcPr>
          <w:p w:rsidR="009E1DDF" w:rsidRPr="000E7695" w:rsidRDefault="009E1DDF" w:rsidP="00E62E19">
            <w:pPr>
              <w:jc w:val="right"/>
              <w:rPr>
                <w:rFonts w:ascii="Times New Roman" w:hAnsi="Times New Roman" w:cs="Times New Roman"/>
                <w:color w:val="000000"/>
                <w:sz w:val="16"/>
                <w:szCs w:val="16"/>
                <w:lang w:eastAsia="lt-LT"/>
              </w:rPr>
            </w:pPr>
            <w:r w:rsidRPr="000E7695">
              <w:rPr>
                <w:rFonts w:ascii="Times New Roman" w:hAnsi="Times New Roman" w:cs="Times New Roman"/>
                <w:color w:val="000000"/>
                <w:sz w:val="16"/>
                <w:szCs w:val="16"/>
                <w:lang w:eastAsia="lt-LT"/>
              </w:rPr>
              <w:t>6,14</w:t>
            </w:r>
          </w:p>
        </w:tc>
      </w:tr>
      <w:tr w:rsidR="009E1DDF" w:rsidRPr="00697AD2" w:rsidTr="0051277F">
        <w:trPr>
          <w:trHeight w:val="510"/>
        </w:trPr>
        <w:tc>
          <w:tcPr>
            <w:tcW w:w="992" w:type="dxa"/>
            <w:vMerge/>
            <w:tcBorders>
              <w:top w:val="nil"/>
              <w:left w:val="single" w:sz="4" w:space="0" w:color="auto"/>
              <w:bottom w:val="single" w:sz="4" w:space="0" w:color="000000"/>
              <w:right w:val="single" w:sz="4" w:space="0" w:color="auto"/>
            </w:tcBorders>
            <w:vAlign w:val="center"/>
            <w:hideMark/>
          </w:tcPr>
          <w:p w:rsidR="009E1DDF" w:rsidRPr="00697AD2" w:rsidRDefault="009E1DDF" w:rsidP="009E1DDF">
            <w:pPr>
              <w:rPr>
                <w:rFonts w:ascii="Times New Roman" w:hAnsi="Times New Roman" w:cs="Times New Roman"/>
                <w:i/>
                <w:iCs/>
                <w:color w:val="000000"/>
                <w:sz w:val="16"/>
                <w:szCs w:val="16"/>
                <w:lang w:eastAsia="lt-LT"/>
              </w:rPr>
            </w:pP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sz w:val="16"/>
                <w:szCs w:val="16"/>
                <w:lang w:eastAsia="lt-LT"/>
              </w:rPr>
            </w:pPr>
            <w:r w:rsidRPr="00697AD2">
              <w:rPr>
                <w:rFonts w:ascii="Times New Roman" w:hAnsi="Times New Roman" w:cs="Times New Roman"/>
                <w:sz w:val="16"/>
                <w:szCs w:val="16"/>
                <w:lang w:eastAsia="lt-LT"/>
              </w:rPr>
              <w:t>JUI</w:t>
            </w:r>
          </w:p>
        </w:tc>
        <w:tc>
          <w:tcPr>
            <w:tcW w:w="96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rPr>
                <w:rFonts w:ascii="Times New Roman" w:hAnsi="Times New Roman" w:cs="Times New Roman"/>
                <w:sz w:val="16"/>
                <w:szCs w:val="16"/>
                <w:lang w:eastAsia="lt-LT"/>
              </w:rPr>
            </w:pPr>
            <w:r w:rsidRPr="00697AD2">
              <w:rPr>
                <w:rFonts w:ascii="Times New Roman" w:hAnsi="Times New Roman" w:cs="Times New Roman"/>
                <w:sz w:val="16"/>
                <w:szCs w:val="16"/>
                <w:lang w:eastAsia="lt-LT"/>
              </w:rPr>
              <w:t>Viešosios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sz w:val="16"/>
                <w:szCs w:val="16"/>
                <w:lang w:eastAsia="lt-LT"/>
              </w:rPr>
            </w:pPr>
            <w:r w:rsidRPr="00697AD2">
              <w:rPr>
                <w:rFonts w:ascii="Times New Roman" w:hAnsi="Times New Roman" w:cs="Times New Roman"/>
                <w:sz w:val="16"/>
                <w:szCs w:val="16"/>
                <w:lang w:eastAsia="lt-LT"/>
              </w:rPr>
              <w:t>63.565.266</w:t>
            </w:r>
          </w:p>
        </w:tc>
        <w:tc>
          <w:tcPr>
            <w:tcW w:w="1247"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sz w:val="16"/>
                <w:szCs w:val="16"/>
                <w:lang w:eastAsia="lt-LT"/>
              </w:rPr>
            </w:pPr>
            <w:r w:rsidRPr="00697AD2">
              <w:rPr>
                <w:rFonts w:ascii="Times New Roman" w:hAnsi="Times New Roman" w:cs="Times New Roman"/>
                <w:sz w:val="16"/>
                <w:szCs w:val="16"/>
                <w:lang w:eastAsia="lt-LT"/>
              </w:rPr>
              <w:t>5.608.700</w:t>
            </w:r>
          </w:p>
        </w:tc>
        <w:tc>
          <w:tcPr>
            <w:tcW w:w="1134" w:type="dxa"/>
            <w:tcBorders>
              <w:top w:val="single" w:sz="4" w:space="0" w:color="auto"/>
              <w:left w:val="nil"/>
              <w:bottom w:val="single" w:sz="4" w:space="0" w:color="auto"/>
              <w:right w:val="single" w:sz="4" w:space="0" w:color="auto"/>
            </w:tcBorders>
            <w:vAlign w:val="center"/>
          </w:tcPr>
          <w:p w:rsidR="009E1DDF" w:rsidRPr="00697AD2" w:rsidRDefault="009E1DDF" w:rsidP="00E62E19">
            <w:pPr>
              <w:jc w:val="right"/>
              <w:rPr>
                <w:rFonts w:ascii="Times New Roman" w:hAnsi="Times New Roman" w:cs="Times New Roman"/>
                <w:sz w:val="16"/>
                <w:szCs w:val="16"/>
              </w:rPr>
            </w:pPr>
            <w:r w:rsidRPr="00697AD2">
              <w:rPr>
                <w:rFonts w:ascii="Times New Roman" w:hAnsi="Times New Roman" w:cs="Times New Roman"/>
                <w:sz w:val="16"/>
                <w:szCs w:val="16"/>
              </w:rPr>
              <w:t>5.608.700</w:t>
            </w:r>
          </w:p>
        </w:tc>
        <w:tc>
          <w:tcPr>
            <w:tcW w:w="1021" w:type="dxa"/>
            <w:tcBorders>
              <w:top w:val="single" w:sz="4" w:space="0" w:color="auto"/>
              <w:left w:val="single" w:sz="4" w:space="0" w:color="auto"/>
              <w:bottom w:val="single" w:sz="4" w:space="0" w:color="auto"/>
              <w:right w:val="single" w:sz="4" w:space="0" w:color="auto"/>
            </w:tcBorders>
            <w:vAlign w:val="center"/>
          </w:tcPr>
          <w:p w:rsidR="009E1DDF" w:rsidRPr="00697AD2" w:rsidRDefault="009E1DDF" w:rsidP="00E62E19">
            <w:pPr>
              <w:jc w:val="right"/>
              <w:rPr>
                <w:rFonts w:ascii="Times New Roman" w:hAnsi="Times New Roman" w:cs="Times New Roman"/>
                <w:sz w:val="16"/>
                <w:szCs w:val="16"/>
              </w:rPr>
            </w:pPr>
            <w:r w:rsidRPr="00697AD2">
              <w:rPr>
                <w:rFonts w:ascii="Times New Roman" w:hAnsi="Times New Roman" w:cs="Times New Roman"/>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69.173.966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sz w:val="16"/>
                <w:szCs w:val="16"/>
                <w:lang w:eastAsia="lt-LT"/>
              </w:rPr>
            </w:pPr>
            <w:r w:rsidRPr="00697AD2">
              <w:rPr>
                <w:rFonts w:ascii="Times New Roman" w:hAnsi="Times New Roman" w:cs="Times New Roman"/>
                <w:sz w:val="16"/>
                <w:szCs w:val="16"/>
                <w:lang w:eastAsia="lt-LT"/>
              </w:rPr>
              <w:t>91,89</w:t>
            </w:r>
          </w:p>
        </w:tc>
        <w:tc>
          <w:tcPr>
            <w:tcW w:w="425"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63.565.266</w:t>
            </w:r>
          </w:p>
        </w:tc>
        <w:tc>
          <w:tcPr>
            <w:tcW w:w="1276"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5.608.700</w:t>
            </w:r>
          </w:p>
        </w:tc>
        <w:tc>
          <w:tcPr>
            <w:tcW w:w="113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0</w:t>
            </w:r>
          </w:p>
        </w:tc>
        <w:tc>
          <w:tcPr>
            <w:tcW w:w="1105"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0,00</w:t>
            </w:r>
          </w:p>
        </w:tc>
      </w:tr>
      <w:tr w:rsidR="009E1DDF" w:rsidRPr="00697AD2" w:rsidTr="0051277F">
        <w:trPr>
          <w:trHeight w:val="510"/>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E1DDF" w:rsidRPr="00697AD2" w:rsidRDefault="009E1DDF" w:rsidP="009E1DDF">
            <w:pPr>
              <w:widowControl w:val="0"/>
              <w:tabs>
                <w:tab w:val="left" w:pos="622"/>
              </w:tabs>
              <w:rPr>
                <w:rFonts w:ascii="Times New Roman" w:eastAsia="AngsanaUPC" w:hAnsi="Times New Roman" w:cs="Times New Roman"/>
                <w:bCs/>
                <w:sz w:val="16"/>
                <w:szCs w:val="16"/>
                <w:lang w:eastAsia="lt-LT"/>
              </w:rPr>
            </w:pPr>
            <w:r w:rsidRPr="00697AD2">
              <w:rPr>
                <w:rFonts w:ascii="Times New Roman" w:eastAsia="AngsanaUPC" w:hAnsi="Times New Roman" w:cs="Times New Roman"/>
                <w:bCs/>
                <w:sz w:val="16"/>
                <w:szCs w:val="16"/>
                <w:lang w:eastAsia="lt-LT"/>
              </w:rPr>
              <w:t xml:space="preserve">8. Socialinės įtraukties </w:t>
            </w:r>
            <w:r w:rsidRPr="00697AD2">
              <w:rPr>
                <w:rFonts w:ascii="Times New Roman" w:eastAsia="AngsanaUPC" w:hAnsi="Times New Roman" w:cs="Times New Roman"/>
                <w:bCs/>
                <w:sz w:val="16"/>
                <w:szCs w:val="16"/>
                <w:lang w:eastAsia="lt-LT"/>
              </w:rPr>
              <w:lastRenderedPageBreak/>
              <w:t>didinimas ir parama kovai su skurdu.</w:t>
            </w:r>
          </w:p>
        </w:tc>
        <w:tc>
          <w:tcPr>
            <w:tcW w:w="738" w:type="dxa"/>
            <w:tcBorders>
              <w:top w:val="nil"/>
              <w:left w:val="nil"/>
              <w:bottom w:val="single" w:sz="4" w:space="0" w:color="auto"/>
              <w:right w:val="single" w:sz="4" w:space="0" w:color="auto"/>
            </w:tcBorders>
            <w:shd w:val="clear" w:color="auto" w:fill="auto"/>
            <w:vAlign w:val="center"/>
            <w:hideMark/>
          </w:tcPr>
          <w:p w:rsidR="009E1DDF" w:rsidRPr="00136C57" w:rsidRDefault="009E1DDF" w:rsidP="009E1DDF">
            <w:pPr>
              <w:jc w:val="both"/>
              <w:rPr>
                <w:rFonts w:ascii="Times New Roman" w:hAnsi="Times New Roman" w:cs="Times New Roman"/>
                <w:color w:val="000000"/>
                <w:sz w:val="16"/>
                <w:szCs w:val="16"/>
                <w:lang w:eastAsia="lt-LT"/>
              </w:rPr>
            </w:pPr>
            <w:r w:rsidRPr="00136C57">
              <w:rPr>
                <w:rFonts w:ascii="Times New Roman" w:hAnsi="Times New Roman" w:cs="Times New Roman"/>
                <w:color w:val="000000"/>
                <w:sz w:val="16"/>
                <w:szCs w:val="16"/>
                <w:lang w:eastAsia="lt-LT"/>
              </w:rPr>
              <w:lastRenderedPageBreak/>
              <w:t>ERPF</w:t>
            </w:r>
          </w:p>
        </w:tc>
        <w:tc>
          <w:tcPr>
            <w:tcW w:w="964" w:type="dxa"/>
            <w:tcBorders>
              <w:top w:val="nil"/>
              <w:left w:val="nil"/>
              <w:bottom w:val="single" w:sz="4" w:space="0" w:color="auto"/>
              <w:right w:val="single" w:sz="4" w:space="0" w:color="auto"/>
            </w:tcBorders>
            <w:shd w:val="clear" w:color="auto" w:fill="auto"/>
            <w:vAlign w:val="center"/>
            <w:hideMark/>
          </w:tcPr>
          <w:p w:rsidR="009E1DDF" w:rsidRPr="00136C57" w:rsidRDefault="009E1DDF" w:rsidP="009E1DDF">
            <w:pPr>
              <w:rPr>
                <w:rFonts w:ascii="Times New Roman" w:hAnsi="Times New Roman" w:cs="Times New Roman"/>
                <w:sz w:val="16"/>
                <w:szCs w:val="16"/>
                <w:lang w:eastAsia="lt-LT"/>
              </w:rPr>
            </w:pPr>
            <w:r w:rsidRPr="00136C57">
              <w:rPr>
                <w:rFonts w:ascii="Times New Roman" w:hAnsi="Times New Roman" w:cs="Times New Roman"/>
                <w:sz w:val="16"/>
                <w:szCs w:val="16"/>
                <w:lang w:eastAsia="lt-LT"/>
              </w:rPr>
              <w:t>Viešosios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3959EA" w:rsidRPr="00C5039F" w:rsidRDefault="000C7EA5" w:rsidP="00467870">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357.640.</w:t>
            </w:r>
            <w:r w:rsidR="003959EA" w:rsidRPr="00C5039F">
              <w:rPr>
                <w:rFonts w:ascii="Times New Roman" w:hAnsi="Times New Roman" w:cs="Times New Roman"/>
                <w:sz w:val="16"/>
                <w:szCs w:val="16"/>
                <w:lang w:eastAsia="lt-LT"/>
              </w:rPr>
              <w:t>145</w:t>
            </w:r>
          </w:p>
        </w:tc>
        <w:tc>
          <w:tcPr>
            <w:tcW w:w="1247" w:type="dxa"/>
            <w:tcBorders>
              <w:top w:val="nil"/>
              <w:left w:val="nil"/>
              <w:bottom w:val="single" w:sz="4" w:space="0" w:color="auto"/>
              <w:right w:val="single" w:sz="4" w:space="0" w:color="auto"/>
            </w:tcBorders>
            <w:shd w:val="clear" w:color="auto" w:fill="auto"/>
            <w:vAlign w:val="center"/>
            <w:hideMark/>
          </w:tcPr>
          <w:p w:rsidR="003959EA" w:rsidRPr="00C5039F" w:rsidRDefault="000C7EA5"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63.112.</w:t>
            </w:r>
            <w:r w:rsidR="003959EA" w:rsidRPr="00C5039F">
              <w:rPr>
                <w:rFonts w:ascii="Times New Roman" w:hAnsi="Times New Roman" w:cs="Times New Roman"/>
                <w:sz w:val="16"/>
                <w:szCs w:val="16"/>
                <w:lang w:eastAsia="lt-LT"/>
              </w:rPr>
              <w:t>967</w:t>
            </w:r>
          </w:p>
        </w:tc>
        <w:tc>
          <w:tcPr>
            <w:tcW w:w="1134" w:type="dxa"/>
            <w:tcBorders>
              <w:top w:val="single" w:sz="4" w:space="0" w:color="auto"/>
              <w:left w:val="nil"/>
              <w:bottom w:val="single" w:sz="4" w:space="0" w:color="auto"/>
              <w:right w:val="single" w:sz="4" w:space="0" w:color="auto"/>
            </w:tcBorders>
            <w:vAlign w:val="center"/>
          </w:tcPr>
          <w:p w:rsidR="003959EA" w:rsidRPr="00C5039F" w:rsidRDefault="000C7EA5" w:rsidP="00E62E19">
            <w:pPr>
              <w:jc w:val="right"/>
              <w:rPr>
                <w:rFonts w:ascii="Times New Roman" w:hAnsi="Times New Roman" w:cs="Times New Roman"/>
                <w:sz w:val="16"/>
                <w:szCs w:val="16"/>
              </w:rPr>
            </w:pPr>
            <w:r w:rsidRPr="00C5039F">
              <w:rPr>
                <w:rFonts w:ascii="Times New Roman" w:hAnsi="Times New Roman" w:cs="Times New Roman"/>
                <w:sz w:val="16"/>
                <w:szCs w:val="16"/>
              </w:rPr>
              <w:t>63.112.</w:t>
            </w:r>
            <w:r w:rsidR="003959EA" w:rsidRPr="00C5039F">
              <w:rPr>
                <w:rFonts w:ascii="Times New Roman" w:hAnsi="Times New Roman" w:cs="Times New Roman"/>
                <w:sz w:val="16"/>
                <w:szCs w:val="16"/>
              </w:rPr>
              <w:t>967</w:t>
            </w:r>
          </w:p>
        </w:tc>
        <w:tc>
          <w:tcPr>
            <w:tcW w:w="1021" w:type="dxa"/>
            <w:tcBorders>
              <w:top w:val="single" w:sz="4" w:space="0" w:color="auto"/>
              <w:left w:val="single" w:sz="4" w:space="0" w:color="auto"/>
              <w:bottom w:val="single" w:sz="4" w:space="0" w:color="auto"/>
              <w:right w:val="single" w:sz="4" w:space="0" w:color="auto"/>
            </w:tcBorders>
            <w:vAlign w:val="center"/>
          </w:tcPr>
          <w:p w:rsidR="009E1DDF" w:rsidRPr="00C5039F" w:rsidRDefault="009E1DDF" w:rsidP="00E62E19">
            <w:pPr>
              <w:jc w:val="right"/>
              <w:rPr>
                <w:rFonts w:ascii="Times New Roman" w:hAnsi="Times New Roman" w:cs="Times New Roman"/>
                <w:sz w:val="16"/>
                <w:szCs w:val="16"/>
              </w:rPr>
            </w:pPr>
            <w:r w:rsidRPr="00C5039F">
              <w:rPr>
                <w:rFonts w:ascii="Times New Roman" w:hAnsi="Times New Roman" w:cs="Times New Roman"/>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959EA" w:rsidRPr="00C5039F" w:rsidRDefault="000C7EA5"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420.753.</w:t>
            </w:r>
            <w:r w:rsidR="003959EA" w:rsidRPr="00C5039F">
              <w:rPr>
                <w:rFonts w:ascii="Times New Roman" w:hAnsi="Times New Roman" w:cs="Times New Roman"/>
                <w:sz w:val="16"/>
                <w:szCs w:val="16"/>
                <w:lang w:eastAsia="lt-LT"/>
              </w:rPr>
              <w:t>112</w:t>
            </w:r>
          </w:p>
        </w:tc>
        <w:tc>
          <w:tcPr>
            <w:tcW w:w="680"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3959EA" w:rsidRPr="00C5039F" w:rsidRDefault="00C7408A"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336.181.736</w:t>
            </w:r>
          </w:p>
        </w:tc>
        <w:tc>
          <w:tcPr>
            <w:tcW w:w="1276" w:type="dxa"/>
            <w:tcBorders>
              <w:top w:val="nil"/>
              <w:left w:val="nil"/>
              <w:bottom w:val="single" w:sz="4" w:space="0" w:color="auto"/>
              <w:right w:val="single" w:sz="4" w:space="0" w:color="auto"/>
            </w:tcBorders>
            <w:shd w:val="clear" w:color="auto" w:fill="auto"/>
            <w:vAlign w:val="center"/>
            <w:hideMark/>
          </w:tcPr>
          <w:p w:rsidR="003959EA" w:rsidRPr="00C5039F" w:rsidRDefault="000C7EA5"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59.326.</w:t>
            </w:r>
            <w:r w:rsidR="003959EA" w:rsidRPr="00C5039F">
              <w:rPr>
                <w:rFonts w:ascii="Times New Roman" w:hAnsi="Times New Roman" w:cs="Times New Roman"/>
                <w:sz w:val="16"/>
                <w:szCs w:val="16"/>
                <w:lang w:eastAsia="lt-LT"/>
              </w:rPr>
              <w:t>189</w:t>
            </w:r>
          </w:p>
        </w:tc>
        <w:tc>
          <w:tcPr>
            <w:tcW w:w="1134" w:type="dxa"/>
            <w:tcBorders>
              <w:top w:val="nil"/>
              <w:left w:val="nil"/>
              <w:bottom w:val="single" w:sz="4" w:space="0" w:color="auto"/>
              <w:right w:val="single" w:sz="4" w:space="0" w:color="auto"/>
            </w:tcBorders>
            <w:shd w:val="clear" w:color="auto" w:fill="auto"/>
            <w:vAlign w:val="center"/>
            <w:hideMark/>
          </w:tcPr>
          <w:p w:rsidR="003959EA" w:rsidRPr="00C5039F" w:rsidRDefault="000C7EA5"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21.458.</w:t>
            </w:r>
            <w:r w:rsidR="003959EA" w:rsidRPr="00C5039F">
              <w:rPr>
                <w:rFonts w:ascii="Times New Roman" w:hAnsi="Times New Roman" w:cs="Times New Roman"/>
                <w:sz w:val="16"/>
                <w:szCs w:val="16"/>
                <w:lang w:eastAsia="lt-LT"/>
              </w:rPr>
              <w:t>409</w:t>
            </w:r>
          </w:p>
        </w:tc>
        <w:tc>
          <w:tcPr>
            <w:tcW w:w="1105" w:type="dxa"/>
            <w:tcBorders>
              <w:top w:val="nil"/>
              <w:left w:val="nil"/>
              <w:bottom w:val="single" w:sz="4" w:space="0" w:color="auto"/>
              <w:right w:val="single" w:sz="4" w:space="0" w:color="auto"/>
            </w:tcBorders>
            <w:shd w:val="clear" w:color="auto" w:fill="auto"/>
            <w:vAlign w:val="center"/>
            <w:hideMark/>
          </w:tcPr>
          <w:p w:rsidR="003959EA" w:rsidRPr="00C5039F" w:rsidRDefault="000C7EA5"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3.786.</w:t>
            </w:r>
            <w:r w:rsidR="003959EA" w:rsidRPr="00C5039F">
              <w:rPr>
                <w:rFonts w:ascii="Times New Roman" w:hAnsi="Times New Roman" w:cs="Times New Roman"/>
                <w:sz w:val="16"/>
                <w:szCs w:val="16"/>
                <w:lang w:eastAsia="lt-LT"/>
              </w:rPr>
              <w:t>778</w:t>
            </w:r>
          </w:p>
        </w:tc>
        <w:tc>
          <w:tcPr>
            <w:tcW w:w="567"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6,00</w:t>
            </w:r>
          </w:p>
        </w:tc>
      </w:tr>
      <w:tr w:rsidR="009E1DDF" w:rsidRPr="00697AD2" w:rsidTr="0051277F">
        <w:trPr>
          <w:trHeight w:val="510"/>
        </w:trPr>
        <w:tc>
          <w:tcPr>
            <w:tcW w:w="992" w:type="dxa"/>
            <w:vMerge/>
            <w:tcBorders>
              <w:top w:val="nil"/>
              <w:left w:val="single" w:sz="4" w:space="0" w:color="auto"/>
              <w:bottom w:val="single" w:sz="4" w:space="0" w:color="000000"/>
              <w:right w:val="single" w:sz="4" w:space="0" w:color="auto"/>
            </w:tcBorders>
            <w:vAlign w:val="center"/>
            <w:hideMark/>
          </w:tcPr>
          <w:p w:rsidR="009E1DDF" w:rsidRPr="00697AD2" w:rsidRDefault="009E1DDF" w:rsidP="009E1DDF">
            <w:pPr>
              <w:rPr>
                <w:rFonts w:ascii="Times New Roman" w:hAnsi="Times New Roman" w:cs="Times New Roman"/>
                <w:i/>
                <w:iCs/>
                <w:color w:val="000000"/>
                <w:sz w:val="16"/>
                <w:szCs w:val="16"/>
                <w:lang w:eastAsia="lt-LT"/>
              </w:rPr>
            </w:pP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ESF</w:t>
            </w:r>
          </w:p>
        </w:tc>
        <w:tc>
          <w:tcPr>
            <w:tcW w:w="96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rPr>
                <w:rFonts w:ascii="Times New Roman" w:hAnsi="Times New Roman" w:cs="Times New Roman"/>
                <w:sz w:val="16"/>
                <w:szCs w:val="16"/>
                <w:lang w:eastAsia="lt-LT"/>
              </w:rPr>
            </w:pPr>
            <w:r w:rsidRPr="00697AD2">
              <w:rPr>
                <w:rFonts w:ascii="Times New Roman" w:hAnsi="Times New Roman" w:cs="Times New Roman"/>
                <w:sz w:val="16"/>
                <w:szCs w:val="16"/>
                <w:lang w:eastAsia="lt-LT"/>
              </w:rPr>
              <w:t>Bendros tinkamos išlaidos</w:t>
            </w:r>
          </w:p>
        </w:tc>
        <w:tc>
          <w:tcPr>
            <w:tcW w:w="1162" w:type="dxa"/>
            <w:tcBorders>
              <w:top w:val="nil"/>
              <w:left w:val="nil"/>
              <w:bottom w:val="single" w:sz="4" w:space="0" w:color="auto"/>
              <w:right w:val="single" w:sz="4" w:space="0" w:color="auto"/>
            </w:tcBorders>
            <w:shd w:val="clear" w:color="000000" w:fill="FFFFFF"/>
            <w:vAlign w:val="center"/>
            <w:hideMark/>
          </w:tcPr>
          <w:p w:rsidR="003959EA" w:rsidRPr="00C5039F" w:rsidRDefault="000C7EA5" w:rsidP="000E7695">
            <w:pPr>
              <w:shd w:val="clear" w:color="auto" w:fill="FFFFFF"/>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241.054.</w:t>
            </w:r>
            <w:r w:rsidR="003959EA" w:rsidRPr="00C5039F">
              <w:rPr>
                <w:rFonts w:ascii="Times New Roman" w:hAnsi="Times New Roman" w:cs="Times New Roman"/>
                <w:sz w:val="16"/>
                <w:szCs w:val="16"/>
                <w:lang w:eastAsia="lt-LT"/>
              </w:rPr>
              <w:t>386</w:t>
            </w:r>
          </w:p>
        </w:tc>
        <w:tc>
          <w:tcPr>
            <w:tcW w:w="1247" w:type="dxa"/>
            <w:tcBorders>
              <w:top w:val="nil"/>
              <w:left w:val="nil"/>
              <w:bottom w:val="single" w:sz="4" w:space="0" w:color="auto"/>
              <w:right w:val="single" w:sz="4" w:space="0" w:color="auto"/>
            </w:tcBorders>
            <w:shd w:val="clear" w:color="auto" w:fill="auto"/>
            <w:vAlign w:val="center"/>
            <w:hideMark/>
          </w:tcPr>
          <w:p w:rsidR="003959EA" w:rsidRPr="00C5039F" w:rsidRDefault="000C7EA5" w:rsidP="000E7695">
            <w:pPr>
              <w:shd w:val="clear" w:color="auto" w:fill="FFFFFF"/>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42.539.</w:t>
            </w:r>
            <w:r w:rsidR="003959EA" w:rsidRPr="00C5039F">
              <w:rPr>
                <w:rFonts w:ascii="Times New Roman" w:hAnsi="Times New Roman" w:cs="Times New Roman"/>
                <w:sz w:val="16"/>
                <w:szCs w:val="16"/>
                <w:lang w:eastAsia="lt-LT"/>
              </w:rPr>
              <w:t>010</w:t>
            </w:r>
          </w:p>
        </w:tc>
        <w:tc>
          <w:tcPr>
            <w:tcW w:w="1134" w:type="dxa"/>
            <w:tcBorders>
              <w:top w:val="single" w:sz="4" w:space="0" w:color="auto"/>
              <w:left w:val="nil"/>
              <w:bottom w:val="single" w:sz="4" w:space="0" w:color="auto"/>
              <w:right w:val="single" w:sz="4" w:space="0" w:color="auto"/>
            </w:tcBorders>
            <w:vAlign w:val="center"/>
          </w:tcPr>
          <w:p w:rsidR="003959EA" w:rsidRPr="00C5039F" w:rsidRDefault="000C7EA5" w:rsidP="000E7695">
            <w:pPr>
              <w:shd w:val="clear" w:color="auto" w:fill="FFFFFF"/>
              <w:jc w:val="right"/>
              <w:rPr>
                <w:rFonts w:ascii="Times New Roman" w:hAnsi="Times New Roman" w:cs="Times New Roman"/>
                <w:sz w:val="16"/>
                <w:szCs w:val="16"/>
              </w:rPr>
            </w:pPr>
            <w:r w:rsidRPr="00C5039F">
              <w:rPr>
                <w:rFonts w:ascii="Times New Roman" w:hAnsi="Times New Roman" w:cs="Times New Roman"/>
                <w:sz w:val="16"/>
                <w:szCs w:val="16"/>
              </w:rPr>
              <w:t>38.671.</w:t>
            </w:r>
            <w:r w:rsidR="003959EA" w:rsidRPr="00C5039F">
              <w:rPr>
                <w:rFonts w:ascii="Times New Roman" w:hAnsi="Times New Roman" w:cs="Times New Roman"/>
                <w:sz w:val="16"/>
                <w:szCs w:val="16"/>
              </w:rPr>
              <w:t>975</w:t>
            </w:r>
          </w:p>
        </w:tc>
        <w:tc>
          <w:tcPr>
            <w:tcW w:w="1021" w:type="dxa"/>
            <w:tcBorders>
              <w:top w:val="single" w:sz="4" w:space="0" w:color="auto"/>
              <w:left w:val="single" w:sz="4" w:space="0" w:color="auto"/>
              <w:bottom w:val="single" w:sz="4" w:space="0" w:color="auto"/>
              <w:right w:val="single" w:sz="4" w:space="0" w:color="auto"/>
            </w:tcBorders>
            <w:vAlign w:val="center"/>
          </w:tcPr>
          <w:p w:rsidR="009E1DDF" w:rsidRPr="00C5039F" w:rsidRDefault="001310D8" w:rsidP="000E7695">
            <w:pPr>
              <w:shd w:val="clear" w:color="auto" w:fill="FFFFFF"/>
              <w:jc w:val="right"/>
              <w:rPr>
                <w:rFonts w:ascii="Times New Roman" w:hAnsi="Times New Roman" w:cs="Times New Roman"/>
                <w:sz w:val="16"/>
                <w:szCs w:val="16"/>
              </w:rPr>
            </w:pPr>
            <w:r w:rsidRPr="00C5039F">
              <w:rPr>
                <w:rFonts w:ascii="Times New Roman" w:hAnsi="Times New Roman" w:cs="Times New Roman"/>
                <w:sz w:val="16"/>
                <w:szCs w:val="16"/>
              </w:rPr>
              <w:t xml:space="preserve">3.867.035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E1DDF" w:rsidRPr="00C5039F" w:rsidRDefault="000C7EA5" w:rsidP="000E7695">
            <w:pPr>
              <w:shd w:val="clear" w:color="auto" w:fill="FFFFFF"/>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283.593.</w:t>
            </w:r>
            <w:r w:rsidR="003959EA" w:rsidRPr="00C5039F">
              <w:rPr>
                <w:rFonts w:ascii="Times New Roman" w:hAnsi="Times New Roman" w:cs="Times New Roman"/>
                <w:sz w:val="16"/>
                <w:szCs w:val="16"/>
                <w:lang w:eastAsia="lt-LT"/>
              </w:rPr>
              <w:t>396</w:t>
            </w:r>
          </w:p>
        </w:tc>
        <w:tc>
          <w:tcPr>
            <w:tcW w:w="680"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0E7695">
            <w:pPr>
              <w:shd w:val="clear" w:color="auto" w:fill="FFFFFF"/>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226.273.274</w:t>
            </w:r>
          </w:p>
        </w:tc>
        <w:tc>
          <w:tcPr>
            <w:tcW w:w="1276"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377149">
            <w:pPr>
              <w:shd w:val="clear" w:color="auto" w:fill="FFFFFF"/>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39.930.578</w:t>
            </w:r>
          </w:p>
        </w:tc>
        <w:tc>
          <w:tcPr>
            <w:tcW w:w="1134"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0E7695">
            <w:pPr>
              <w:shd w:val="clear" w:color="auto" w:fill="FFFFFF"/>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14.781.112</w:t>
            </w:r>
          </w:p>
        </w:tc>
        <w:tc>
          <w:tcPr>
            <w:tcW w:w="1105"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377149">
            <w:pPr>
              <w:shd w:val="clear" w:color="auto" w:fill="FFFFFF"/>
              <w:jc w:val="right"/>
              <w:rPr>
                <w:rFonts w:ascii="Times New Roman" w:hAnsi="Times New Roman" w:cs="Times New Roman"/>
                <w:sz w:val="16"/>
                <w:szCs w:val="16"/>
                <w:lang w:eastAsia="lt-LT"/>
              </w:rPr>
            </w:pPr>
            <w:r w:rsidRPr="00C5039F">
              <w:rPr>
                <w:rFonts w:ascii="Times New Roman" w:hAnsi="Times New Roman" w:cs="Times New Roman"/>
                <w:sz w:val="16"/>
                <w:szCs w:val="16"/>
                <w:lang w:eastAsia="lt-LT"/>
              </w:rPr>
              <w:t>2.608.432</w:t>
            </w:r>
          </w:p>
        </w:tc>
        <w:tc>
          <w:tcPr>
            <w:tcW w:w="567"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6,14</w:t>
            </w:r>
          </w:p>
        </w:tc>
      </w:tr>
      <w:tr w:rsidR="009E1DDF" w:rsidRPr="00697AD2" w:rsidTr="0051277F">
        <w:trPr>
          <w:trHeight w:val="510"/>
        </w:trPr>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E1DDF" w:rsidRPr="00697AD2" w:rsidRDefault="009E1DDF" w:rsidP="009E1DDF">
            <w:pPr>
              <w:widowControl w:val="0"/>
              <w:tabs>
                <w:tab w:val="left" w:pos="622"/>
              </w:tabs>
              <w:rPr>
                <w:rFonts w:ascii="Times New Roman" w:eastAsia="AngsanaUPC" w:hAnsi="Times New Roman" w:cs="Times New Roman"/>
                <w:bCs/>
                <w:sz w:val="16"/>
                <w:szCs w:val="16"/>
                <w:lang w:eastAsia="lt-LT"/>
              </w:rPr>
            </w:pPr>
            <w:r w:rsidRPr="00697AD2">
              <w:rPr>
                <w:rFonts w:ascii="Times New Roman" w:eastAsia="AngsanaUPC" w:hAnsi="Times New Roman" w:cs="Times New Roman"/>
                <w:bCs/>
                <w:sz w:val="16"/>
                <w:szCs w:val="16"/>
                <w:lang w:eastAsia="lt-LT"/>
              </w:rPr>
              <w:lastRenderedPageBreak/>
              <w:t>9. Visuomenės švietimas ir žmogiškųjų išteklių potencialo didinimas</w:t>
            </w: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ERPF</w:t>
            </w:r>
          </w:p>
        </w:tc>
        <w:tc>
          <w:tcPr>
            <w:tcW w:w="96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rPr>
                <w:rFonts w:ascii="Times New Roman" w:hAnsi="Times New Roman" w:cs="Times New Roman"/>
                <w:sz w:val="16"/>
                <w:szCs w:val="16"/>
                <w:lang w:eastAsia="lt-LT"/>
              </w:rPr>
            </w:pPr>
            <w:r w:rsidRPr="00697AD2">
              <w:rPr>
                <w:rFonts w:ascii="Times New Roman" w:hAnsi="Times New Roman" w:cs="Times New Roman"/>
                <w:sz w:val="16"/>
                <w:szCs w:val="16"/>
                <w:lang w:eastAsia="lt-LT"/>
              </w:rPr>
              <w:t>Bendros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E62E19">
            <w:pPr>
              <w:jc w:val="right"/>
              <w:rPr>
                <w:rFonts w:ascii="Times New Roman" w:hAnsi="Times New Roman" w:cs="Times New Roman"/>
                <w:sz w:val="16"/>
                <w:szCs w:val="16"/>
                <w:lang w:eastAsia="lt-LT"/>
              </w:rPr>
            </w:pPr>
            <w:r w:rsidRPr="003C080E">
              <w:rPr>
                <w:rFonts w:ascii="Times New Roman" w:hAnsi="Times New Roman" w:cs="Times New Roman"/>
                <w:sz w:val="16"/>
                <w:szCs w:val="16"/>
                <w:lang w:eastAsia="lt-LT"/>
              </w:rPr>
              <w:t>208.548.495</w:t>
            </w:r>
          </w:p>
        </w:tc>
        <w:tc>
          <w:tcPr>
            <w:tcW w:w="1247" w:type="dxa"/>
            <w:tcBorders>
              <w:top w:val="nil"/>
              <w:left w:val="nil"/>
              <w:bottom w:val="single" w:sz="4" w:space="0" w:color="auto"/>
              <w:right w:val="single" w:sz="4" w:space="0" w:color="auto"/>
            </w:tcBorders>
            <w:shd w:val="clear" w:color="auto" w:fill="auto"/>
            <w:vAlign w:val="center"/>
            <w:hideMark/>
          </w:tcPr>
          <w:p w:rsidR="003959EA" w:rsidRPr="003C080E" w:rsidRDefault="009E1DDF" w:rsidP="003959EA">
            <w:pPr>
              <w:jc w:val="right"/>
              <w:rPr>
                <w:rFonts w:ascii="Times New Roman" w:hAnsi="Times New Roman" w:cs="Times New Roman"/>
                <w:sz w:val="16"/>
                <w:szCs w:val="16"/>
                <w:lang w:eastAsia="lt-LT"/>
              </w:rPr>
            </w:pPr>
            <w:r w:rsidRPr="003C080E">
              <w:rPr>
                <w:rFonts w:ascii="Times New Roman" w:hAnsi="Times New Roman" w:cs="Times New Roman"/>
                <w:sz w:val="16"/>
                <w:szCs w:val="16"/>
                <w:lang w:eastAsia="lt-LT"/>
              </w:rPr>
              <w:t>36.802.676</w:t>
            </w:r>
          </w:p>
        </w:tc>
        <w:tc>
          <w:tcPr>
            <w:tcW w:w="1134" w:type="dxa"/>
            <w:tcBorders>
              <w:top w:val="single" w:sz="4" w:space="0" w:color="auto"/>
              <w:left w:val="nil"/>
              <w:bottom w:val="single" w:sz="4" w:space="0" w:color="auto"/>
              <w:right w:val="single" w:sz="4" w:space="0" w:color="auto"/>
            </w:tcBorders>
            <w:vAlign w:val="center"/>
          </w:tcPr>
          <w:p w:rsidR="009E1DDF" w:rsidRPr="003C080E" w:rsidRDefault="009E1DDF" w:rsidP="00E62E19">
            <w:pPr>
              <w:jc w:val="right"/>
              <w:rPr>
                <w:rFonts w:ascii="Times New Roman" w:hAnsi="Times New Roman" w:cs="Times New Roman"/>
                <w:sz w:val="16"/>
                <w:szCs w:val="16"/>
              </w:rPr>
            </w:pPr>
            <w:r w:rsidRPr="003C080E">
              <w:rPr>
                <w:rFonts w:ascii="Times New Roman" w:hAnsi="Times New Roman" w:cs="Times New Roman"/>
                <w:sz w:val="16"/>
                <w:szCs w:val="16"/>
              </w:rPr>
              <w:t>36.513.056</w:t>
            </w:r>
          </w:p>
        </w:tc>
        <w:tc>
          <w:tcPr>
            <w:tcW w:w="1021" w:type="dxa"/>
            <w:tcBorders>
              <w:top w:val="single" w:sz="4" w:space="0" w:color="auto"/>
              <w:left w:val="single" w:sz="4" w:space="0" w:color="auto"/>
              <w:bottom w:val="single" w:sz="4" w:space="0" w:color="auto"/>
              <w:right w:val="single" w:sz="4" w:space="0" w:color="auto"/>
            </w:tcBorders>
            <w:vAlign w:val="center"/>
          </w:tcPr>
          <w:p w:rsidR="009E1DDF" w:rsidRPr="003C080E" w:rsidRDefault="009E1DDF" w:rsidP="00E62E19">
            <w:pPr>
              <w:jc w:val="right"/>
              <w:rPr>
                <w:rFonts w:ascii="Times New Roman" w:hAnsi="Times New Roman" w:cs="Times New Roman"/>
                <w:sz w:val="16"/>
                <w:szCs w:val="16"/>
              </w:rPr>
            </w:pPr>
            <w:r w:rsidRPr="003C080E">
              <w:rPr>
                <w:rFonts w:ascii="Times New Roman" w:hAnsi="Times New Roman" w:cs="Times New Roman"/>
                <w:sz w:val="16"/>
                <w:szCs w:val="16"/>
              </w:rPr>
              <w:t>289.620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E1DDF" w:rsidRPr="003C080E" w:rsidRDefault="009E1DDF" w:rsidP="00E62E19">
            <w:pPr>
              <w:jc w:val="right"/>
              <w:rPr>
                <w:rFonts w:ascii="Times New Roman" w:hAnsi="Times New Roman" w:cs="Times New Roman"/>
                <w:sz w:val="16"/>
                <w:szCs w:val="16"/>
                <w:lang w:eastAsia="lt-LT"/>
              </w:rPr>
            </w:pPr>
            <w:r w:rsidRPr="003C080E">
              <w:rPr>
                <w:rFonts w:ascii="Times New Roman" w:hAnsi="Times New Roman" w:cs="Times New Roman"/>
                <w:sz w:val="16"/>
                <w:szCs w:val="16"/>
                <w:lang w:eastAsia="lt-LT"/>
              </w:rPr>
              <w:t>245.351.171</w:t>
            </w:r>
          </w:p>
        </w:tc>
        <w:tc>
          <w:tcPr>
            <w:tcW w:w="680"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E62E19">
            <w:pPr>
              <w:jc w:val="right"/>
              <w:rPr>
                <w:rFonts w:ascii="Times New Roman" w:hAnsi="Times New Roman" w:cs="Times New Roman"/>
                <w:sz w:val="16"/>
                <w:szCs w:val="16"/>
                <w:lang w:eastAsia="lt-LT"/>
              </w:rPr>
            </w:pPr>
            <w:r w:rsidRPr="003C080E">
              <w:rPr>
                <w:rFonts w:ascii="Times New Roman" w:hAnsi="Times New Roman" w:cs="Times New Roman"/>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E62E19">
            <w:pPr>
              <w:jc w:val="right"/>
              <w:rPr>
                <w:rFonts w:ascii="Times New Roman" w:hAnsi="Times New Roman" w:cs="Times New Roman"/>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E62E19">
            <w:pPr>
              <w:jc w:val="right"/>
              <w:rPr>
                <w:rFonts w:ascii="Times New Roman" w:hAnsi="Times New Roman" w:cs="Times New Roman"/>
                <w:sz w:val="16"/>
                <w:szCs w:val="16"/>
                <w:lang w:eastAsia="lt-LT"/>
              </w:rPr>
            </w:pPr>
            <w:r w:rsidRPr="003C080E">
              <w:rPr>
                <w:rFonts w:ascii="Times New Roman" w:hAnsi="Times New Roman" w:cs="Times New Roman"/>
                <w:sz w:val="16"/>
                <w:szCs w:val="16"/>
                <w:lang w:eastAsia="lt-LT"/>
              </w:rPr>
              <w:t>196.035.585</w:t>
            </w:r>
          </w:p>
        </w:tc>
        <w:tc>
          <w:tcPr>
            <w:tcW w:w="1276"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E62E19">
            <w:pPr>
              <w:jc w:val="right"/>
              <w:rPr>
                <w:rFonts w:ascii="Times New Roman" w:hAnsi="Times New Roman" w:cs="Times New Roman"/>
                <w:sz w:val="16"/>
                <w:szCs w:val="16"/>
                <w:lang w:eastAsia="lt-LT"/>
              </w:rPr>
            </w:pPr>
            <w:r w:rsidRPr="003C080E">
              <w:rPr>
                <w:rFonts w:ascii="Times New Roman" w:hAnsi="Times New Roman" w:cs="Times New Roman"/>
                <w:sz w:val="16"/>
                <w:szCs w:val="16"/>
                <w:lang w:eastAsia="lt-LT"/>
              </w:rPr>
              <w:t>34.594.515</w:t>
            </w:r>
          </w:p>
        </w:tc>
        <w:tc>
          <w:tcPr>
            <w:tcW w:w="1134"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E62E19">
            <w:pPr>
              <w:jc w:val="right"/>
              <w:rPr>
                <w:rFonts w:ascii="Times New Roman" w:hAnsi="Times New Roman" w:cs="Times New Roman"/>
                <w:sz w:val="16"/>
                <w:szCs w:val="16"/>
                <w:lang w:eastAsia="lt-LT"/>
              </w:rPr>
            </w:pPr>
            <w:r w:rsidRPr="003C080E">
              <w:rPr>
                <w:rFonts w:ascii="Times New Roman" w:hAnsi="Times New Roman" w:cs="Times New Roman"/>
                <w:sz w:val="16"/>
                <w:szCs w:val="16"/>
                <w:lang w:eastAsia="lt-LT"/>
              </w:rPr>
              <w:t>12.512.910</w:t>
            </w:r>
          </w:p>
        </w:tc>
        <w:tc>
          <w:tcPr>
            <w:tcW w:w="1105" w:type="dxa"/>
            <w:tcBorders>
              <w:top w:val="nil"/>
              <w:left w:val="nil"/>
              <w:bottom w:val="single" w:sz="4" w:space="0" w:color="auto"/>
              <w:right w:val="single" w:sz="4" w:space="0" w:color="auto"/>
            </w:tcBorders>
            <w:shd w:val="clear" w:color="auto" w:fill="auto"/>
            <w:vAlign w:val="center"/>
            <w:hideMark/>
          </w:tcPr>
          <w:p w:rsidR="009E1DDF" w:rsidRPr="00B5224B" w:rsidRDefault="009E1DDF" w:rsidP="00E62E19">
            <w:pPr>
              <w:jc w:val="right"/>
              <w:rPr>
                <w:rFonts w:ascii="Times New Roman" w:hAnsi="Times New Roman" w:cs="Times New Roman"/>
                <w:sz w:val="16"/>
                <w:szCs w:val="16"/>
                <w:lang w:eastAsia="lt-LT"/>
              </w:rPr>
            </w:pPr>
            <w:r w:rsidRPr="00B5224B">
              <w:rPr>
                <w:rFonts w:ascii="Times New Roman" w:hAnsi="Times New Roman" w:cs="Times New Roman"/>
                <w:sz w:val="16"/>
                <w:szCs w:val="16"/>
                <w:lang w:eastAsia="lt-LT"/>
              </w:rPr>
              <w:t>2.208.161</w:t>
            </w:r>
          </w:p>
        </w:tc>
        <w:tc>
          <w:tcPr>
            <w:tcW w:w="567"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6,00</w:t>
            </w:r>
          </w:p>
        </w:tc>
      </w:tr>
      <w:tr w:rsidR="009E1DDF" w:rsidRPr="00697AD2" w:rsidTr="0051277F">
        <w:trPr>
          <w:trHeight w:val="510"/>
        </w:trPr>
        <w:tc>
          <w:tcPr>
            <w:tcW w:w="992" w:type="dxa"/>
            <w:vMerge/>
            <w:tcBorders>
              <w:top w:val="nil"/>
              <w:left w:val="single" w:sz="4" w:space="0" w:color="auto"/>
              <w:bottom w:val="single" w:sz="4" w:space="0" w:color="000000"/>
              <w:right w:val="single" w:sz="4" w:space="0" w:color="auto"/>
            </w:tcBorders>
            <w:vAlign w:val="center"/>
            <w:hideMark/>
          </w:tcPr>
          <w:p w:rsidR="009E1DDF" w:rsidRPr="00697AD2" w:rsidRDefault="009E1DDF" w:rsidP="009E1DDF">
            <w:pPr>
              <w:rPr>
                <w:rFonts w:ascii="Times New Roman" w:hAnsi="Times New Roman" w:cs="Times New Roman"/>
                <w:i/>
                <w:iCs/>
                <w:color w:val="000000"/>
                <w:sz w:val="16"/>
                <w:szCs w:val="16"/>
                <w:lang w:eastAsia="lt-LT"/>
              </w:rPr>
            </w:pP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ESF</w:t>
            </w:r>
          </w:p>
        </w:tc>
        <w:tc>
          <w:tcPr>
            <w:tcW w:w="96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Bendros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3959EA" w:rsidRPr="00C5039F" w:rsidRDefault="000C7EA5" w:rsidP="00E62E19">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453.182.</w:t>
            </w:r>
            <w:r w:rsidR="003959EA" w:rsidRPr="00C5039F">
              <w:rPr>
                <w:rFonts w:ascii="Times New Roman" w:hAnsi="Times New Roman" w:cs="Times New Roman"/>
                <w:color w:val="000000"/>
                <w:sz w:val="16"/>
                <w:szCs w:val="16"/>
                <w:lang w:eastAsia="lt-LT"/>
              </w:rPr>
              <w:t>085</w:t>
            </w:r>
          </w:p>
        </w:tc>
        <w:tc>
          <w:tcPr>
            <w:tcW w:w="1247" w:type="dxa"/>
            <w:tcBorders>
              <w:top w:val="nil"/>
              <w:left w:val="nil"/>
              <w:bottom w:val="single" w:sz="4" w:space="0" w:color="auto"/>
              <w:right w:val="single" w:sz="4" w:space="0" w:color="auto"/>
            </w:tcBorders>
            <w:shd w:val="clear" w:color="auto" w:fill="auto"/>
            <w:vAlign w:val="center"/>
            <w:hideMark/>
          </w:tcPr>
          <w:p w:rsidR="003959EA" w:rsidRPr="00C5039F" w:rsidRDefault="000C7EA5" w:rsidP="000E7695">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79.973.</w:t>
            </w:r>
            <w:r w:rsidR="003959EA" w:rsidRPr="00C5039F">
              <w:rPr>
                <w:rFonts w:ascii="Times New Roman" w:hAnsi="Times New Roman" w:cs="Times New Roman"/>
                <w:color w:val="000000"/>
                <w:sz w:val="16"/>
                <w:szCs w:val="16"/>
                <w:lang w:eastAsia="lt-LT"/>
              </w:rPr>
              <w:t>310</w:t>
            </w:r>
          </w:p>
        </w:tc>
        <w:tc>
          <w:tcPr>
            <w:tcW w:w="1134" w:type="dxa"/>
            <w:tcBorders>
              <w:top w:val="single" w:sz="4" w:space="0" w:color="auto"/>
              <w:left w:val="nil"/>
              <w:bottom w:val="single" w:sz="4" w:space="0" w:color="auto"/>
              <w:right w:val="single" w:sz="4" w:space="0" w:color="auto"/>
            </w:tcBorders>
            <w:vAlign w:val="center"/>
          </w:tcPr>
          <w:p w:rsidR="009E1DDF" w:rsidRPr="00C5039F" w:rsidRDefault="000C7EA5" w:rsidP="000E7695">
            <w:pPr>
              <w:jc w:val="right"/>
              <w:rPr>
                <w:rFonts w:ascii="Times New Roman" w:hAnsi="Times New Roman" w:cs="Times New Roman"/>
                <w:sz w:val="16"/>
                <w:szCs w:val="16"/>
              </w:rPr>
            </w:pPr>
            <w:r w:rsidRPr="00C5039F">
              <w:rPr>
                <w:rFonts w:ascii="Times New Roman" w:hAnsi="Times New Roman" w:cs="Times New Roman"/>
                <w:sz w:val="16"/>
                <w:szCs w:val="16"/>
              </w:rPr>
              <w:t>28.970.</w:t>
            </w:r>
            <w:r w:rsidR="003959EA" w:rsidRPr="00C5039F">
              <w:rPr>
                <w:rFonts w:ascii="Times New Roman" w:hAnsi="Times New Roman" w:cs="Times New Roman"/>
                <w:sz w:val="16"/>
                <w:szCs w:val="16"/>
              </w:rPr>
              <w:t>981</w:t>
            </w:r>
            <w:r w:rsidR="00A30A90" w:rsidRPr="00C5039F">
              <w:rPr>
                <w:rFonts w:ascii="Times New Roman" w:hAnsi="Times New Roman" w:cs="Times New Roman"/>
                <w:sz w:val="16"/>
                <w:szCs w:val="16"/>
              </w:rPr>
              <w:t xml:space="preserve"> </w:t>
            </w:r>
          </w:p>
        </w:tc>
        <w:tc>
          <w:tcPr>
            <w:tcW w:w="1021" w:type="dxa"/>
            <w:tcBorders>
              <w:top w:val="single" w:sz="4" w:space="0" w:color="auto"/>
              <w:left w:val="single" w:sz="4" w:space="0" w:color="auto"/>
              <w:bottom w:val="single" w:sz="4" w:space="0" w:color="auto"/>
              <w:right w:val="single" w:sz="4" w:space="0" w:color="auto"/>
            </w:tcBorders>
            <w:vAlign w:val="center"/>
          </w:tcPr>
          <w:p w:rsidR="003959EA" w:rsidRPr="00C5039F" w:rsidRDefault="000C7EA5" w:rsidP="000E7695">
            <w:pPr>
              <w:jc w:val="right"/>
              <w:rPr>
                <w:rFonts w:ascii="Times New Roman" w:hAnsi="Times New Roman" w:cs="Times New Roman"/>
                <w:sz w:val="16"/>
                <w:szCs w:val="16"/>
              </w:rPr>
            </w:pPr>
            <w:r w:rsidRPr="00C5039F">
              <w:rPr>
                <w:rFonts w:ascii="Times New Roman" w:hAnsi="Times New Roman" w:cs="Times New Roman"/>
                <w:sz w:val="16"/>
                <w:szCs w:val="16"/>
              </w:rPr>
              <w:t>51.002.</w:t>
            </w:r>
            <w:r w:rsidR="003959EA" w:rsidRPr="00C5039F">
              <w:rPr>
                <w:rFonts w:ascii="Times New Roman" w:hAnsi="Times New Roman" w:cs="Times New Roman"/>
                <w:sz w:val="16"/>
                <w:szCs w:val="16"/>
              </w:rPr>
              <w:t>329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959EA" w:rsidRPr="00C5039F" w:rsidRDefault="000C7EA5" w:rsidP="00E62E19">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533.155.</w:t>
            </w:r>
            <w:r w:rsidR="003959EA" w:rsidRPr="00C5039F">
              <w:rPr>
                <w:rFonts w:ascii="Times New Roman" w:hAnsi="Times New Roman" w:cs="Times New Roman"/>
                <w:color w:val="000000"/>
                <w:sz w:val="16"/>
                <w:szCs w:val="16"/>
                <w:lang w:eastAsia="lt-LT"/>
              </w:rPr>
              <w:t>395</w:t>
            </w:r>
          </w:p>
        </w:tc>
        <w:tc>
          <w:tcPr>
            <w:tcW w:w="680"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color w:val="000000"/>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0E7695">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425.393.605</w:t>
            </w:r>
          </w:p>
        </w:tc>
        <w:tc>
          <w:tcPr>
            <w:tcW w:w="1276"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E62E19">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75.069.461</w:t>
            </w:r>
          </w:p>
        </w:tc>
        <w:tc>
          <w:tcPr>
            <w:tcW w:w="1134"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E62E19">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27.788.480</w:t>
            </w:r>
          </w:p>
        </w:tc>
        <w:tc>
          <w:tcPr>
            <w:tcW w:w="1105"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E62E19">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4.903.849</w:t>
            </w:r>
          </w:p>
        </w:tc>
        <w:tc>
          <w:tcPr>
            <w:tcW w:w="567" w:type="dxa"/>
            <w:tcBorders>
              <w:top w:val="nil"/>
              <w:left w:val="nil"/>
              <w:bottom w:val="single" w:sz="4" w:space="0" w:color="auto"/>
              <w:right w:val="single" w:sz="4" w:space="0" w:color="auto"/>
            </w:tcBorders>
            <w:shd w:val="clear" w:color="auto" w:fill="auto"/>
            <w:vAlign w:val="center"/>
            <w:hideMark/>
          </w:tcPr>
          <w:p w:rsidR="009E1DDF" w:rsidRPr="000E7695" w:rsidRDefault="009E1DDF" w:rsidP="00E62E19">
            <w:pPr>
              <w:jc w:val="right"/>
              <w:rPr>
                <w:rFonts w:ascii="Times New Roman" w:hAnsi="Times New Roman" w:cs="Times New Roman"/>
                <w:color w:val="000000"/>
                <w:sz w:val="16"/>
                <w:szCs w:val="16"/>
                <w:lang w:eastAsia="lt-LT"/>
              </w:rPr>
            </w:pPr>
            <w:r w:rsidRPr="000E7695">
              <w:rPr>
                <w:rFonts w:ascii="Times New Roman" w:hAnsi="Times New Roman" w:cs="Times New Roman"/>
                <w:color w:val="000000"/>
                <w:sz w:val="16"/>
                <w:szCs w:val="16"/>
                <w:lang w:eastAsia="lt-LT"/>
              </w:rPr>
              <w:t>6,14</w:t>
            </w:r>
          </w:p>
        </w:tc>
      </w:tr>
      <w:tr w:rsidR="009E1DDF" w:rsidRPr="00697AD2" w:rsidTr="0051277F">
        <w:trPr>
          <w:trHeight w:val="229"/>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9E1DDF" w:rsidRPr="00697AD2" w:rsidRDefault="009E1DDF" w:rsidP="009E1DDF">
            <w:pPr>
              <w:widowControl w:val="0"/>
              <w:tabs>
                <w:tab w:val="left" w:pos="622"/>
              </w:tabs>
              <w:rPr>
                <w:rFonts w:ascii="Times New Roman" w:eastAsia="AngsanaUPC" w:hAnsi="Times New Roman" w:cs="Times New Roman"/>
                <w:bCs/>
                <w:sz w:val="16"/>
                <w:szCs w:val="16"/>
                <w:lang w:eastAsia="lt-LT"/>
              </w:rPr>
            </w:pPr>
            <w:r w:rsidRPr="00697AD2">
              <w:rPr>
                <w:rFonts w:ascii="Times New Roman" w:eastAsia="AngsanaUPC" w:hAnsi="Times New Roman" w:cs="Times New Roman"/>
                <w:bCs/>
                <w:sz w:val="16"/>
                <w:szCs w:val="16"/>
                <w:lang w:eastAsia="lt-LT"/>
              </w:rPr>
              <w:t>10. Visuomenės poreikius atitinkantis ir pažangus viešasis valdymas</w:t>
            </w: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ESF</w:t>
            </w:r>
          </w:p>
        </w:tc>
        <w:tc>
          <w:tcPr>
            <w:tcW w:w="96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Viešosios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3959EA" w:rsidRPr="00C5039F" w:rsidRDefault="000C7EA5" w:rsidP="000E7695">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107.459.</w:t>
            </w:r>
            <w:r w:rsidR="003959EA" w:rsidRPr="00C5039F">
              <w:rPr>
                <w:rFonts w:ascii="Times New Roman" w:hAnsi="Times New Roman" w:cs="Times New Roman"/>
                <w:color w:val="000000"/>
                <w:sz w:val="16"/>
                <w:szCs w:val="16"/>
                <w:lang w:eastAsia="lt-LT"/>
              </w:rPr>
              <w:t>184</w:t>
            </w:r>
          </w:p>
        </w:tc>
        <w:tc>
          <w:tcPr>
            <w:tcW w:w="1247" w:type="dxa"/>
            <w:tcBorders>
              <w:top w:val="nil"/>
              <w:left w:val="nil"/>
              <w:bottom w:val="single" w:sz="4" w:space="0" w:color="auto"/>
              <w:right w:val="single" w:sz="4" w:space="0" w:color="auto"/>
            </w:tcBorders>
            <w:shd w:val="clear" w:color="auto" w:fill="auto"/>
            <w:vAlign w:val="center"/>
            <w:hideMark/>
          </w:tcPr>
          <w:p w:rsidR="003959EA" w:rsidRPr="00C5039F" w:rsidRDefault="000C7EA5" w:rsidP="000E7695">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18.963.</w:t>
            </w:r>
            <w:r w:rsidR="003959EA" w:rsidRPr="00C5039F">
              <w:rPr>
                <w:rFonts w:ascii="Times New Roman" w:hAnsi="Times New Roman" w:cs="Times New Roman"/>
                <w:color w:val="000000"/>
                <w:sz w:val="16"/>
                <w:szCs w:val="16"/>
                <w:lang w:eastAsia="lt-LT"/>
              </w:rPr>
              <w:t>386</w:t>
            </w:r>
          </w:p>
        </w:tc>
        <w:tc>
          <w:tcPr>
            <w:tcW w:w="1134" w:type="dxa"/>
            <w:tcBorders>
              <w:top w:val="single" w:sz="4" w:space="0" w:color="auto"/>
              <w:left w:val="nil"/>
              <w:bottom w:val="single" w:sz="4" w:space="0" w:color="auto"/>
              <w:right w:val="single" w:sz="4" w:space="0" w:color="auto"/>
            </w:tcBorders>
            <w:vAlign w:val="center"/>
          </w:tcPr>
          <w:p w:rsidR="003959EA" w:rsidRPr="00C5039F" w:rsidRDefault="000C7EA5" w:rsidP="000E7695">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18.963.</w:t>
            </w:r>
            <w:r w:rsidR="003959EA" w:rsidRPr="00C5039F">
              <w:rPr>
                <w:rFonts w:ascii="Times New Roman" w:hAnsi="Times New Roman" w:cs="Times New Roman"/>
                <w:color w:val="000000"/>
                <w:sz w:val="16"/>
                <w:szCs w:val="16"/>
                <w:lang w:eastAsia="lt-LT"/>
              </w:rPr>
              <w:t>386</w:t>
            </w:r>
          </w:p>
        </w:tc>
        <w:tc>
          <w:tcPr>
            <w:tcW w:w="1021" w:type="dxa"/>
            <w:tcBorders>
              <w:top w:val="single" w:sz="4" w:space="0" w:color="auto"/>
              <w:left w:val="single" w:sz="4" w:space="0" w:color="auto"/>
              <w:bottom w:val="single" w:sz="4" w:space="0" w:color="auto"/>
              <w:right w:val="single" w:sz="4" w:space="0" w:color="auto"/>
            </w:tcBorders>
            <w:vAlign w:val="center"/>
          </w:tcPr>
          <w:p w:rsidR="009E1DDF" w:rsidRPr="00C5039F" w:rsidRDefault="009E1DDF" w:rsidP="00E62E19">
            <w:pPr>
              <w:jc w:val="right"/>
              <w:rPr>
                <w:rFonts w:ascii="Times New Roman" w:hAnsi="Times New Roman" w:cs="Times New Roman"/>
                <w:sz w:val="16"/>
                <w:szCs w:val="16"/>
              </w:rPr>
            </w:pPr>
            <w:r w:rsidRPr="00C5039F">
              <w:rPr>
                <w:rFonts w:ascii="Times New Roman" w:hAnsi="Times New Roman" w:cs="Times New Roman"/>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959EA" w:rsidRPr="00C5039F" w:rsidRDefault="000C7EA5" w:rsidP="000E7695">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126.422.</w:t>
            </w:r>
            <w:r w:rsidR="003959EA" w:rsidRPr="00C5039F">
              <w:rPr>
                <w:rFonts w:ascii="Times New Roman" w:hAnsi="Times New Roman" w:cs="Times New Roman"/>
                <w:color w:val="000000"/>
                <w:sz w:val="16"/>
                <w:szCs w:val="16"/>
                <w:lang w:eastAsia="lt-LT"/>
              </w:rPr>
              <w:t>570</w:t>
            </w:r>
          </w:p>
        </w:tc>
        <w:tc>
          <w:tcPr>
            <w:tcW w:w="680"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85,0</w:t>
            </w:r>
          </w:p>
        </w:tc>
        <w:tc>
          <w:tcPr>
            <w:tcW w:w="425" w:type="dxa"/>
            <w:tcBorders>
              <w:top w:val="nil"/>
              <w:left w:val="nil"/>
              <w:bottom w:val="single" w:sz="4" w:space="0" w:color="auto"/>
              <w:right w:val="single" w:sz="4" w:space="0" w:color="auto"/>
            </w:tcBorders>
            <w:shd w:val="clear" w:color="auto" w:fill="auto"/>
            <w:vAlign w:val="center"/>
            <w:hideMark/>
          </w:tcPr>
          <w:p w:rsidR="009E1DDF" w:rsidRPr="00C5039F" w:rsidRDefault="009E1DDF" w:rsidP="00E62E19">
            <w:pPr>
              <w:jc w:val="right"/>
              <w:rPr>
                <w:rFonts w:ascii="Times New Roman" w:hAnsi="Times New Roman" w:cs="Times New Roman"/>
                <w:color w:val="000000"/>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0E7695">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100.869.940</w:t>
            </w:r>
          </w:p>
        </w:tc>
        <w:tc>
          <w:tcPr>
            <w:tcW w:w="1276"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0E7695">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17.800.578</w:t>
            </w:r>
          </w:p>
        </w:tc>
        <w:tc>
          <w:tcPr>
            <w:tcW w:w="1134"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0E7695">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6.589.244</w:t>
            </w:r>
          </w:p>
        </w:tc>
        <w:tc>
          <w:tcPr>
            <w:tcW w:w="1105" w:type="dxa"/>
            <w:tcBorders>
              <w:top w:val="nil"/>
              <w:left w:val="nil"/>
              <w:bottom w:val="single" w:sz="4" w:space="0" w:color="auto"/>
              <w:right w:val="single" w:sz="4" w:space="0" w:color="auto"/>
            </w:tcBorders>
            <w:shd w:val="clear" w:color="auto" w:fill="auto"/>
            <w:vAlign w:val="center"/>
            <w:hideMark/>
          </w:tcPr>
          <w:p w:rsidR="003959EA" w:rsidRPr="00C5039F" w:rsidRDefault="00377149" w:rsidP="000E7695">
            <w:pPr>
              <w:jc w:val="right"/>
              <w:rPr>
                <w:rFonts w:ascii="Times New Roman" w:hAnsi="Times New Roman" w:cs="Times New Roman"/>
                <w:color w:val="000000"/>
                <w:sz w:val="16"/>
                <w:szCs w:val="16"/>
                <w:lang w:eastAsia="lt-LT"/>
              </w:rPr>
            </w:pPr>
            <w:r w:rsidRPr="00C5039F">
              <w:rPr>
                <w:rFonts w:ascii="Times New Roman" w:hAnsi="Times New Roman" w:cs="Times New Roman"/>
                <w:color w:val="000000"/>
                <w:sz w:val="16"/>
                <w:szCs w:val="16"/>
                <w:lang w:eastAsia="lt-LT"/>
              </w:rPr>
              <w:t>1.162.808</w:t>
            </w:r>
          </w:p>
        </w:tc>
        <w:tc>
          <w:tcPr>
            <w:tcW w:w="567" w:type="dxa"/>
            <w:tcBorders>
              <w:top w:val="nil"/>
              <w:left w:val="nil"/>
              <w:bottom w:val="single" w:sz="4" w:space="0" w:color="auto"/>
              <w:right w:val="single" w:sz="4" w:space="0" w:color="auto"/>
            </w:tcBorders>
            <w:shd w:val="clear" w:color="auto" w:fill="auto"/>
            <w:vAlign w:val="center"/>
            <w:hideMark/>
          </w:tcPr>
          <w:p w:rsidR="009E1DDF" w:rsidRPr="000E7695" w:rsidRDefault="009E1DDF" w:rsidP="00E62E19">
            <w:pPr>
              <w:jc w:val="right"/>
              <w:rPr>
                <w:rFonts w:ascii="Times New Roman" w:hAnsi="Times New Roman" w:cs="Times New Roman"/>
                <w:color w:val="000000"/>
                <w:sz w:val="16"/>
                <w:szCs w:val="16"/>
                <w:lang w:eastAsia="lt-LT"/>
              </w:rPr>
            </w:pPr>
            <w:r w:rsidRPr="000E7695">
              <w:rPr>
                <w:rFonts w:ascii="Times New Roman" w:hAnsi="Times New Roman" w:cs="Times New Roman"/>
                <w:color w:val="000000"/>
                <w:sz w:val="16"/>
                <w:szCs w:val="16"/>
                <w:lang w:eastAsia="lt-LT"/>
              </w:rPr>
              <w:t>6,14</w:t>
            </w:r>
          </w:p>
        </w:tc>
      </w:tr>
      <w:tr w:rsidR="009E1DDF" w:rsidRPr="00697AD2" w:rsidTr="0051277F">
        <w:trPr>
          <w:trHeight w:val="510"/>
        </w:trPr>
        <w:tc>
          <w:tcPr>
            <w:tcW w:w="992" w:type="dxa"/>
            <w:tcBorders>
              <w:top w:val="nil"/>
              <w:left w:val="single" w:sz="4" w:space="0" w:color="auto"/>
              <w:bottom w:val="single" w:sz="4" w:space="0" w:color="auto"/>
              <w:right w:val="single" w:sz="4" w:space="0" w:color="auto"/>
            </w:tcBorders>
            <w:shd w:val="clear" w:color="auto" w:fill="auto"/>
            <w:hideMark/>
          </w:tcPr>
          <w:p w:rsidR="009E1DDF" w:rsidRPr="00697AD2" w:rsidRDefault="009E1DDF" w:rsidP="009E1DDF">
            <w:pPr>
              <w:widowControl w:val="0"/>
              <w:tabs>
                <w:tab w:val="left" w:pos="622"/>
              </w:tabs>
              <w:rPr>
                <w:rFonts w:ascii="Times New Roman" w:hAnsi="Times New Roman" w:cs="Times New Roman"/>
                <w:sz w:val="16"/>
                <w:szCs w:val="16"/>
              </w:rPr>
            </w:pPr>
            <w:r w:rsidRPr="00697AD2">
              <w:rPr>
                <w:rFonts w:ascii="Times New Roman" w:eastAsia="AngsanaUPC" w:hAnsi="Times New Roman" w:cs="Times New Roman"/>
                <w:bCs/>
                <w:iCs/>
                <w:sz w:val="16"/>
                <w:szCs w:val="16"/>
                <w:lang w:eastAsia="lt-LT"/>
              </w:rPr>
              <w:t>11. Techninė parama veiksmų programos administravimui</w:t>
            </w: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color w:val="000000"/>
                <w:sz w:val="16"/>
                <w:szCs w:val="16"/>
                <w:lang w:eastAsia="lt-LT"/>
              </w:rPr>
            </w:pPr>
            <w:proofErr w:type="spellStart"/>
            <w:r w:rsidRPr="00697AD2">
              <w:rPr>
                <w:rFonts w:ascii="Times New Roman" w:hAnsi="Times New Roman" w:cs="Times New Roman"/>
                <w:color w:val="000000"/>
                <w:sz w:val="16"/>
                <w:szCs w:val="16"/>
                <w:lang w:eastAsia="lt-LT"/>
              </w:rPr>
              <w:t>SaF</w:t>
            </w:r>
            <w:proofErr w:type="spellEnd"/>
          </w:p>
        </w:tc>
        <w:tc>
          <w:tcPr>
            <w:tcW w:w="96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Viešosios tinkamos išlaidos</w:t>
            </w:r>
          </w:p>
        </w:tc>
        <w:tc>
          <w:tcPr>
            <w:tcW w:w="1162"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187.543.198</w:t>
            </w:r>
          </w:p>
        </w:tc>
        <w:tc>
          <w:tcPr>
            <w:tcW w:w="1247"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33.095.859</w:t>
            </w:r>
          </w:p>
        </w:tc>
        <w:tc>
          <w:tcPr>
            <w:tcW w:w="1134" w:type="dxa"/>
            <w:tcBorders>
              <w:top w:val="single" w:sz="4" w:space="0" w:color="auto"/>
              <w:left w:val="nil"/>
              <w:bottom w:val="single" w:sz="4" w:space="0" w:color="auto"/>
              <w:right w:val="single" w:sz="4" w:space="0" w:color="auto"/>
            </w:tcBorders>
            <w:vAlign w:val="center"/>
          </w:tcPr>
          <w:p w:rsidR="009E1DDF" w:rsidRPr="00697AD2" w:rsidRDefault="009E1DDF" w:rsidP="00E62E19">
            <w:pPr>
              <w:jc w:val="right"/>
              <w:rPr>
                <w:rFonts w:ascii="Times New Roman" w:hAnsi="Times New Roman" w:cs="Times New Roman"/>
                <w:sz w:val="16"/>
                <w:szCs w:val="16"/>
              </w:rPr>
            </w:pPr>
            <w:r w:rsidRPr="00697AD2">
              <w:rPr>
                <w:rFonts w:ascii="Times New Roman" w:hAnsi="Times New Roman" w:cs="Times New Roman"/>
                <w:sz w:val="16"/>
                <w:szCs w:val="16"/>
              </w:rPr>
              <w:t>33.095.859</w:t>
            </w:r>
          </w:p>
        </w:tc>
        <w:tc>
          <w:tcPr>
            <w:tcW w:w="1021" w:type="dxa"/>
            <w:tcBorders>
              <w:top w:val="single" w:sz="4" w:space="0" w:color="auto"/>
              <w:left w:val="single" w:sz="4" w:space="0" w:color="auto"/>
              <w:bottom w:val="single" w:sz="4" w:space="0" w:color="auto"/>
              <w:right w:val="single" w:sz="4" w:space="0" w:color="auto"/>
            </w:tcBorders>
            <w:vAlign w:val="center"/>
          </w:tcPr>
          <w:p w:rsidR="009E1DDF" w:rsidRPr="00697AD2" w:rsidRDefault="009E1DDF" w:rsidP="00E62E19">
            <w:pPr>
              <w:jc w:val="right"/>
              <w:rPr>
                <w:rFonts w:ascii="Times New Roman" w:hAnsi="Times New Roman" w:cs="Times New Roman"/>
                <w:sz w:val="16"/>
                <w:szCs w:val="16"/>
              </w:rPr>
            </w:pPr>
            <w:r w:rsidRPr="00697AD2">
              <w:rPr>
                <w:rFonts w:ascii="Times New Roman" w:hAnsi="Times New Roman" w:cs="Times New Roman"/>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220.639.057</w:t>
            </w:r>
          </w:p>
        </w:tc>
        <w:tc>
          <w:tcPr>
            <w:tcW w:w="680"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187.543.198</w:t>
            </w:r>
          </w:p>
        </w:tc>
        <w:tc>
          <w:tcPr>
            <w:tcW w:w="1276"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33.095.859</w:t>
            </w:r>
          </w:p>
        </w:tc>
        <w:tc>
          <w:tcPr>
            <w:tcW w:w="113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0</w:t>
            </w:r>
          </w:p>
        </w:tc>
        <w:tc>
          <w:tcPr>
            <w:tcW w:w="1105"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0,00</w:t>
            </w:r>
          </w:p>
        </w:tc>
      </w:tr>
      <w:tr w:rsidR="009E1DDF" w:rsidRPr="00697AD2" w:rsidTr="0051277F">
        <w:trPr>
          <w:trHeight w:val="510"/>
        </w:trPr>
        <w:tc>
          <w:tcPr>
            <w:tcW w:w="992" w:type="dxa"/>
            <w:tcBorders>
              <w:top w:val="nil"/>
              <w:left w:val="single" w:sz="4" w:space="0" w:color="auto"/>
              <w:bottom w:val="single" w:sz="4" w:space="0" w:color="auto"/>
              <w:right w:val="single" w:sz="4" w:space="0" w:color="auto"/>
            </w:tcBorders>
            <w:shd w:val="clear" w:color="auto" w:fill="auto"/>
            <w:hideMark/>
          </w:tcPr>
          <w:p w:rsidR="009E1DDF" w:rsidRPr="00697AD2" w:rsidRDefault="009E1DDF" w:rsidP="009E1DDF">
            <w:pPr>
              <w:widowControl w:val="0"/>
              <w:tabs>
                <w:tab w:val="left" w:pos="622"/>
              </w:tabs>
              <w:rPr>
                <w:rFonts w:ascii="Times New Roman" w:hAnsi="Times New Roman" w:cs="Times New Roman"/>
                <w:sz w:val="16"/>
                <w:szCs w:val="16"/>
              </w:rPr>
            </w:pPr>
            <w:r w:rsidRPr="00697AD2">
              <w:rPr>
                <w:rFonts w:ascii="Times New Roman" w:eastAsia="AngsanaUPC" w:hAnsi="Times New Roman" w:cs="Times New Roman"/>
                <w:bCs/>
                <w:iCs/>
                <w:sz w:val="16"/>
                <w:szCs w:val="16"/>
                <w:lang w:eastAsia="lt-LT"/>
              </w:rPr>
              <w:t>12. Techninė parama informavimui apie veiksmų programą ir veiksmų programos vertinimui</w:t>
            </w: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ESF</w:t>
            </w:r>
          </w:p>
        </w:tc>
        <w:tc>
          <w:tcPr>
            <w:tcW w:w="964" w:type="dxa"/>
            <w:tcBorders>
              <w:top w:val="nil"/>
              <w:left w:val="nil"/>
              <w:bottom w:val="single" w:sz="4" w:space="0" w:color="auto"/>
              <w:right w:val="single" w:sz="4" w:space="0" w:color="auto"/>
            </w:tcBorders>
            <w:shd w:val="clear" w:color="auto" w:fill="auto"/>
            <w:vAlign w:val="center"/>
            <w:hideMark/>
          </w:tcPr>
          <w:p w:rsidR="009E1DDF" w:rsidRPr="000E7695" w:rsidRDefault="000E7695" w:rsidP="009E1DDF">
            <w:pPr>
              <w:rPr>
                <w:rFonts w:ascii="Times New Roman" w:hAnsi="Times New Roman" w:cs="Times New Roman"/>
                <w:sz w:val="16"/>
                <w:szCs w:val="16"/>
                <w:lang w:eastAsia="lt-LT"/>
              </w:rPr>
            </w:pPr>
            <w:r w:rsidRPr="000E7695">
              <w:rPr>
                <w:rFonts w:ascii="Times New Roman" w:hAnsi="Times New Roman" w:cs="Times New Roman"/>
                <w:sz w:val="16"/>
                <w:szCs w:val="16"/>
                <w:lang w:eastAsia="lt-LT"/>
              </w:rPr>
              <w:t>Bendros tinkamos lėšos</w:t>
            </w:r>
          </w:p>
        </w:tc>
        <w:tc>
          <w:tcPr>
            <w:tcW w:w="1162"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25.812.183</w:t>
            </w:r>
          </w:p>
        </w:tc>
        <w:tc>
          <w:tcPr>
            <w:tcW w:w="1247" w:type="dxa"/>
            <w:tcBorders>
              <w:top w:val="nil"/>
              <w:left w:val="nil"/>
              <w:bottom w:val="single" w:sz="4" w:space="0" w:color="auto"/>
              <w:right w:val="single" w:sz="4" w:space="0" w:color="auto"/>
            </w:tcBorders>
            <w:shd w:val="clear" w:color="auto" w:fill="auto"/>
            <w:vAlign w:val="center"/>
            <w:hideMark/>
          </w:tcPr>
          <w:p w:rsidR="009E1DDF" w:rsidRPr="000E7695" w:rsidRDefault="009E1DDF" w:rsidP="00E62E19">
            <w:pPr>
              <w:jc w:val="right"/>
              <w:rPr>
                <w:rFonts w:ascii="Times New Roman" w:hAnsi="Times New Roman" w:cs="Times New Roman"/>
                <w:color w:val="000000"/>
                <w:sz w:val="16"/>
                <w:szCs w:val="16"/>
                <w:lang w:eastAsia="lt-LT"/>
              </w:rPr>
            </w:pPr>
            <w:r w:rsidRPr="000E7695">
              <w:rPr>
                <w:rFonts w:ascii="Times New Roman" w:hAnsi="Times New Roman" w:cs="Times New Roman"/>
                <w:color w:val="000000"/>
                <w:sz w:val="16"/>
                <w:szCs w:val="16"/>
                <w:lang w:eastAsia="lt-LT"/>
              </w:rPr>
              <w:t>4.555.092</w:t>
            </w:r>
          </w:p>
        </w:tc>
        <w:tc>
          <w:tcPr>
            <w:tcW w:w="1134" w:type="dxa"/>
            <w:tcBorders>
              <w:top w:val="single" w:sz="4" w:space="0" w:color="auto"/>
              <w:left w:val="nil"/>
              <w:bottom w:val="single" w:sz="4" w:space="0" w:color="auto"/>
              <w:right w:val="single" w:sz="4" w:space="0" w:color="auto"/>
            </w:tcBorders>
            <w:vAlign w:val="center"/>
          </w:tcPr>
          <w:p w:rsidR="009E1DDF" w:rsidRPr="000E7695" w:rsidRDefault="009D3EC0" w:rsidP="000E7695">
            <w:pPr>
              <w:jc w:val="right"/>
              <w:rPr>
                <w:rFonts w:ascii="Times New Roman" w:hAnsi="Times New Roman" w:cs="Times New Roman"/>
                <w:sz w:val="16"/>
                <w:szCs w:val="16"/>
              </w:rPr>
            </w:pPr>
            <w:r w:rsidRPr="000E7695">
              <w:rPr>
                <w:rFonts w:ascii="Times New Roman" w:hAnsi="Times New Roman" w:cs="Times New Roman"/>
                <w:sz w:val="16"/>
                <w:szCs w:val="16"/>
              </w:rPr>
              <w:t>4.49</w:t>
            </w:r>
            <w:r w:rsidR="000E7695" w:rsidRPr="000E7695">
              <w:rPr>
                <w:rFonts w:ascii="Times New Roman" w:hAnsi="Times New Roman" w:cs="Times New Roman"/>
                <w:sz w:val="16"/>
                <w:szCs w:val="16"/>
              </w:rPr>
              <w:t>6.210</w:t>
            </w:r>
          </w:p>
        </w:tc>
        <w:tc>
          <w:tcPr>
            <w:tcW w:w="1021" w:type="dxa"/>
            <w:tcBorders>
              <w:top w:val="single" w:sz="4" w:space="0" w:color="auto"/>
              <w:left w:val="single" w:sz="4" w:space="0" w:color="auto"/>
              <w:bottom w:val="single" w:sz="4" w:space="0" w:color="auto"/>
              <w:right w:val="single" w:sz="4" w:space="0" w:color="auto"/>
            </w:tcBorders>
            <w:vAlign w:val="center"/>
          </w:tcPr>
          <w:p w:rsidR="009E1DDF" w:rsidRPr="000E7695" w:rsidRDefault="000E7695" w:rsidP="000E7695">
            <w:pPr>
              <w:jc w:val="right"/>
              <w:rPr>
                <w:rFonts w:ascii="Times New Roman" w:hAnsi="Times New Roman" w:cs="Times New Roman"/>
                <w:sz w:val="16"/>
                <w:szCs w:val="16"/>
              </w:rPr>
            </w:pPr>
            <w:r w:rsidRPr="000E7695">
              <w:rPr>
                <w:rFonts w:ascii="Times New Roman" w:hAnsi="Times New Roman" w:cs="Times New Roman"/>
                <w:sz w:val="16"/>
                <w:szCs w:val="16"/>
              </w:rPr>
              <w:t>58.882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E1DDF" w:rsidRPr="000E7695" w:rsidRDefault="009E1DDF" w:rsidP="00E62E19">
            <w:pPr>
              <w:jc w:val="right"/>
              <w:rPr>
                <w:rFonts w:ascii="Times New Roman" w:hAnsi="Times New Roman" w:cs="Times New Roman"/>
                <w:color w:val="000000"/>
                <w:sz w:val="16"/>
                <w:szCs w:val="16"/>
                <w:lang w:eastAsia="lt-LT"/>
              </w:rPr>
            </w:pPr>
            <w:r w:rsidRPr="000E7695">
              <w:rPr>
                <w:rFonts w:ascii="Times New Roman" w:hAnsi="Times New Roman" w:cs="Times New Roman"/>
                <w:color w:val="000000"/>
                <w:sz w:val="16"/>
                <w:szCs w:val="16"/>
                <w:lang w:eastAsia="lt-LT"/>
              </w:rPr>
              <w:t>30.367.275</w:t>
            </w:r>
          </w:p>
        </w:tc>
        <w:tc>
          <w:tcPr>
            <w:tcW w:w="680"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color w:val="000000"/>
                <w:sz w:val="16"/>
                <w:szCs w:val="16"/>
                <w:lang w:eastAsia="lt-LT"/>
              </w:rPr>
            </w:pPr>
            <w:r w:rsidRPr="00697AD2">
              <w:rPr>
                <w:rFonts w:ascii="Times New Roman" w:hAnsi="Times New Roman" w:cs="Times New Roman"/>
                <w:color w:val="000000"/>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sz w:val="16"/>
                <w:szCs w:val="16"/>
                <w:lang w:eastAsia="lt-LT"/>
              </w:rPr>
            </w:pPr>
            <w:r w:rsidRPr="00697AD2">
              <w:rPr>
                <w:rFonts w:ascii="Times New Roman" w:hAnsi="Times New Roman" w:cs="Times New Roman"/>
                <w:sz w:val="16"/>
                <w:szCs w:val="16"/>
                <w:lang w:eastAsia="lt-LT"/>
              </w:rPr>
              <w:t>25.812.183</w:t>
            </w:r>
          </w:p>
        </w:tc>
        <w:tc>
          <w:tcPr>
            <w:tcW w:w="1276"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sz w:val="16"/>
                <w:szCs w:val="16"/>
                <w:lang w:eastAsia="lt-LT"/>
              </w:rPr>
            </w:pPr>
            <w:r w:rsidRPr="00697AD2">
              <w:rPr>
                <w:rFonts w:ascii="Times New Roman" w:hAnsi="Times New Roman" w:cs="Times New Roman"/>
                <w:sz w:val="16"/>
                <w:szCs w:val="16"/>
                <w:lang w:eastAsia="lt-LT"/>
              </w:rPr>
              <w:t>4.555.092,00</w:t>
            </w:r>
          </w:p>
        </w:tc>
        <w:tc>
          <w:tcPr>
            <w:tcW w:w="1134"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sz w:val="16"/>
                <w:szCs w:val="16"/>
                <w:lang w:eastAsia="lt-LT"/>
              </w:rPr>
            </w:pPr>
            <w:r w:rsidRPr="00697AD2">
              <w:rPr>
                <w:rFonts w:ascii="Times New Roman" w:hAnsi="Times New Roman" w:cs="Times New Roman"/>
                <w:sz w:val="16"/>
                <w:szCs w:val="16"/>
                <w:lang w:eastAsia="lt-LT"/>
              </w:rPr>
              <w:t>0</w:t>
            </w:r>
          </w:p>
        </w:tc>
        <w:tc>
          <w:tcPr>
            <w:tcW w:w="1105"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sz w:val="16"/>
                <w:szCs w:val="16"/>
                <w:lang w:eastAsia="lt-LT"/>
              </w:rPr>
            </w:pPr>
            <w:r w:rsidRPr="00697AD2">
              <w:rPr>
                <w:rFonts w:ascii="Times New Roman" w:hAnsi="Times New Roman" w:cs="Times New Roman"/>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E62E19">
            <w:pPr>
              <w:jc w:val="right"/>
              <w:rPr>
                <w:rFonts w:ascii="Times New Roman" w:hAnsi="Times New Roman" w:cs="Times New Roman"/>
                <w:sz w:val="16"/>
                <w:szCs w:val="16"/>
                <w:lang w:eastAsia="lt-LT"/>
              </w:rPr>
            </w:pPr>
            <w:r w:rsidRPr="00697AD2">
              <w:rPr>
                <w:rFonts w:ascii="Times New Roman" w:hAnsi="Times New Roman" w:cs="Times New Roman"/>
                <w:sz w:val="16"/>
                <w:szCs w:val="16"/>
                <w:lang w:eastAsia="lt-LT"/>
              </w:rPr>
              <w:t>0,00</w:t>
            </w:r>
          </w:p>
        </w:tc>
      </w:tr>
      <w:tr w:rsidR="00186E1A" w:rsidRPr="00697AD2" w:rsidTr="0051277F">
        <w:trPr>
          <w:trHeight w:val="300"/>
        </w:trPr>
        <w:tc>
          <w:tcPr>
            <w:tcW w:w="992" w:type="dxa"/>
            <w:tcBorders>
              <w:top w:val="nil"/>
              <w:left w:val="single" w:sz="4" w:space="0" w:color="auto"/>
              <w:bottom w:val="nil"/>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 xml:space="preserve">13. Veiksmų, </w:t>
            </w:r>
            <w:r w:rsidRPr="00316C1B">
              <w:rPr>
                <w:rFonts w:ascii="Times New Roman" w:hAnsi="Times New Roman" w:cs="Times New Roman"/>
                <w:b/>
                <w:color w:val="000000"/>
                <w:sz w:val="16"/>
                <w:szCs w:val="16"/>
                <w:lang w:eastAsia="lt-LT"/>
              </w:rPr>
              <w:lastRenderedPageBreak/>
              <w:t>skirtų COVID-19 pandemijos sukeltai krizei įveikti, skatinimas ir pasirengimas aplinką tausojančiam, skaitmenin</w:t>
            </w:r>
            <w:r w:rsidR="00316C1B" w:rsidRPr="00316C1B">
              <w:rPr>
                <w:rFonts w:ascii="Times New Roman" w:hAnsi="Times New Roman" w:cs="Times New Roman"/>
                <w:b/>
                <w:color w:val="000000"/>
                <w:sz w:val="16"/>
                <w:szCs w:val="16"/>
                <w:lang w:eastAsia="lt-LT"/>
              </w:rPr>
              <w:t>t</w:t>
            </w:r>
            <w:r w:rsidRPr="00316C1B">
              <w:rPr>
                <w:rFonts w:ascii="Times New Roman" w:hAnsi="Times New Roman" w:cs="Times New Roman"/>
                <w:b/>
                <w:color w:val="000000"/>
                <w:sz w:val="16"/>
                <w:szCs w:val="16"/>
                <w:lang w:eastAsia="lt-LT"/>
              </w:rPr>
              <w:t>am ir tvariam ekonomikos augimui</w:t>
            </w:r>
          </w:p>
        </w:tc>
        <w:tc>
          <w:tcPr>
            <w:tcW w:w="738" w:type="dxa"/>
            <w:tcBorders>
              <w:top w:val="nil"/>
              <w:left w:val="nil"/>
              <w:bottom w:val="nil"/>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lastRenderedPageBreak/>
              <w:t>ERPF</w:t>
            </w:r>
          </w:p>
        </w:tc>
        <w:tc>
          <w:tcPr>
            <w:tcW w:w="964" w:type="dxa"/>
            <w:tcBorders>
              <w:top w:val="nil"/>
              <w:left w:val="nil"/>
              <w:bottom w:val="nil"/>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 xml:space="preserve">Viešosios tinkamos </w:t>
            </w:r>
            <w:r w:rsidRPr="00316C1B">
              <w:rPr>
                <w:rFonts w:ascii="Times New Roman" w:hAnsi="Times New Roman" w:cs="Times New Roman"/>
                <w:b/>
                <w:color w:val="000000"/>
                <w:sz w:val="16"/>
                <w:szCs w:val="16"/>
                <w:lang w:eastAsia="lt-LT"/>
              </w:rPr>
              <w:lastRenderedPageBreak/>
              <w:t>išlaidos</w:t>
            </w:r>
          </w:p>
        </w:tc>
        <w:tc>
          <w:tcPr>
            <w:tcW w:w="1162" w:type="dxa"/>
            <w:tcBorders>
              <w:top w:val="nil"/>
              <w:left w:val="nil"/>
              <w:bottom w:val="nil"/>
              <w:right w:val="single" w:sz="4" w:space="0" w:color="auto"/>
            </w:tcBorders>
            <w:shd w:val="clear" w:color="auto" w:fill="auto"/>
            <w:vAlign w:val="center"/>
          </w:tcPr>
          <w:p w:rsidR="00186E1A" w:rsidRPr="00316C1B" w:rsidRDefault="00613D99" w:rsidP="00316C1B">
            <w:pPr>
              <w:jc w:val="both"/>
              <w:rPr>
                <w:rFonts w:ascii="Times New Roman" w:hAnsi="Times New Roman" w:cs="Times New Roman"/>
                <w:b/>
                <w:color w:val="000000"/>
                <w:sz w:val="16"/>
                <w:szCs w:val="16"/>
                <w:lang w:eastAsia="lt-LT"/>
              </w:rPr>
            </w:pPr>
            <w:r>
              <w:rPr>
                <w:rFonts w:ascii="Times New Roman" w:hAnsi="Times New Roman" w:cs="Times New Roman"/>
                <w:b/>
                <w:color w:val="000000"/>
                <w:sz w:val="16"/>
                <w:szCs w:val="16"/>
                <w:lang w:eastAsia="lt-LT"/>
              </w:rPr>
              <w:lastRenderedPageBreak/>
              <w:t>294.000.</w:t>
            </w:r>
            <w:r w:rsidR="00186E1A" w:rsidRPr="00316C1B">
              <w:rPr>
                <w:rFonts w:ascii="Times New Roman" w:hAnsi="Times New Roman" w:cs="Times New Roman"/>
                <w:b/>
                <w:color w:val="000000"/>
                <w:sz w:val="16"/>
                <w:szCs w:val="16"/>
                <w:lang w:eastAsia="lt-LT"/>
              </w:rPr>
              <w:t>000</w:t>
            </w:r>
          </w:p>
        </w:tc>
        <w:tc>
          <w:tcPr>
            <w:tcW w:w="1247" w:type="dxa"/>
            <w:tcBorders>
              <w:top w:val="nil"/>
              <w:left w:val="nil"/>
              <w:bottom w:val="nil"/>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0</w:t>
            </w:r>
          </w:p>
        </w:tc>
        <w:tc>
          <w:tcPr>
            <w:tcW w:w="1134" w:type="dxa"/>
            <w:tcBorders>
              <w:top w:val="single" w:sz="4" w:space="0" w:color="auto"/>
              <w:left w:val="nil"/>
              <w:bottom w:val="single" w:sz="4" w:space="0" w:color="auto"/>
              <w:right w:val="single" w:sz="4" w:space="0" w:color="auto"/>
            </w:tcBorders>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0</w:t>
            </w:r>
          </w:p>
        </w:tc>
        <w:tc>
          <w:tcPr>
            <w:tcW w:w="1276" w:type="dxa"/>
            <w:tcBorders>
              <w:top w:val="nil"/>
              <w:left w:val="single" w:sz="4" w:space="0" w:color="auto"/>
              <w:bottom w:val="nil"/>
              <w:right w:val="single" w:sz="4" w:space="0" w:color="auto"/>
            </w:tcBorders>
            <w:shd w:val="clear" w:color="auto" w:fill="auto"/>
            <w:vAlign w:val="center"/>
          </w:tcPr>
          <w:p w:rsidR="00186E1A" w:rsidRPr="00316C1B" w:rsidRDefault="00613D99" w:rsidP="00316C1B">
            <w:pPr>
              <w:jc w:val="both"/>
              <w:rPr>
                <w:rFonts w:ascii="Times New Roman" w:hAnsi="Times New Roman" w:cs="Times New Roman"/>
                <w:b/>
                <w:color w:val="000000"/>
                <w:sz w:val="16"/>
                <w:szCs w:val="16"/>
                <w:lang w:eastAsia="lt-LT"/>
              </w:rPr>
            </w:pPr>
            <w:r>
              <w:rPr>
                <w:rFonts w:ascii="Times New Roman" w:hAnsi="Times New Roman" w:cs="Times New Roman"/>
                <w:b/>
                <w:color w:val="000000"/>
                <w:sz w:val="16"/>
                <w:szCs w:val="16"/>
                <w:lang w:eastAsia="lt-LT"/>
              </w:rPr>
              <w:t>294.000.</w:t>
            </w:r>
            <w:r w:rsidR="00186E1A" w:rsidRPr="00316C1B">
              <w:rPr>
                <w:rFonts w:ascii="Times New Roman" w:hAnsi="Times New Roman" w:cs="Times New Roman"/>
                <w:b/>
                <w:color w:val="000000"/>
                <w:sz w:val="16"/>
                <w:szCs w:val="16"/>
                <w:lang w:eastAsia="lt-LT"/>
              </w:rPr>
              <w:t>000</w:t>
            </w:r>
          </w:p>
        </w:tc>
        <w:tc>
          <w:tcPr>
            <w:tcW w:w="680" w:type="dxa"/>
            <w:tcBorders>
              <w:top w:val="nil"/>
              <w:left w:val="nil"/>
              <w:bottom w:val="single" w:sz="4" w:space="0" w:color="auto"/>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100</w:t>
            </w:r>
          </w:p>
        </w:tc>
        <w:tc>
          <w:tcPr>
            <w:tcW w:w="425" w:type="dxa"/>
            <w:tcBorders>
              <w:top w:val="nil"/>
              <w:left w:val="nil"/>
              <w:bottom w:val="nil"/>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 </w:t>
            </w:r>
          </w:p>
        </w:tc>
        <w:tc>
          <w:tcPr>
            <w:tcW w:w="1305" w:type="dxa"/>
            <w:tcBorders>
              <w:top w:val="nil"/>
              <w:left w:val="nil"/>
              <w:bottom w:val="single" w:sz="4" w:space="0" w:color="auto"/>
              <w:right w:val="single" w:sz="4" w:space="0" w:color="auto"/>
            </w:tcBorders>
            <w:shd w:val="clear" w:color="auto" w:fill="auto"/>
            <w:vAlign w:val="center"/>
          </w:tcPr>
          <w:p w:rsidR="00186E1A" w:rsidRPr="00316C1B" w:rsidRDefault="00613D99" w:rsidP="00316C1B">
            <w:pPr>
              <w:jc w:val="both"/>
              <w:rPr>
                <w:rFonts w:ascii="Times New Roman" w:hAnsi="Times New Roman" w:cs="Times New Roman"/>
                <w:b/>
                <w:color w:val="000000"/>
                <w:sz w:val="16"/>
                <w:szCs w:val="16"/>
                <w:lang w:eastAsia="lt-LT"/>
              </w:rPr>
            </w:pPr>
            <w:r>
              <w:rPr>
                <w:rFonts w:ascii="Times New Roman" w:hAnsi="Times New Roman" w:cs="Times New Roman"/>
                <w:b/>
                <w:color w:val="000000"/>
                <w:sz w:val="16"/>
                <w:szCs w:val="16"/>
                <w:lang w:eastAsia="lt-LT"/>
              </w:rPr>
              <w:t>276.360.</w:t>
            </w:r>
            <w:r w:rsidR="00186E1A" w:rsidRPr="00316C1B">
              <w:rPr>
                <w:rFonts w:ascii="Times New Roman" w:hAnsi="Times New Roman" w:cs="Times New Roman"/>
                <w:b/>
                <w:color w:val="000000"/>
                <w:sz w:val="16"/>
                <w:szCs w:val="16"/>
                <w:lang w:eastAsia="lt-LT"/>
              </w:rPr>
              <w:t>000</w:t>
            </w:r>
          </w:p>
        </w:tc>
        <w:tc>
          <w:tcPr>
            <w:tcW w:w="1276" w:type="dxa"/>
            <w:tcBorders>
              <w:top w:val="nil"/>
              <w:left w:val="nil"/>
              <w:bottom w:val="single" w:sz="4" w:space="0" w:color="auto"/>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tcPr>
          <w:p w:rsidR="00186E1A" w:rsidRPr="00316C1B" w:rsidRDefault="00613D99" w:rsidP="00316C1B">
            <w:pPr>
              <w:jc w:val="both"/>
              <w:rPr>
                <w:rFonts w:ascii="Times New Roman" w:hAnsi="Times New Roman" w:cs="Times New Roman"/>
                <w:b/>
                <w:color w:val="000000"/>
                <w:sz w:val="16"/>
                <w:szCs w:val="16"/>
                <w:lang w:eastAsia="lt-LT"/>
              </w:rPr>
            </w:pPr>
            <w:r>
              <w:rPr>
                <w:rFonts w:ascii="Times New Roman" w:hAnsi="Times New Roman" w:cs="Times New Roman"/>
                <w:b/>
                <w:color w:val="000000"/>
                <w:sz w:val="16"/>
                <w:szCs w:val="16"/>
                <w:lang w:eastAsia="lt-LT"/>
              </w:rPr>
              <w:t>17.640.</w:t>
            </w:r>
            <w:r w:rsidR="00186E1A" w:rsidRPr="00316C1B">
              <w:rPr>
                <w:rFonts w:ascii="Times New Roman" w:hAnsi="Times New Roman" w:cs="Times New Roman"/>
                <w:b/>
                <w:color w:val="000000"/>
                <w:sz w:val="16"/>
                <w:szCs w:val="16"/>
                <w:lang w:eastAsia="lt-LT"/>
              </w:rPr>
              <w:t>000</w:t>
            </w:r>
          </w:p>
        </w:tc>
        <w:tc>
          <w:tcPr>
            <w:tcW w:w="1105" w:type="dxa"/>
            <w:tcBorders>
              <w:top w:val="nil"/>
              <w:left w:val="nil"/>
              <w:bottom w:val="single" w:sz="4" w:space="0" w:color="auto"/>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6,00</w:t>
            </w:r>
          </w:p>
        </w:tc>
      </w:tr>
      <w:tr w:rsidR="00186E1A" w:rsidRPr="00697AD2" w:rsidTr="0051277F">
        <w:trPr>
          <w:trHeight w:val="300"/>
        </w:trPr>
        <w:tc>
          <w:tcPr>
            <w:tcW w:w="992" w:type="dxa"/>
            <w:tcBorders>
              <w:top w:val="nil"/>
              <w:left w:val="single" w:sz="4" w:space="0" w:color="auto"/>
              <w:bottom w:val="nil"/>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lastRenderedPageBreak/>
              <w:t>14. Veiksmų, skirtų COVID-19 pandemijos sukeltai krizei įveikti, skatinimas, siekiant didinti užimtumą ir socialinę įtrauktį</w:t>
            </w:r>
          </w:p>
        </w:tc>
        <w:tc>
          <w:tcPr>
            <w:tcW w:w="738" w:type="dxa"/>
            <w:tcBorders>
              <w:top w:val="nil"/>
              <w:left w:val="nil"/>
              <w:bottom w:val="nil"/>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ESF</w:t>
            </w:r>
          </w:p>
        </w:tc>
        <w:tc>
          <w:tcPr>
            <w:tcW w:w="964" w:type="dxa"/>
            <w:tcBorders>
              <w:top w:val="nil"/>
              <w:left w:val="nil"/>
              <w:bottom w:val="nil"/>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Viešosios tinkamos išlaidos</w:t>
            </w:r>
          </w:p>
        </w:tc>
        <w:tc>
          <w:tcPr>
            <w:tcW w:w="1162" w:type="dxa"/>
            <w:tcBorders>
              <w:top w:val="nil"/>
              <w:left w:val="nil"/>
              <w:bottom w:val="nil"/>
              <w:right w:val="single" w:sz="4" w:space="0" w:color="auto"/>
            </w:tcBorders>
            <w:shd w:val="clear" w:color="auto" w:fill="auto"/>
            <w:vAlign w:val="center"/>
          </w:tcPr>
          <w:p w:rsidR="00186E1A" w:rsidRPr="00316C1B" w:rsidRDefault="00613D99" w:rsidP="00316C1B">
            <w:pPr>
              <w:jc w:val="both"/>
              <w:rPr>
                <w:rFonts w:ascii="Times New Roman" w:hAnsi="Times New Roman" w:cs="Times New Roman"/>
                <w:b/>
                <w:color w:val="000000"/>
                <w:sz w:val="16"/>
                <w:szCs w:val="16"/>
                <w:lang w:eastAsia="lt-LT"/>
              </w:rPr>
            </w:pPr>
            <w:r>
              <w:rPr>
                <w:rFonts w:ascii="Times New Roman" w:hAnsi="Times New Roman" w:cs="Times New Roman"/>
                <w:b/>
                <w:color w:val="000000"/>
                <w:sz w:val="16"/>
                <w:szCs w:val="16"/>
                <w:lang w:eastAsia="lt-LT"/>
              </w:rPr>
              <w:t>46.000.</w:t>
            </w:r>
            <w:r w:rsidR="00186E1A" w:rsidRPr="00316C1B">
              <w:rPr>
                <w:rFonts w:ascii="Times New Roman" w:hAnsi="Times New Roman" w:cs="Times New Roman"/>
                <w:b/>
                <w:color w:val="000000"/>
                <w:sz w:val="16"/>
                <w:szCs w:val="16"/>
                <w:lang w:eastAsia="lt-LT"/>
              </w:rPr>
              <w:t>000</w:t>
            </w:r>
          </w:p>
        </w:tc>
        <w:tc>
          <w:tcPr>
            <w:tcW w:w="1247" w:type="dxa"/>
            <w:tcBorders>
              <w:top w:val="nil"/>
              <w:left w:val="nil"/>
              <w:bottom w:val="nil"/>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0</w:t>
            </w:r>
          </w:p>
        </w:tc>
        <w:tc>
          <w:tcPr>
            <w:tcW w:w="1134" w:type="dxa"/>
            <w:tcBorders>
              <w:top w:val="single" w:sz="4" w:space="0" w:color="auto"/>
              <w:left w:val="nil"/>
              <w:bottom w:val="single" w:sz="4" w:space="0" w:color="auto"/>
              <w:right w:val="single" w:sz="4" w:space="0" w:color="auto"/>
            </w:tcBorders>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0</w:t>
            </w:r>
          </w:p>
        </w:tc>
        <w:tc>
          <w:tcPr>
            <w:tcW w:w="1276" w:type="dxa"/>
            <w:tcBorders>
              <w:top w:val="nil"/>
              <w:left w:val="single" w:sz="4" w:space="0" w:color="auto"/>
              <w:bottom w:val="nil"/>
              <w:right w:val="single" w:sz="4" w:space="0" w:color="auto"/>
            </w:tcBorders>
            <w:shd w:val="clear" w:color="auto" w:fill="auto"/>
            <w:vAlign w:val="center"/>
          </w:tcPr>
          <w:p w:rsidR="00186E1A" w:rsidRPr="00316C1B" w:rsidRDefault="00613D99" w:rsidP="00316C1B">
            <w:pPr>
              <w:jc w:val="both"/>
              <w:rPr>
                <w:rFonts w:ascii="Times New Roman" w:hAnsi="Times New Roman" w:cs="Times New Roman"/>
                <w:b/>
                <w:color w:val="000000"/>
                <w:sz w:val="16"/>
                <w:szCs w:val="16"/>
                <w:lang w:eastAsia="lt-LT"/>
              </w:rPr>
            </w:pPr>
            <w:r>
              <w:rPr>
                <w:rFonts w:ascii="Times New Roman" w:hAnsi="Times New Roman" w:cs="Times New Roman"/>
                <w:b/>
                <w:color w:val="000000"/>
                <w:sz w:val="16"/>
                <w:szCs w:val="16"/>
                <w:lang w:eastAsia="lt-LT"/>
              </w:rPr>
              <w:t>46.000.</w:t>
            </w:r>
            <w:r w:rsidR="00186E1A" w:rsidRPr="00316C1B">
              <w:rPr>
                <w:rFonts w:ascii="Times New Roman" w:hAnsi="Times New Roman" w:cs="Times New Roman"/>
                <w:b/>
                <w:color w:val="000000"/>
                <w:sz w:val="16"/>
                <w:szCs w:val="16"/>
                <w:lang w:eastAsia="lt-LT"/>
              </w:rPr>
              <w:t>000</w:t>
            </w:r>
          </w:p>
        </w:tc>
        <w:tc>
          <w:tcPr>
            <w:tcW w:w="680" w:type="dxa"/>
            <w:tcBorders>
              <w:top w:val="nil"/>
              <w:left w:val="nil"/>
              <w:bottom w:val="single" w:sz="4" w:space="0" w:color="auto"/>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100</w:t>
            </w:r>
          </w:p>
        </w:tc>
        <w:tc>
          <w:tcPr>
            <w:tcW w:w="425" w:type="dxa"/>
            <w:tcBorders>
              <w:top w:val="nil"/>
              <w:left w:val="nil"/>
              <w:bottom w:val="nil"/>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 </w:t>
            </w:r>
          </w:p>
        </w:tc>
        <w:tc>
          <w:tcPr>
            <w:tcW w:w="1305" w:type="dxa"/>
            <w:tcBorders>
              <w:top w:val="nil"/>
              <w:left w:val="nil"/>
              <w:bottom w:val="single" w:sz="4" w:space="0" w:color="auto"/>
              <w:right w:val="single" w:sz="4" w:space="0" w:color="auto"/>
            </w:tcBorders>
            <w:shd w:val="clear" w:color="auto" w:fill="auto"/>
            <w:vAlign w:val="center"/>
          </w:tcPr>
          <w:p w:rsidR="00186E1A" w:rsidRPr="00316C1B" w:rsidRDefault="00613D99" w:rsidP="00316C1B">
            <w:pPr>
              <w:jc w:val="both"/>
              <w:rPr>
                <w:rFonts w:ascii="Times New Roman" w:hAnsi="Times New Roman" w:cs="Times New Roman"/>
                <w:b/>
                <w:color w:val="000000"/>
                <w:sz w:val="16"/>
                <w:szCs w:val="16"/>
                <w:lang w:eastAsia="lt-LT"/>
              </w:rPr>
            </w:pPr>
            <w:r>
              <w:rPr>
                <w:rFonts w:ascii="Times New Roman" w:hAnsi="Times New Roman" w:cs="Times New Roman"/>
                <w:b/>
                <w:color w:val="000000"/>
                <w:sz w:val="16"/>
                <w:szCs w:val="16"/>
                <w:lang w:eastAsia="lt-LT"/>
              </w:rPr>
              <w:t>43.179.</w:t>
            </w:r>
            <w:r w:rsidR="00186E1A" w:rsidRPr="00316C1B">
              <w:rPr>
                <w:rFonts w:ascii="Times New Roman" w:hAnsi="Times New Roman" w:cs="Times New Roman"/>
                <w:b/>
                <w:color w:val="000000"/>
                <w:sz w:val="16"/>
                <w:szCs w:val="16"/>
                <w:lang w:eastAsia="lt-LT"/>
              </w:rPr>
              <w:t>346</w:t>
            </w:r>
          </w:p>
        </w:tc>
        <w:tc>
          <w:tcPr>
            <w:tcW w:w="1276" w:type="dxa"/>
            <w:tcBorders>
              <w:top w:val="nil"/>
              <w:left w:val="nil"/>
              <w:bottom w:val="single" w:sz="4" w:space="0" w:color="auto"/>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0</w:t>
            </w:r>
          </w:p>
        </w:tc>
        <w:tc>
          <w:tcPr>
            <w:tcW w:w="1134" w:type="dxa"/>
            <w:tcBorders>
              <w:top w:val="nil"/>
              <w:left w:val="nil"/>
              <w:bottom w:val="single" w:sz="4" w:space="0" w:color="auto"/>
              <w:right w:val="single" w:sz="4" w:space="0" w:color="auto"/>
            </w:tcBorders>
            <w:shd w:val="clear" w:color="auto" w:fill="auto"/>
            <w:vAlign w:val="center"/>
          </w:tcPr>
          <w:p w:rsidR="00186E1A" w:rsidRPr="00316C1B" w:rsidRDefault="00613D99" w:rsidP="00316C1B">
            <w:pPr>
              <w:jc w:val="both"/>
              <w:rPr>
                <w:rFonts w:ascii="Times New Roman" w:hAnsi="Times New Roman" w:cs="Times New Roman"/>
                <w:b/>
                <w:color w:val="000000"/>
                <w:sz w:val="16"/>
                <w:szCs w:val="16"/>
                <w:lang w:eastAsia="lt-LT"/>
              </w:rPr>
            </w:pPr>
            <w:r>
              <w:rPr>
                <w:rFonts w:ascii="Times New Roman" w:hAnsi="Times New Roman" w:cs="Times New Roman"/>
                <w:b/>
                <w:color w:val="000000"/>
                <w:sz w:val="16"/>
                <w:szCs w:val="16"/>
                <w:lang w:eastAsia="lt-LT"/>
              </w:rPr>
              <w:t>2.820.</w:t>
            </w:r>
            <w:r w:rsidR="00186E1A" w:rsidRPr="00316C1B">
              <w:rPr>
                <w:rFonts w:ascii="Times New Roman" w:hAnsi="Times New Roman" w:cs="Times New Roman"/>
                <w:b/>
                <w:color w:val="000000"/>
                <w:sz w:val="16"/>
                <w:szCs w:val="16"/>
                <w:lang w:eastAsia="lt-LT"/>
              </w:rPr>
              <w:t>654</w:t>
            </w:r>
          </w:p>
        </w:tc>
        <w:tc>
          <w:tcPr>
            <w:tcW w:w="1105" w:type="dxa"/>
            <w:tcBorders>
              <w:top w:val="nil"/>
              <w:left w:val="nil"/>
              <w:bottom w:val="single" w:sz="4" w:space="0" w:color="auto"/>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tcPr>
          <w:p w:rsidR="00186E1A" w:rsidRPr="00316C1B" w:rsidRDefault="00186E1A" w:rsidP="00316C1B">
            <w:pPr>
              <w:jc w:val="both"/>
              <w:rPr>
                <w:rFonts w:ascii="Times New Roman" w:hAnsi="Times New Roman" w:cs="Times New Roman"/>
                <w:b/>
                <w:color w:val="000000"/>
                <w:sz w:val="16"/>
                <w:szCs w:val="16"/>
                <w:lang w:eastAsia="lt-LT"/>
              </w:rPr>
            </w:pPr>
            <w:r w:rsidRPr="00316C1B">
              <w:rPr>
                <w:rFonts w:ascii="Times New Roman" w:hAnsi="Times New Roman" w:cs="Times New Roman"/>
                <w:b/>
                <w:color w:val="000000"/>
                <w:sz w:val="16"/>
                <w:szCs w:val="16"/>
                <w:lang w:eastAsia="lt-LT"/>
              </w:rPr>
              <w:t>6,13</w:t>
            </w:r>
          </w:p>
        </w:tc>
      </w:tr>
      <w:tr w:rsidR="009E1DDF" w:rsidRPr="00697AD2" w:rsidTr="0051277F">
        <w:trPr>
          <w:trHeight w:val="300"/>
        </w:trPr>
        <w:tc>
          <w:tcPr>
            <w:tcW w:w="992" w:type="dxa"/>
            <w:tcBorders>
              <w:top w:val="nil"/>
              <w:left w:val="single" w:sz="4" w:space="0" w:color="auto"/>
              <w:bottom w:val="nil"/>
              <w:right w:val="single" w:sz="4" w:space="0" w:color="auto"/>
            </w:tcBorders>
            <w:shd w:val="clear" w:color="auto" w:fill="auto"/>
            <w:vAlign w:val="center"/>
            <w:hideMark/>
          </w:tcPr>
          <w:p w:rsidR="009E1DDF" w:rsidRPr="00697AD2" w:rsidRDefault="009E1DDF" w:rsidP="009E1DDF">
            <w:pP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Iš viso</w:t>
            </w:r>
          </w:p>
        </w:tc>
        <w:tc>
          <w:tcPr>
            <w:tcW w:w="738" w:type="dxa"/>
            <w:tcBorders>
              <w:top w:val="nil"/>
              <w:left w:val="nil"/>
              <w:bottom w:val="nil"/>
              <w:right w:val="single" w:sz="4" w:space="0" w:color="auto"/>
            </w:tcBorders>
            <w:shd w:val="clear" w:color="auto" w:fill="auto"/>
            <w:vAlign w:val="center"/>
            <w:hideMark/>
          </w:tcPr>
          <w:p w:rsidR="009E1DDF" w:rsidRPr="00697AD2" w:rsidRDefault="009E1DDF" w:rsidP="009E1DDF">
            <w:pP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ERPF</w:t>
            </w:r>
          </w:p>
        </w:tc>
        <w:tc>
          <w:tcPr>
            <w:tcW w:w="964" w:type="dxa"/>
            <w:tcBorders>
              <w:top w:val="nil"/>
              <w:left w:val="nil"/>
              <w:bottom w:val="nil"/>
              <w:right w:val="single" w:sz="4" w:space="0" w:color="auto"/>
            </w:tcBorders>
            <w:shd w:val="clear" w:color="auto" w:fill="auto"/>
            <w:vAlign w:val="center"/>
          </w:tcPr>
          <w:p w:rsidR="009E1DDF" w:rsidRPr="00697AD2" w:rsidRDefault="009E1DDF" w:rsidP="009E1DDF">
            <w:pPr>
              <w:jc w:val="right"/>
              <w:rPr>
                <w:rFonts w:ascii="Times New Roman" w:hAnsi="Times New Roman" w:cs="Times New Roman"/>
                <w:b/>
                <w:bCs/>
                <w:color w:val="000000"/>
                <w:sz w:val="16"/>
                <w:szCs w:val="16"/>
                <w:lang w:eastAsia="lt-LT"/>
              </w:rPr>
            </w:pPr>
          </w:p>
        </w:tc>
        <w:tc>
          <w:tcPr>
            <w:tcW w:w="1162" w:type="dxa"/>
            <w:tcBorders>
              <w:top w:val="nil"/>
              <w:left w:val="nil"/>
              <w:bottom w:val="nil"/>
              <w:right w:val="single" w:sz="4" w:space="0" w:color="auto"/>
            </w:tcBorders>
            <w:shd w:val="clear" w:color="auto" w:fill="auto"/>
            <w:vAlign w:val="center"/>
            <w:hideMark/>
          </w:tcPr>
          <w:p w:rsidR="00131E96" w:rsidRPr="00316C1B" w:rsidRDefault="009E004D" w:rsidP="0051277F">
            <w:pPr>
              <w:jc w:val="center"/>
              <w:rPr>
                <w:rFonts w:ascii="Times New Roman" w:hAnsi="Times New Roman" w:cs="Times New Roman"/>
                <w:b/>
                <w:bCs/>
                <w:strike/>
                <w:color w:val="000000"/>
                <w:sz w:val="16"/>
                <w:szCs w:val="16"/>
                <w:lang w:eastAsia="lt-LT"/>
              </w:rPr>
            </w:pPr>
            <w:r w:rsidRPr="00316C1B">
              <w:rPr>
                <w:rFonts w:ascii="Times New Roman" w:hAnsi="Times New Roman" w:cs="Times New Roman"/>
                <w:b/>
                <w:bCs/>
                <w:strike/>
                <w:color w:val="000000"/>
                <w:sz w:val="16"/>
                <w:szCs w:val="16"/>
                <w:lang w:eastAsia="lt-LT"/>
              </w:rPr>
              <w:t>3.405.652.</w:t>
            </w:r>
            <w:r w:rsidR="00131E96" w:rsidRPr="00316C1B">
              <w:rPr>
                <w:rFonts w:ascii="Times New Roman" w:hAnsi="Times New Roman" w:cs="Times New Roman"/>
                <w:b/>
                <w:bCs/>
                <w:strike/>
                <w:color w:val="000000"/>
                <w:sz w:val="16"/>
                <w:szCs w:val="16"/>
                <w:lang w:eastAsia="lt-LT"/>
              </w:rPr>
              <w:t>484</w:t>
            </w:r>
          </w:p>
          <w:p w:rsidR="00186E1A" w:rsidRPr="00697AD2" w:rsidRDefault="00613D99" w:rsidP="0051277F">
            <w:pPr>
              <w:jc w:val="center"/>
              <w:rPr>
                <w:rFonts w:ascii="Times New Roman" w:hAnsi="Times New Roman" w:cs="Times New Roman"/>
                <w:b/>
                <w:bCs/>
                <w:color w:val="000000"/>
                <w:sz w:val="16"/>
                <w:szCs w:val="16"/>
                <w:lang w:eastAsia="lt-LT"/>
              </w:rPr>
            </w:pPr>
            <w:r>
              <w:rPr>
                <w:rFonts w:ascii="Times New Roman" w:hAnsi="Times New Roman" w:cs="Times New Roman"/>
                <w:b/>
                <w:bCs/>
                <w:color w:val="000000"/>
                <w:sz w:val="16"/>
                <w:szCs w:val="16"/>
                <w:lang w:eastAsia="lt-LT"/>
              </w:rPr>
              <w:t>3.699.652.</w:t>
            </w:r>
            <w:r w:rsidR="00D96641" w:rsidRPr="00D96641">
              <w:rPr>
                <w:rFonts w:ascii="Times New Roman" w:hAnsi="Times New Roman" w:cs="Times New Roman"/>
                <w:b/>
                <w:bCs/>
                <w:color w:val="000000"/>
                <w:sz w:val="16"/>
                <w:szCs w:val="16"/>
                <w:lang w:eastAsia="lt-LT"/>
              </w:rPr>
              <w:t>484</w:t>
            </w:r>
          </w:p>
        </w:tc>
        <w:tc>
          <w:tcPr>
            <w:tcW w:w="1247" w:type="dxa"/>
            <w:tcBorders>
              <w:top w:val="nil"/>
              <w:left w:val="nil"/>
              <w:bottom w:val="nil"/>
              <w:right w:val="single" w:sz="4" w:space="0" w:color="auto"/>
            </w:tcBorders>
            <w:shd w:val="clear" w:color="auto" w:fill="auto"/>
            <w:vAlign w:val="center"/>
            <w:hideMark/>
          </w:tcPr>
          <w:p w:rsidR="00186E1A" w:rsidRPr="00775D70" w:rsidRDefault="009E004D" w:rsidP="00775D70">
            <w:pPr>
              <w:jc w:val="center"/>
              <w:rPr>
                <w:rFonts w:ascii="Times New Roman" w:hAnsi="Times New Roman" w:cs="Times New Roman"/>
                <w:b/>
                <w:bCs/>
                <w:color w:val="000000"/>
                <w:sz w:val="16"/>
                <w:szCs w:val="16"/>
                <w:lang w:eastAsia="lt-LT"/>
              </w:rPr>
            </w:pPr>
            <w:r w:rsidRPr="00775D70">
              <w:rPr>
                <w:rFonts w:ascii="Times New Roman" w:hAnsi="Times New Roman" w:cs="Times New Roman"/>
                <w:b/>
                <w:bCs/>
                <w:color w:val="000000"/>
                <w:sz w:val="16"/>
                <w:szCs w:val="16"/>
                <w:lang w:eastAsia="lt-LT"/>
              </w:rPr>
              <w:t>600.997.</w:t>
            </w:r>
            <w:r w:rsidR="00836CF2" w:rsidRPr="00775D70">
              <w:rPr>
                <w:rFonts w:ascii="Times New Roman" w:hAnsi="Times New Roman" w:cs="Times New Roman"/>
                <w:b/>
                <w:bCs/>
                <w:color w:val="000000"/>
                <w:sz w:val="16"/>
                <w:szCs w:val="16"/>
                <w:lang w:eastAsia="lt-LT"/>
              </w:rPr>
              <w:t>503</w:t>
            </w:r>
          </w:p>
        </w:tc>
        <w:tc>
          <w:tcPr>
            <w:tcW w:w="1134" w:type="dxa"/>
            <w:tcBorders>
              <w:top w:val="single" w:sz="4" w:space="0" w:color="auto"/>
              <w:left w:val="nil"/>
              <w:bottom w:val="single" w:sz="4" w:space="0" w:color="auto"/>
              <w:right w:val="single" w:sz="4" w:space="0" w:color="auto"/>
            </w:tcBorders>
            <w:vAlign w:val="center"/>
          </w:tcPr>
          <w:p w:rsidR="00186E1A" w:rsidRPr="00775D70" w:rsidRDefault="00656133" w:rsidP="00775D70">
            <w:pPr>
              <w:jc w:val="center"/>
              <w:rPr>
                <w:rFonts w:ascii="Times New Roman" w:hAnsi="Times New Roman" w:cs="Times New Roman"/>
                <w:b/>
                <w:bCs/>
                <w:sz w:val="16"/>
                <w:szCs w:val="16"/>
              </w:rPr>
            </w:pPr>
            <w:r w:rsidRPr="00775D70">
              <w:rPr>
                <w:rFonts w:ascii="Times New Roman" w:hAnsi="Times New Roman" w:cs="Times New Roman"/>
                <w:b/>
                <w:bCs/>
                <w:sz w:val="16"/>
                <w:szCs w:val="16"/>
              </w:rPr>
              <w:t>246.554.354</w:t>
            </w:r>
          </w:p>
        </w:tc>
        <w:tc>
          <w:tcPr>
            <w:tcW w:w="1021" w:type="dxa"/>
            <w:tcBorders>
              <w:top w:val="single" w:sz="4" w:space="0" w:color="auto"/>
              <w:left w:val="single" w:sz="4" w:space="0" w:color="auto"/>
              <w:bottom w:val="single" w:sz="4" w:space="0" w:color="auto"/>
              <w:right w:val="single" w:sz="4" w:space="0" w:color="auto"/>
            </w:tcBorders>
            <w:vAlign w:val="center"/>
          </w:tcPr>
          <w:p w:rsidR="00186E1A" w:rsidRPr="00775D70" w:rsidRDefault="00656133" w:rsidP="00775D70">
            <w:pPr>
              <w:jc w:val="center"/>
              <w:rPr>
                <w:rFonts w:ascii="Times New Roman" w:hAnsi="Times New Roman" w:cs="Times New Roman"/>
                <w:b/>
                <w:bCs/>
                <w:sz w:val="16"/>
                <w:szCs w:val="16"/>
              </w:rPr>
            </w:pPr>
            <w:r w:rsidRPr="00775D70">
              <w:rPr>
                <w:rFonts w:ascii="Times New Roman" w:hAnsi="Times New Roman" w:cs="Times New Roman"/>
                <w:b/>
                <w:bCs/>
                <w:sz w:val="16"/>
                <w:szCs w:val="16"/>
              </w:rPr>
              <w:t>354.443.149</w:t>
            </w:r>
          </w:p>
        </w:tc>
        <w:tc>
          <w:tcPr>
            <w:tcW w:w="1276" w:type="dxa"/>
            <w:tcBorders>
              <w:top w:val="nil"/>
              <w:left w:val="single" w:sz="4" w:space="0" w:color="auto"/>
              <w:bottom w:val="nil"/>
              <w:right w:val="single" w:sz="4" w:space="0" w:color="auto"/>
            </w:tcBorders>
            <w:shd w:val="clear" w:color="auto" w:fill="auto"/>
            <w:vAlign w:val="center"/>
            <w:hideMark/>
          </w:tcPr>
          <w:p w:rsidR="00186E1A" w:rsidRPr="00775D70" w:rsidRDefault="009E004D" w:rsidP="00775D70">
            <w:pPr>
              <w:jc w:val="center"/>
              <w:rPr>
                <w:rFonts w:ascii="Times New Roman" w:hAnsi="Times New Roman" w:cs="Times New Roman"/>
                <w:b/>
                <w:bCs/>
                <w:color w:val="000000"/>
                <w:sz w:val="16"/>
                <w:szCs w:val="16"/>
                <w:lang w:eastAsia="lt-LT"/>
              </w:rPr>
            </w:pPr>
            <w:r w:rsidRPr="00775D70">
              <w:rPr>
                <w:rFonts w:ascii="Times New Roman" w:hAnsi="Times New Roman" w:cs="Times New Roman"/>
                <w:b/>
                <w:bCs/>
                <w:color w:val="000000"/>
                <w:sz w:val="16"/>
                <w:szCs w:val="16"/>
                <w:lang w:eastAsia="lt-LT"/>
              </w:rPr>
              <w:t>4.006.649.</w:t>
            </w:r>
            <w:r w:rsidR="00656133" w:rsidRPr="00775D70">
              <w:rPr>
                <w:rFonts w:ascii="Times New Roman" w:hAnsi="Times New Roman" w:cs="Times New Roman"/>
                <w:b/>
                <w:bCs/>
                <w:color w:val="000000"/>
                <w:sz w:val="16"/>
                <w:szCs w:val="16"/>
                <w:lang w:eastAsia="lt-LT"/>
              </w:rPr>
              <w:t>987</w:t>
            </w:r>
          </w:p>
        </w:tc>
        <w:tc>
          <w:tcPr>
            <w:tcW w:w="680" w:type="dxa"/>
            <w:tcBorders>
              <w:top w:val="nil"/>
              <w:left w:val="nil"/>
              <w:bottom w:val="single" w:sz="4" w:space="0" w:color="auto"/>
              <w:right w:val="single" w:sz="4" w:space="0" w:color="auto"/>
            </w:tcBorders>
            <w:shd w:val="clear" w:color="auto" w:fill="auto"/>
            <w:vAlign w:val="center"/>
            <w:hideMark/>
          </w:tcPr>
          <w:p w:rsidR="009E1DDF" w:rsidRPr="00316C1B" w:rsidRDefault="009E1DDF" w:rsidP="0051277F">
            <w:pPr>
              <w:jc w:val="center"/>
              <w:rPr>
                <w:rFonts w:ascii="Times New Roman" w:hAnsi="Times New Roman" w:cs="Times New Roman"/>
                <w:b/>
                <w:strike/>
                <w:color w:val="000000"/>
                <w:sz w:val="16"/>
                <w:szCs w:val="16"/>
                <w:lang w:eastAsia="lt-LT"/>
              </w:rPr>
            </w:pPr>
            <w:r w:rsidRPr="00316C1B">
              <w:rPr>
                <w:rFonts w:ascii="Times New Roman" w:hAnsi="Times New Roman" w:cs="Times New Roman"/>
                <w:b/>
                <w:strike/>
                <w:color w:val="000000"/>
                <w:sz w:val="16"/>
                <w:szCs w:val="16"/>
                <w:lang w:eastAsia="lt-LT"/>
              </w:rPr>
              <w:t>85,00</w:t>
            </w:r>
          </w:p>
          <w:p w:rsidR="00186E1A" w:rsidRPr="003C080E" w:rsidRDefault="00D96641" w:rsidP="0051277F">
            <w:pPr>
              <w:jc w:val="center"/>
              <w:rPr>
                <w:rFonts w:ascii="Times New Roman" w:hAnsi="Times New Roman" w:cs="Times New Roman"/>
                <w:b/>
                <w:color w:val="000000"/>
                <w:sz w:val="16"/>
                <w:szCs w:val="16"/>
                <w:lang w:eastAsia="lt-LT"/>
              </w:rPr>
            </w:pPr>
            <w:r w:rsidRPr="00D96641">
              <w:rPr>
                <w:rFonts w:ascii="Times New Roman" w:hAnsi="Times New Roman" w:cs="Times New Roman"/>
                <w:b/>
                <w:color w:val="000000"/>
                <w:sz w:val="16"/>
                <w:szCs w:val="16"/>
                <w:lang w:eastAsia="lt-LT"/>
              </w:rPr>
              <w:t>86,03</w:t>
            </w:r>
          </w:p>
        </w:tc>
        <w:tc>
          <w:tcPr>
            <w:tcW w:w="425" w:type="dxa"/>
            <w:tcBorders>
              <w:top w:val="nil"/>
              <w:left w:val="nil"/>
              <w:bottom w:val="nil"/>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bCs/>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131E96" w:rsidRPr="00316C1B" w:rsidRDefault="009E004D" w:rsidP="0051277F">
            <w:pPr>
              <w:jc w:val="center"/>
              <w:rPr>
                <w:rFonts w:ascii="Times New Roman" w:hAnsi="Times New Roman" w:cs="Times New Roman"/>
                <w:b/>
                <w:strike/>
                <w:sz w:val="16"/>
                <w:szCs w:val="16"/>
                <w:lang w:eastAsia="lt-LT"/>
              </w:rPr>
            </w:pPr>
            <w:r w:rsidRPr="00316C1B">
              <w:rPr>
                <w:rFonts w:ascii="Times New Roman" w:hAnsi="Times New Roman" w:cs="Times New Roman"/>
                <w:b/>
                <w:strike/>
                <w:sz w:val="16"/>
                <w:szCs w:val="16"/>
                <w:lang w:eastAsia="lt-LT"/>
              </w:rPr>
              <w:t>3.201.313.</w:t>
            </w:r>
            <w:r w:rsidR="00131E96" w:rsidRPr="00316C1B">
              <w:rPr>
                <w:rFonts w:ascii="Times New Roman" w:hAnsi="Times New Roman" w:cs="Times New Roman"/>
                <w:b/>
                <w:strike/>
                <w:sz w:val="16"/>
                <w:szCs w:val="16"/>
                <w:lang w:eastAsia="lt-LT"/>
              </w:rPr>
              <w:t>335</w:t>
            </w:r>
          </w:p>
          <w:p w:rsidR="00186E1A" w:rsidRPr="003C080E" w:rsidRDefault="00613D99" w:rsidP="0051277F">
            <w:pPr>
              <w:jc w:val="center"/>
              <w:rPr>
                <w:rFonts w:ascii="Times New Roman" w:hAnsi="Times New Roman" w:cs="Times New Roman"/>
                <w:b/>
                <w:sz w:val="16"/>
                <w:szCs w:val="16"/>
                <w:lang w:eastAsia="lt-LT"/>
              </w:rPr>
            </w:pPr>
            <w:r>
              <w:rPr>
                <w:rFonts w:ascii="Times New Roman" w:hAnsi="Times New Roman" w:cs="Times New Roman"/>
                <w:b/>
                <w:sz w:val="16"/>
                <w:szCs w:val="16"/>
                <w:lang w:eastAsia="lt-LT"/>
              </w:rPr>
              <w:t>3.477.673.</w:t>
            </w:r>
            <w:r w:rsidR="00775D70" w:rsidRPr="00775D70">
              <w:rPr>
                <w:rFonts w:ascii="Times New Roman" w:hAnsi="Times New Roman" w:cs="Times New Roman"/>
                <w:b/>
                <w:sz w:val="16"/>
                <w:szCs w:val="16"/>
                <w:lang w:eastAsia="lt-LT"/>
              </w:rPr>
              <w:t>335</w:t>
            </w:r>
          </w:p>
        </w:tc>
        <w:tc>
          <w:tcPr>
            <w:tcW w:w="1276" w:type="dxa"/>
            <w:tcBorders>
              <w:top w:val="nil"/>
              <w:left w:val="nil"/>
              <w:bottom w:val="single" w:sz="4" w:space="0" w:color="auto"/>
              <w:right w:val="single" w:sz="4" w:space="0" w:color="auto"/>
            </w:tcBorders>
            <w:shd w:val="clear" w:color="auto" w:fill="auto"/>
            <w:vAlign w:val="center"/>
            <w:hideMark/>
          </w:tcPr>
          <w:p w:rsidR="00186E1A" w:rsidRPr="003C080E" w:rsidRDefault="000C7EA5" w:rsidP="00775D70">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564.937.</w:t>
            </w:r>
            <w:r w:rsidR="00131E96" w:rsidRPr="003C080E">
              <w:rPr>
                <w:rFonts w:ascii="Times New Roman" w:hAnsi="Times New Roman" w:cs="Times New Roman"/>
                <w:b/>
                <w:sz w:val="16"/>
                <w:szCs w:val="16"/>
                <w:lang w:eastAsia="lt-LT"/>
              </w:rPr>
              <w:t>654</w:t>
            </w:r>
          </w:p>
        </w:tc>
        <w:tc>
          <w:tcPr>
            <w:tcW w:w="1134" w:type="dxa"/>
            <w:tcBorders>
              <w:top w:val="nil"/>
              <w:left w:val="nil"/>
              <w:bottom w:val="single" w:sz="4" w:space="0" w:color="auto"/>
              <w:right w:val="single" w:sz="4" w:space="0" w:color="auto"/>
            </w:tcBorders>
            <w:shd w:val="clear" w:color="auto" w:fill="auto"/>
            <w:vAlign w:val="center"/>
            <w:hideMark/>
          </w:tcPr>
          <w:p w:rsidR="00131E96" w:rsidRPr="00316C1B" w:rsidRDefault="000C7EA5" w:rsidP="0051277F">
            <w:pPr>
              <w:jc w:val="center"/>
              <w:rPr>
                <w:rFonts w:ascii="Times New Roman" w:hAnsi="Times New Roman" w:cs="Times New Roman"/>
                <w:b/>
                <w:bCs/>
                <w:strike/>
                <w:sz w:val="16"/>
                <w:szCs w:val="16"/>
                <w:lang w:eastAsia="lt-LT"/>
              </w:rPr>
            </w:pPr>
            <w:r w:rsidRPr="00316C1B">
              <w:rPr>
                <w:rFonts w:ascii="Times New Roman" w:hAnsi="Times New Roman" w:cs="Times New Roman"/>
                <w:b/>
                <w:bCs/>
                <w:strike/>
                <w:sz w:val="16"/>
                <w:szCs w:val="16"/>
                <w:lang w:eastAsia="lt-LT"/>
              </w:rPr>
              <w:t>204.339.</w:t>
            </w:r>
            <w:r w:rsidR="00890855" w:rsidRPr="00316C1B">
              <w:rPr>
                <w:rFonts w:ascii="Times New Roman" w:hAnsi="Times New Roman" w:cs="Times New Roman"/>
                <w:b/>
                <w:bCs/>
                <w:strike/>
                <w:sz w:val="16"/>
                <w:szCs w:val="16"/>
                <w:lang w:eastAsia="lt-LT"/>
              </w:rPr>
              <w:t>149</w:t>
            </w:r>
          </w:p>
          <w:p w:rsidR="00186E1A" w:rsidRPr="003C080E" w:rsidRDefault="00613D99" w:rsidP="0051277F">
            <w:pPr>
              <w:jc w:val="center"/>
              <w:rPr>
                <w:rFonts w:ascii="Times New Roman" w:hAnsi="Times New Roman" w:cs="Times New Roman"/>
                <w:b/>
                <w:bCs/>
                <w:sz w:val="16"/>
                <w:szCs w:val="16"/>
                <w:lang w:eastAsia="lt-LT"/>
              </w:rPr>
            </w:pPr>
            <w:r>
              <w:rPr>
                <w:rFonts w:ascii="Times New Roman" w:hAnsi="Times New Roman" w:cs="Times New Roman"/>
                <w:b/>
                <w:bCs/>
                <w:sz w:val="16"/>
                <w:szCs w:val="16"/>
                <w:lang w:eastAsia="lt-LT"/>
              </w:rPr>
              <w:t>221.979.</w:t>
            </w:r>
            <w:r w:rsidR="00775D70" w:rsidRPr="00775D70">
              <w:rPr>
                <w:rFonts w:ascii="Times New Roman" w:hAnsi="Times New Roman" w:cs="Times New Roman"/>
                <w:b/>
                <w:bCs/>
                <w:sz w:val="16"/>
                <w:szCs w:val="16"/>
                <w:lang w:eastAsia="lt-LT"/>
              </w:rPr>
              <w:t>149</w:t>
            </w:r>
          </w:p>
        </w:tc>
        <w:tc>
          <w:tcPr>
            <w:tcW w:w="1105" w:type="dxa"/>
            <w:tcBorders>
              <w:top w:val="nil"/>
              <w:left w:val="nil"/>
              <w:bottom w:val="single" w:sz="4" w:space="0" w:color="auto"/>
              <w:right w:val="single" w:sz="4" w:space="0" w:color="auto"/>
            </w:tcBorders>
            <w:shd w:val="clear" w:color="auto" w:fill="auto"/>
            <w:vAlign w:val="center"/>
            <w:hideMark/>
          </w:tcPr>
          <w:p w:rsidR="00186E1A" w:rsidRPr="003C080E" w:rsidRDefault="000C7EA5" w:rsidP="00775D70">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36.059.</w:t>
            </w:r>
            <w:r w:rsidR="00656133" w:rsidRPr="003C080E">
              <w:rPr>
                <w:rFonts w:ascii="Times New Roman" w:hAnsi="Times New Roman" w:cs="Times New Roman"/>
                <w:b/>
                <w:sz w:val="16"/>
                <w:szCs w:val="16"/>
                <w:lang w:eastAsia="lt-LT"/>
              </w:rPr>
              <w:t>849</w:t>
            </w:r>
          </w:p>
        </w:tc>
        <w:tc>
          <w:tcPr>
            <w:tcW w:w="567" w:type="dxa"/>
            <w:tcBorders>
              <w:top w:val="nil"/>
              <w:left w:val="nil"/>
              <w:bottom w:val="single" w:sz="4" w:space="0" w:color="auto"/>
              <w:right w:val="single" w:sz="4" w:space="0" w:color="auto"/>
            </w:tcBorders>
            <w:shd w:val="clear" w:color="auto" w:fill="auto"/>
            <w:vAlign w:val="center"/>
            <w:hideMark/>
          </w:tcPr>
          <w:p w:rsidR="00186E1A" w:rsidRPr="003C080E" w:rsidRDefault="009E1DDF" w:rsidP="00775D70">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6,00</w:t>
            </w:r>
          </w:p>
        </w:tc>
      </w:tr>
      <w:tr w:rsidR="009E1DDF" w:rsidRPr="00697AD2" w:rsidTr="0051277F">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Iš viso</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ESF</w:t>
            </w:r>
          </w:p>
        </w:tc>
        <w:tc>
          <w:tcPr>
            <w:tcW w:w="964" w:type="dxa"/>
            <w:tcBorders>
              <w:top w:val="single" w:sz="4" w:space="0" w:color="auto"/>
              <w:left w:val="nil"/>
              <w:bottom w:val="single" w:sz="4" w:space="0" w:color="auto"/>
              <w:right w:val="single" w:sz="4" w:space="0" w:color="auto"/>
            </w:tcBorders>
            <w:shd w:val="clear" w:color="auto" w:fill="auto"/>
            <w:vAlign w:val="center"/>
          </w:tcPr>
          <w:p w:rsidR="009E1DDF" w:rsidRPr="00697AD2" w:rsidRDefault="009E1DDF" w:rsidP="009E1DDF">
            <w:pPr>
              <w:jc w:val="right"/>
              <w:rPr>
                <w:rFonts w:ascii="Times New Roman" w:hAnsi="Times New Roman" w:cs="Times New Roman"/>
                <w:b/>
                <w:bCs/>
                <w:color w:val="000000"/>
                <w:sz w:val="16"/>
                <w:szCs w:val="16"/>
                <w:lang w:eastAsia="lt-LT"/>
              </w:rPr>
            </w:pP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131E96" w:rsidRPr="00316C1B" w:rsidRDefault="009E004D" w:rsidP="0051277F">
            <w:pPr>
              <w:jc w:val="center"/>
              <w:rPr>
                <w:rFonts w:ascii="Times New Roman" w:hAnsi="Times New Roman" w:cs="Times New Roman"/>
                <w:b/>
                <w:bCs/>
                <w:strike/>
                <w:color w:val="000000"/>
                <w:sz w:val="16"/>
                <w:szCs w:val="16"/>
                <w:lang w:eastAsia="lt-LT"/>
              </w:rPr>
            </w:pPr>
            <w:r w:rsidRPr="00316C1B">
              <w:rPr>
                <w:rFonts w:ascii="Times New Roman" w:hAnsi="Times New Roman" w:cs="Times New Roman"/>
                <w:b/>
                <w:bCs/>
                <w:strike/>
                <w:color w:val="000000"/>
                <w:sz w:val="16"/>
                <w:szCs w:val="16"/>
                <w:lang w:eastAsia="lt-LT"/>
              </w:rPr>
              <w:t>1.200.360.</w:t>
            </w:r>
            <w:r w:rsidR="00131E96" w:rsidRPr="00316C1B">
              <w:rPr>
                <w:rFonts w:ascii="Times New Roman" w:hAnsi="Times New Roman" w:cs="Times New Roman"/>
                <w:b/>
                <w:bCs/>
                <w:strike/>
                <w:color w:val="000000"/>
                <w:sz w:val="16"/>
                <w:szCs w:val="16"/>
                <w:lang w:eastAsia="lt-LT"/>
              </w:rPr>
              <w:t>754</w:t>
            </w:r>
          </w:p>
          <w:p w:rsidR="00186E1A" w:rsidRPr="00697AD2" w:rsidRDefault="00613D99" w:rsidP="0051277F">
            <w:pPr>
              <w:jc w:val="center"/>
              <w:rPr>
                <w:rFonts w:ascii="Times New Roman" w:hAnsi="Times New Roman" w:cs="Times New Roman"/>
                <w:b/>
                <w:bCs/>
                <w:color w:val="000000"/>
                <w:sz w:val="16"/>
                <w:szCs w:val="16"/>
                <w:lang w:eastAsia="lt-LT"/>
              </w:rPr>
            </w:pPr>
            <w:r>
              <w:rPr>
                <w:rFonts w:ascii="Times New Roman" w:hAnsi="Times New Roman" w:cs="Times New Roman"/>
                <w:b/>
                <w:bCs/>
                <w:color w:val="000000"/>
                <w:sz w:val="16"/>
                <w:szCs w:val="16"/>
                <w:lang w:eastAsia="lt-LT"/>
              </w:rPr>
              <w:t>1.246.360.</w:t>
            </w:r>
            <w:r w:rsidR="00775D70" w:rsidRPr="00775D70">
              <w:rPr>
                <w:rFonts w:ascii="Times New Roman" w:hAnsi="Times New Roman" w:cs="Times New Roman"/>
                <w:b/>
                <w:bCs/>
                <w:color w:val="000000"/>
                <w:sz w:val="16"/>
                <w:szCs w:val="16"/>
                <w:lang w:eastAsia="lt-LT"/>
              </w:rPr>
              <w:t>754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86E1A" w:rsidRPr="003C080E" w:rsidRDefault="009E004D" w:rsidP="00775D70">
            <w:pPr>
              <w:jc w:val="center"/>
              <w:rPr>
                <w:rFonts w:ascii="Times New Roman" w:hAnsi="Times New Roman" w:cs="Times New Roman"/>
                <w:b/>
                <w:bCs/>
                <w:color w:val="000000"/>
                <w:sz w:val="16"/>
                <w:szCs w:val="16"/>
                <w:lang w:eastAsia="lt-LT"/>
              </w:rPr>
            </w:pPr>
            <w:r w:rsidRPr="003C080E">
              <w:rPr>
                <w:rFonts w:ascii="Times New Roman" w:hAnsi="Times New Roman" w:cs="Times New Roman"/>
                <w:b/>
                <w:bCs/>
                <w:color w:val="000000"/>
                <w:sz w:val="16"/>
                <w:szCs w:val="16"/>
                <w:lang w:eastAsia="lt-LT"/>
              </w:rPr>
              <w:t>211.828.</w:t>
            </w:r>
            <w:r w:rsidR="00131E96" w:rsidRPr="003C080E">
              <w:rPr>
                <w:rFonts w:ascii="Times New Roman" w:hAnsi="Times New Roman" w:cs="Times New Roman"/>
                <w:b/>
                <w:bCs/>
                <w:color w:val="000000"/>
                <w:sz w:val="16"/>
                <w:szCs w:val="16"/>
                <w:lang w:eastAsia="lt-LT"/>
              </w:rPr>
              <w:t>372</w:t>
            </w:r>
          </w:p>
        </w:tc>
        <w:tc>
          <w:tcPr>
            <w:tcW w:w="1134" w:type="dxa"/>
            <w:tcBorders>
              <w:top w:val="single" w:sz="4" w:space="0" w:color="auto"/>
              <w:left w:val="nil"/>
              <w:bottom w:val="single" w:sz="4" w:space="0" w:color="auto"/>
              <w:right w:val="single" w:sz="4" w:space="0" w:color="auto"/>
            </w:tcBorders>
            <w:vAlign w:val="center"/>
          </w:tcPr>
          <w:p w:rsidR="00186E1A" w:rsidRPr="003C080E" w:rsidRDefault="009E004D" w:rsidP="00775D70">
            <w:pPr>
              <w:jc w:val="center"/>
              <w:rPr>
                <w:rFonts w:ascii="Times New Roman" w:hAnsi="Times New Roman" w:cs="Times New Roman"/>
                <w:b/>
                <w:bCs/>
                <w:sz w:val="16"/>
                <w:szCs w:val="16"/>
              </w:rPr>
            </w:pPr>
            <w:r w:rsidRPr="003C080E">
              <w:rPr>
                <w:rFonts w:ascii="Times New Roman" w:hAnsi="Times New Roman" w:cs="Times New Roman"/>
                <w:b/>
                <w:bCs/>
                <w:sz w:val="16"/>
                <w:szCs w:val="16"/>
              </w:rPr>
              <w:t>156.897.</w:t>
            </w:r>
            <w:r w:rsidR="00131E96" w:rsidRPr="003C080E">
              <w:rPr>
                <w:rFonts w:ascii="Times New Roman" w:hAnsi="Times New Roman" w:cs="Times New Roman"/>
                <w:b/>
                <w:bCs/>
                <w:sz w:val="16"/>
                <w:szCs w:val="16"/>
              </w:rPr>
              <w:t>230</w:t>
            </w:r>
          </w:p>
        </w:tc>
        <w:tc>
          <w:tcPr>
            <w:tcW w:w="1021" w:type="dxa"/>
            <w:tcBorders>
              <w:top w:val="single" w:sz="4" w:space="0" w:color="auto"/>
              <w:left w:val="single" w:sz="4" w:space="0" w:color="auto"/>
              <w:bottom w:val="single" w:sz="4" w:space="0" w:color="auto"/>
              <w:right w:val="single" w:sz="4" w:space="0" w:color="auto"/>
            </w:tcBorders>
            <w:vAlign w:val="center"/>
          </w:tcPr>
          <w:p w:rsidR="00186E1A" w:rsidRPr="003C080E" w:rsidRDefault="009E004D" w:rsidP="00775D70">
            <w:pPr>
              <w:jc w:val="center"/>
              <w:rPr>
                <w:rFonts w:ascii="Times New Roman" w:hAnsi="Times New Roman" w:cs="Times New Roman"/>
                <w:b/>
                <w:bCs/>
                <w:sz w:val="16"/>
                <w:szCs w:val="16"/>
              </w:rPr>
            </w:pPr>
            <w:r w:rsidRPr="003C080E">
              <w:rPr>
                <w:rFonts w:ascii="Times New Roman" w:hAnsi="Times New Roman" w:cs="Times New Roman"/>
                <w:b/>
                <w:bCs/>
                <w:sz w:val="16"/>
                <w:szCs w:val="16"/>
              </w:rPr>
              <w:t>54.931.</w:t>
            </w:r>
            <w:r w:rsidR="00131E96" w:rsidRPr="003C080E">
              <w:rPr>
                <w:rFonts w:ascii="Times New Roman" w:hAnsi="Times New Roman" w:cs="Times New Roman"/>
                <w:b/>
                <w:bCs/>
                <w:sz w:val="16"/>
                <w:szCs w:val="16"/>
              </w:rPr>
              <w:t>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E1A" w:rsidRPr="00316C1B" w:rsidRDefault="009E004D" w:rsidP="00775D70">
            <w:pPr>
              <w:jc w:val="center"/>
              <w:rPr>
                <w:rFonts w:ascii="Times New Roman" w:hAnsi="Times New Roman" w:cs="Times New Roman"/>
                <w:b/>
                <w:bCs/>
                <w:strike/>
                <w:color w:val="000000"/>
                <w:sz w:val="16"/>
                <w:szCs w:val="16"/>
                <w:lang w:eastAsia="lt-LT"/>
              </w:rPr>
            </w:pPr>
            <w:r w:rsidRPr="00316C1B">
              <w:rPr>
                <w:rFonts w:ascii="Times New Roman" w:hAnsi="Times New Roman" w:cs="Times New Roman"/>
                <w:b/>
                <w:bCs/>
                <w:strike/>
                <w:color w:val="000000"/>
                <w:sz w:val="16"/>
                <w:szCs w:val="16"/>
                <w:lang w:eastAsia="lt-LT"/>
              </w:rPr>
              <w:t>1.412.</w:t>
            </w:r>
            <w:r w:rsidR="00131E96" w:rsidRPr="00316C1B">
              <w:rPr>
                <w:rFonts w:ascii="Times New Roman" w:hAnsi="Times New Roman" w:cs="Times New Roman"/>
                <w:b/>
                <w:bCs/>
                <w:strike/>
                <w:color w:val="000000"/>
                <w:sz w:val="16"/>
                <w:szCs w:val="16"/>
                <w:lang w:eastAsia="lt-LT"/>
              </w:rPr>
              <w:t>189 126</w:t>
            </w:r>
          </w:p>
          <w:p w:rsidR="00775D70" w:rsidRPr="003C080E" w:rsidRDefault="00613D99" w:rsidP="00775D70">
            <w:pPr>
              <w:jc w:val="center"/>
              <w:rPr>
                <w:rFonts w:ascii="Times New Roman" w:hAnsi="Times New Roman" w:cs="Times New Roman"/>
                <w:b/>
                <w:bCs/>
                <w:color w:val="000000"/>
                <w:sz w:val="16"/>
                <w:szCs w:val="16"/>
                <w:lang w:eastAsia="lt-LT"/>
              </w:rPr>
            </w:pPr>
            <w:r>
              <w:rPr>
                <w:rFonts w:ascii="Times New Roman" w:hAnsi="Times New Roman" w:cs="Times New Roman"/>
                <w:b/>
                <w:bCs/>
                <w:color w:val="000000"/>
                <w:sz w:val="16"/>
                <w:szCs w:val="16"/>
                <w:lang w:eastAsia="lt-LT"/>
              </w:rPr>
              <w:t>1.458.189.</w:t>
            </w:r>
            <w:r w:rsidR="00775D70" w:rsidRPr="00775D70">
              <w:rPr>
                <w:rFonts w:ascii="Times New Roman" w:hAnsi="Times New Roman" w:cs="Times New Roman"/>
                <w:b/>
                <w:bCs/>
                <w:color w:val="000000"/>
                <w:sz w:val="16"/>
                <w:szCs w:val="16"/>
                <w:lang w:eastAsia="lt-LT"/>
              </w:rPr>
              <w:t>126</w:t>
            </w:r>
          </w:p>
        </w:tc>
        <w:tc>
          <w:tcPr>
            <w:tcW w:w="680" w:type="dxa"/>
            <w:tcBorders>
              <w:top w:val="nil"/>
              <w:left w:val="nil"/>
              <w:bottom w:val="single" w:sz="4" w:space="0" w:color="auto"/>
              <w:right w:val="single" w:sz="4" w:space="0" w:color="auto"/>
            </w:tcBorders>
            <w:shd w:val="clear" w:color="auto" w:fill="auto"/>
            <w:vAlign w:val="center"/>
            <w:hideMark/>
          </w:tcPr>
          <w:p w:rsidR="009E1DDF" w:rsidRDefault="009E1DDF" w:rsidP="0051277F">
            <w:pPr>
              <w:jc w:val="center"/>
              <w:rPr>
                <w:rFonts w:ascii="Times New Roman" w:hAnsi="Times New Roman" w:cs="Times New Roman"/>
                <w:b/>
                <w:color w:val="000000"/>
                <w:sz w:val="16"/>
                <w:szCs w:val="16"/>
                <w:lang w:eastAsia="lt-LT"/>
              </w:rPr>
            </w:pPr>
            <w:r w:rsidRPr="003C080E">
              <w:rPr>
                <w:rFonts w:ascii="Times New Roman" w:hAnsi="Times New Roman" w:cs="Times New Roman"/>
                <w:b/>
                <w:color w:val="000000"/>
                <w:sz w:val="16"/>
                <w:szCs w:val="16"/>
                <w:lang w:eastAsia="lt-LT"/>
              </w:rPr>
              <w:t>85,00</w:t>
            </w:r>
          </w:p>
          <w:p w:rsidR="00186E1A" w:rsidRPr="003C080E" w:rsidRDefault="00775D70" w:rsidP="0051277F">
            <w:pPr>
              <w:jc w:val="center"/>
              <w:rPr>
                <w:rFonts w:ascii="Times New Roman" w:hAnsi="Times New Roman" w:cs="Times New Roman"/>
                <w:b/>
                <w:color w:val="000000"/>
                <w:sz w:val="16"/>
                <w:szCs w:val="16"/>
                <w:lang w:eastAsia="lt-LT"/>
              </w:rPr>
            </w:pPr>
            <w:r w:rsidRPr="00775D70">
              <w:rPr>
                <w:rFonts w:ascii="Times New Roman" w:hAnsi="Times New Roman" w:cs="Times New Roman"/>
                <w:b/>
                <w:color w:val="000000"/>
                <w:sz w:val="16"/>
                <w:szCs w:val="16"/>
                <w:lang w:eastAsia="lt-LT"/>
              </w:rPr>
              <w:t>85,47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bCs/>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131E96" w:rsidRPr="00316C1B" w:rsidRDefault="00377149" w:rsidP="0051277F">
            <w:pPr>
              <w:jc w:val="center"/>
              <w:rPr>
                <w:rFonts w:ascii="Times New Roman" w:hAnsi="Times New Roman" w:cs="Times New Roman"/>
                <w:b/>
                <w:strike/>
                <w:sz w:val="16"/>
                <w:szCs w:val="16"/>
                <w:lang w:eastAsia="lt-LT"/>
              </w:rPr>
            </w:pPr>
            <w:r w:rsidRPr="00316C1B">
              <w:rPr>
                <w:rFonts w:ascii="Times New Roman" w:hAnsi="Times New Roman" w:cs="Times New Roman"/>
                <w:b/>
                <w:strike/>
                <w:sz w:val="16"/>
                <w:szCs w:val="16"/>
                <w:lang w:eastAsia="lt-LT"/>
              </w:rPr>
              <w:t>1.128.339.108</w:t>
            </w:r>
          </w:p>
          <w:p w:rsidR="00186E1A" w:rsidRPr="003C080E" w:rsidRDefault="00613D99" w:rsidP="0051277F">
            <w:pPr>
              <w:jc w:val="center"/>
              <w:rPr>
                <w:rFonts w:ascii="Times New Roman" w:hAnsi="Times New Roman" w:cs="Times New Roman"/>
                <w:b/>
                <w:sz w:val="16"/>
                <w:szCs w:val="16"/>
                <w:lang w:eastAsia="lt-LT"/>
              </w:rPr>
            </w:pPr>
            <w:r>
              <w:rPr>
                <w:rFonts w:ascii="Times New Roman" w:hAnsi="Times New Roman" w:cs="Times New Roman"/>
                <w:b/>
                <w:sz w:val="16"/>
                <w:szCs w:val="16"/>
                <w:lang w:eastAsia="lt-LT"/>
              </w:rPr>
              <w:t>1.171.518.</w:t>
            </w:r>
            <w:r w:rsidR="00775D70" w:rsidRPr="00775D70">
              <w:rPr>
                <w:rFonts w:ascii="Times New Roman" w:hAnsi="Times New Roman" w:cs="Times New Roman"/>
                <w:b/>
                <w:sz w:val="16"/>
                <w:szCs w:val="16"/>
                <w:lang w:eastAsia="lt-LT"/>
              </w:rPr>
              <w:t>454</w:t>
            </w:r>
          </w:p>
        </w:tc>
        <w:tc>
          <w:tcPr>
            <w:tcW w:w="1276" w:type="dxa"/>
            <w:tcBorders>
              <w:top w:val="nil"/>
              <w:left w:val="nil"/>
              <w:bottom w:val="single" w:sz="4" w:space="0" w:color="auto"/>
              <w:right w:val="single" w:sz="4" w:space="0" w:color="auto"/>
            </w:tcBorders>
            <w:shd w:val="clear" w:color="auto" w:fill="auto"/>
            <w:vAlign w:val="center"/>
            <w:hideMark/>
          </w:tcPr>
          <w:p w:rsidR="00186E1A" w:rsidRPr="003C080E" w:rsidRDefault="00377149" w:rsidP="00775D70">
            <w:pPr>
              <w:jc w:val="center"/>
              <w:rPr>
                <w:rFonts w:ascii="Times New Roman" w:hAnsi="Times New Roman" w:cs="Times New Roman"/>
                <w:b/>
                <w:sz w:val="16"/>
                <w:szCs w:val="16"/>
                <w:lang w:eastAsia="lt-LT"/>
              </w:rPr>
            </w:pPr>
            <w:r>
              <w:rPr>
                <w:rFonts w:ascii="Times New Roman" w:hAnsi="Times New Roman" w:cs="Times New Roman"/>
                <w:b/>
                <w:sz w:val="16"/>
                <w:szCs w:val="16"/>
                <w:lang w:eastAsia="lt-LT"/>
              </w:rPr>
              <w:t>199.118.669</w:t>
            </w:r>
          </w:p>
        </w:tc>
        <w:tc>
          <w:tcPr>
            <w:tcW w:w="1134" w:type="dxa"/>
            <w:tcBorders>
              <w:top w:val="nil"/>
              <w:left w:val="nil"/>
              <w:bottom w:val="single" w:sz="4" w:space="0" w:color="auto"/>
              <w:right w:val="single" w:sz="4" w:space="0" w:color="auto"/>
            </w:tcBorders>
            <w:shd w:val="clear" w:color="auto" w:fill="auto"/>
            <w:vAlign w:val="center"/>
            <w:hideMark/>
          </w:tcPr>
          <w:p w:rsidR="00131E96" w:rsidRPr="00316C1B" w:rsidRDefault="00377149" w:rsidP="0051277F">
            <w:pPr>
              <w:jc w:val="center"/>
              <w:rPr>
                <w:rFonts w:ascii="Times New Roman" w:hAnsi="Times New Roman" w:cs="Times New Roman"/>
                <w:b/>
                <w:bCs/>
                <w:strike/>
                <w:sz w:val="16"/>
                <w:szCs w:val="16"/>
                <w:lang w:eastAsia="lt-LT"/>
              </w:rPr>
            </w:pPr>
            <w:r w:rsidRPr="00316C1B">
              <w:rPr>
                <w:rFonts w:ascii="Times New Roman" w:hAnsi="Times New Roman" w:cs="Times New Roman"/>
                <w:b/>
                <w:bCs/>
                <w:strike/>
                <w:sz w:val="16"/>
                <w:szCs w:val="16"/>
                <w:lang w:eastAsia="lt-LT"/>
              </w:rPr>
              <w:t>72.021.646</w:t>
            </w:r>
          </w:p>
          <w:p w:rsidR="00186E1A" w:rsidRPr="003C080E" w:rsidRDefault="00613D99" w:rsidP="0051277F">
            <w:pPr>
              <w:jc w:val="center"/>
              <w:rPr>
                <w:rFonts w:ascii="Times New Roman" w:hAnsi="Times New Roman" w:cs="Times New Roman"/>
                <w:b/>
                <w:bCs/>
                <w:sz w:val="16"/>
                <w:szCs w:val="16"/>
                <w:lang w:eastAsia="lt-LT"/>
              </w:rPr>
            </w:pPr>
            <w:r>
              <w:rPr>
                <w:rFonts w:ascii="Times New Roman" w:hAnsi="Times New Roman" w:cs="Times New Roman"/>
                <w:b/>
                <w:bCs/>
                <w:sz w:val="16"/>
                <w:szCs w:val="16"/>
                <w:lang w:eastAsia="lt-LT"/>
              </w:rPr>
              <w:t>74.842.</w:t>
            </w:r>
            <w:r w:rsidR="00775D70" w:rsidRPr="00775D70">
              <w:rPr>
                <w:rFonts w:ascii="Times New Roman" w:hAnsi="Times New Roman" w:cs="Times New Roman"/>
                <w:b/>
                <w:bCs/>
                <w:sz w:val="16"/>
                <w:szCs w:val="16"/>
                <w:lang w:eastAsia="lt-LT"/>
              </w:rPr>
              <w:t>300</w:t>
            </w:r>
          </w:p>
        </w:tc>
        <w:tc>
          <w:tcPr>
            <w:tcW w:w="1105" w:type="dxa"/>
            <w:tcBorders>
              <w:top w:val="nil"/>
              <w:left w:val="nil"/>
              <w:bottom w:val="single" w:sz="4" w:space="0" w:color="auto"/>
              <w:right w:val="single" w:sz="4" w:space="0" w:color="auto"/>
            </w:tcBorders>
            <w:shd w:val="clear" w:color="auto" w:fill="auto"/>
            <w:vAlign w:val="center"/>
            <w:hideMark/>
          </w:tcPr>
          <w:p w:rsidR="00186E1A" w:rsidRPr="003C080E" w:rsidRDefault="00890855" w:rsidP="00775D70">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12</w:t>
            </w:r>
            <w:r w:rsidR="00377149">
              <w:rPr>
                <w:rFonts w:ascii="Times New Roman" w:hAnsi="Times New Roman" w:cs="Times New Roman"/>
                <w:b/>
                <w:sz w:val="16"/>
                <w:szCs w:val="16"/>
                <w:lang w:eastAsia="lt-LT"/>
              </w:rPr>
              <w:t>.709.703</w:t>
            </w:r>
          </w:p>
        </w:tc>
        <w:tc>
          <w:tcPr>
            <w:tcW w:w="567" w:type="dxa"/>
            <w:tcBorders>
              <w:top w:val="nil"/>
              <w:left w:val="nil"/>
              <w:bottom w:val="single" w:sz="4" w:space="0" w:color="auto"/>
              <w:right w:val="single" w:sz="4" w:space="0" w:color="auto"/>
            </w:tcBorders>
            <w:shd w:val="clear" w:color="auto" w:fill="auto"/>
            <w:vAlign w:val="center"/>
            <w:hideMark/>
          </w:tcPr>
          <w:p w:rsidR="00186E1A" w:rsidRPr="003C080E" w:rsidRDefault="009E1DDF" w:rsidP="00775D70">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6,00</w:t>
            </w:r>
          </w:p>
        </w:tc>
      </w:tr>
      <w:tr w:rsidR="009E1DDF" w:rsidRPr="00697AD2" w:rsidTr="0051277F">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Iš viso</w:t>
            </w: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b/>
                <w:bCs/>
                <w:sz w:val="16"/>
                <w:szCs w:val="16"/>
                <w:lang w:eastAsia="lt-LT"/>
              </w:rPr>
            </w:pPr>
            <w:r w:rsidRPr="00697AD2">
              <w:rPr>
                <w:rFonts w:ascii="Times New Roman" w:hAnsi="Times New Roman" w:cs="Times New Roman"/>
                <w:b/>
                <w:bCs/>
                <w:sz w:val="16"/>
                <w:szCs w:val="16"/>
                <w:lang w:eastAsia="lt-LT"/>
              </w:rPr>
              <w:t>JUI</w:t>
            </w:r>
          </w:p>
        </w:tc>
        <w:tc>
          <w:tcPr>
            <w:tcW w:w="964" w:type="dxa"/>
            <w:tcBorders>
              <w:top w:val="nil"/>
              <w:left w:val="nil"/>
              <w:bottom w:val="single" w:sz="4" w:space="0" w:color="auto"/>
              <w:right w:val="single" w:sz="4" w:space="0" w:color="auto"/>
            </w:tcBorders>
            <w:shd w:val="clear" w:color="auto" w:fill="auto"/>
            <w:vAlign w:val="center"/>
          </w:tcPr>
          <w:p w:rsidR="009E1DDF" w:rsidRPr="00697AD2" w:rsidRDefault="009E1DDF" w:rsidP="009E1DDF">
            <w:pPr>
              <w:jc w:val="right"/>
              <w:rPr>
                <w:rFonts w:ascii="Times New Roman" w:hAnsi="Times New Roman" w:cs="Times New Roman"/>
                <w:b/>
                <w:bCs/>
                <w:color w:val="000000"/>
                <w:sz w:val="16"/>
                <w:szCs w:val="16"/>
                <w:lang w:eastAsia="lt-LT"/>
              </w:rPr>
            </w:pPr>
          </w:p>
        </w:tc>
        <w:tc>
          <w:tcPr>
            <w:tcW w:w="1162"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51277F">
            <w:pPr>
              <w:jc w:val="center"/>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63.565.266</w:t>
            </w:r>
          </w:p>
        </w:tc>
        <w:tc>
          <w:tcPr>
            <w:tcW w:w="1247"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bCs/>
                <w:color w:val="000000"/>
                <w:sz w:val="16"/>
                <w:szCs w:val="16"/>
                <w:lang w:eastAsia="lt-LT"/>
              </w:rPr>
            </w:pPr>
            <w:r w:rsidRPr="003C080E">
              <w:rPr>
                <w:rFonts w:ascii="Times New Roman" w:hAnsi="Times New Roman" w:cs="Times New Roman"/>
                <w:b/>
                <w:bCs/>
                <w:color w:val="000000"/>
                <w:sz w:val="16"/>
                <w:szCs w:val="16"/>
                <w:lang w:eastAsia="lt-LT"/>
              </w:rPr>
              <w:t>5.608.700</w:t>
            </w:r>
          </w:p>
        </w:tc>
        <w:tc>
          <w:tcPr>
            <w:tcW w:w="1134" w:type="dxa"/>
            <w:tcBorders>
              <w:top w:val="single" w:sz="4" w:space="0" w:color="auto"/>
              <w:left w:val="nil"/>
              <w:bottom w:val="single" w:sz="4" w:space="0" w:color="auto"/>
              <w:right w:val="single" w:sz="4" w:space="0" w:color="auto"/>
            </w:tcBorders>
            <w:vAlign w:val="center"/>
          </w:tcPr>
          <w:p w:rsidR="009E1DDF" w:rsidRPr="003C080E" w:rsidRDefault="009E1DDF" w:rsidP="0051277F">
            <w:pPr>
              <w:jc w:val="center"/>
              <w:rPr>
                <w:rFonts w:ascii="Times New Roman" w:hAnsi="Times New Roman" w:cs="Times New Roman"/>
                <w:b/>
                <w:bCs/>
                <w:sz w:val="16"/>
                <w:szCs w:val="16"/>
              </w:rPr>
            </w:pPr>
            <w:r w:rsidRPr="003C080E">
              <w:rPr>
                <w:rFonts w:ascii="Times New Roman" w:hAnsi="Times New Roman" w:cs="Times New Roman"/>
                <w:b/>
                <w:bCs/>
                <w:sz w:val="16"/>
                <w:szCs w:val="16"/>
              </w:rPr>
              <w:t>5.608.700</w:t>
            </w:r>
          </w:p>
        </w:tc>
        <w:tc>
          <w:tcPr>
            <w:tcW w:w="1021" w:type="dxa"/>
            <w:tcBorders>
              <w:top w:val="single" w:sz="4" w:space="0" w:color="auto"/>
              <w:left w:val="single" w:sz="4" w:space="0" w:color="auto"/>
              <w:bottom w:val="single" w:sz="4" w:space="0" w:color="auto"/>
              <w:right w:val="single" w:sz="4" w:space="0" w:color="auto"/>
            </w:tcBorders>
            <w:vAlign w:val="center"/>
          </w:tcPr>
          <w:p w:rsidR="009E1DDF" w:rsidRPr="003C080E" w:rsidRDefault="009E1DDF" w:rsidP="0051277F">
            <w:pPr>
              <w:jc w:val="center"/>
              <w:rPr>
                <w:rFonts w:ascii="Times New Roman" w:hAnsi="Times New Roman" w:cs="Times New Roman"/>
                <w:b/>
                <w:bCs/>
                <w:sz w:val="16"/>
                <w:szCs w:val="16"/>
              </w:rPr>
            </w:pPr>
            <w:r w:rsidRPr="003C080E">
              <w:rPr>
                <w:rFonts w:ascii="Times New Roman" w:hAnsi="Times New Roman" w:cs="Times New Roman"/>
                <w:b/>
                <w:bCs/>
                <w:sz w:val="16"/>
                <w:szCs w:val="16"/>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bCs/>
                <w:color w:val="000000"/>
                <w:sz w:val="16"/>
                <w:szCs w:val="16"/>
                <w:lang w:eastAsia="lt-LT"/>
              </w:rPr>
            </w:pPr>
            <w:r w:rsidRPr="003C080E">
              <w:rPr>
                <w:rFonts w:ascii="Times New Roman" w:hAnsi="Times New Roman" w:cs="Times New Roman"/>
                <w:b/>
                <w:bCs/>
                <w:color w:val="000000"/>
                <w:sz w:val="16"/>
                <w:szCs w:val="16"/>
                <w:lang w:eastAsia="lt-LT"/>
              </w:rPr>
              <w:t>69.173.966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91,89</w:t>
            </w:r>
          </w:p>
        </w:tc>
        <w:tc>
          <w:tcPr>
            <w:tcW w:w="425"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bCs/>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63.565.266</w:t>
            </w:r>
          </w:p>
        </w:tc>
        <w:tc>
          <w:tcPr>
            <w:tcW w:w="1276"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5.608.700,00</w:t>
            </w:r>
          </w:p>
        </w:tc>
        <w:tc>
          <w:tcPr>
            <w:tcW w:w="1134"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0</w:t>
            </w:r>
          </w:p>
        </w:tc>
        <w:tc>
          <w:tcPr>
            <w:tcW w:w="1105"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0</w:t>
            </w:r>
          </w:p>
        </w:tc>
        <w:tc>
          <w:tcPr>
            <w:tcW w:w="567"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0,00</w:t>
            </w:r>
          </w:p>
        </w:tc>
      </w:tr>
      <w:tr w:rsidR="009E1DDF" w:rsidRPr="00697AD2" w:rsidTr="0051277F">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t>Iš viso</w:t>
            </w:r>
          </w:p>
        </w:tc>
        <w:tc>
          <w:tcPr>
            <w:tcW w:w="738" w:type="dxa"/>
            <w:tcBorders>
              <w:top w:val="nil"/>
              <w:left w:val="nil"/>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b/>
                <w:bCs/>
                <w:color w:val="000000"/>
                <w:sz w:val="16"/>
                <w:szCs w:val="16"/>
                <w:lang w:eastAsia="lt-LT"/>
              </w:rPr>
            </w:pPr>
            <w:proofErr w:type="spellStart"/>
            <w:r w:rsidRPr="00697AD2">
              <w:rPr>
                <w:rFonts w:ascii="Times New Roman" w:hAnsi="Times New Roman" w:cs="Times New Roman"/>
                <w:b/>
                <w:bCs/>
                <w:color w:val="000000"/>
                <w:sz w:val="16"/>
                <w:szCs w:val="16"/>
                <w:lang w:eastAsia="lt-LT"/>
              </w:rPr>
              <w:t>SaF</w:t>
            </w:r>
            <w:proofErr w:type="spellEnd"/>
          </w:p>
        </w:tc>
        <w:tc>
          <w:tcPr>
            <w:tcW w:w="964" w:type="dxa"/>
            <w:tcBorders>
              <w:top w:val="nil"/>
              <w:left w:val="nil"/>
              <w:bottom w:val="single" w:sz="4" w:space="0" w:color="auto"/>
              <w:right w:val="single" w:sz="4" w:space="0" w:color="auto"/>
            </w:tcBorders>
            <w:shd w:val="clear" w:color="auto" w:fill="auto"/>
            <w:vAlign w:val="center"/>
          </w:tcPr>
          <w:p w:rsidR="009E1DDF" w:rsidRPr="00697AD2" w:rsidRDefault="009E1DDF" w:rsidP="009E1DDF">
            <w:pPr>
              <w:jc w:val="right"/>
              <w:rPr>
                <w:rFonts w:ascii="Times New Roman" w:hAnsi="Times New Roman" w:cs="Times New Roman"/>
                <w:b/>
                <w:bCs/>
                <w:color w:val="000000"/>
                <w:sz w:val="16"/>
                <w:szCs w:val="16"/>
                <w:lang w:eastAsia="lt-LT"/>
              </w:rPr>
            </w:pPr>
          </w:p>
        </w:tc>
        <w:tc>
          <w:tcPr>
            <w:tcW w:w="1162" w:type="dxa"/>
            <w:tcBorders>
              <w:top w:val="nil"/>
              <w:left w:val="nil"/>
              <w:bottom w:val="single" w:sz="4" w:space="0" w:color="auto"/>
              <w:right w:val="single" w:sz="4" w:space="0" w:color="auto"/>
            </w:tcBorders>
            <w:shd w:val="clear" w:color="auto" w:fill="auto"/>
            <w:vAlign w:val="center"/>
            <w:hideMark/>
          </w:tcPr>
          <w:p w:rsidR="00131E96" w:rsidRPr="00697AD2" w:rsidRDefault="009E004D" w:rsidP="0051277F">
            <w:pPr>
              <w:jc w:val="center"/>
              <w:rPr>
                <w:rFonts w:ascii="Times New Roman" w:hAnsi="Times New Roman" w:cs="Times New Roman"/>
                <w:b/>
                <w:bCs/>
                <w:color w:val="000000"/>
                <w:sz w:val="16"/>
                <w:szCs w:val="16"/>
                <w:lang w:eastAsia="lt-LT"/>
              </w:rPr>
            </w:pPr>
            <w:r>
              <w:rPr>
                <w:rFonts w:ascii="Times New Roman" w:hAnsi="Times New Roman" w:cs="Times New Roman"/>
                <w:b/>
                <w:bCs/>
                <w:color w:val="000000"/>
                <w:sz w:val="16"/>
                <w:szCs w:val="16"/>
                <w:lang w:eastAsia="lt-LT"/>
              </w:rPr>
              <w:t>2.</w:t>
            </w:r>
            <w:r w:rsidR="00131E96" w:rsidRPr="000F2D5C">
              <w:rPr>
                <w:rFonts w:ascii="Times New Roman" w:hAnsi="Times New Roman" w:cs="Times New Roman"/>
                <w:b/>
                <w:bCs/>
                <w:color w:val="000000"/>
                <w:sz w:val="16"/>
                <w:szCs w:val="16"/>
                <w:lang w:eastAsia="lt-LT"/>
              </w:rPr>
              <w:t>039</w:t>
            </w:r>
            <w:r>
              <w:rPr>
                <w:rFonts w:ascii="Times New Roman" w:hAnsi="Times New Roman" w:cs="Times New Roman"/>
                <w:b/>
                <w:bCs/>
                <w:color w:val="000000"/>
                <w:sz w:val="16"/>
                <w:szCs w:val="16"/>
                <w:lang w:eastAsia="lt-LT"/>
              </w:rPr>
              <w:t>.817.</w:t>
            </w:r>
            <w:r w:rsidR="00131E96" w:rsidRPr="000F2D5C">
              <w:rPr>
                <w:rFonts w:ascii="Times New Roman" w:hAnsi="Times New Roman" w:cs="Times New Roman"/>
                <w:b/>
                <w:bCs/>
                <w:color w:val="000000"/>
                <w:sz w:val="16"/>
                <w:szCs w:val="16"/>
                <w:lang w:eastAsia="lt-LT"/>
              </w:rPr>
              <w:t>626</w:t>
            </w:r>
          </w:p>
        </w:tc>
        <w:tc>
          <w:tcPr>
            <w:tcW w:w="1247" w:type="dxa"/>
            <w:tcBorders>
              <w:top w:val="nil"/>
              <w:left w:val="nil"/>
              <w:bottom w:val="single" w:sz="4" w:space="0" w:color="auto"/>
              <w:right w:val="single" w:sz="4" w:space="0" w:color="auto"/>
            </w:tcBorders>
            <w:shd w:val="clear" w:color="auto" w:fill="auto"/>
            <w:vAlign w:val="center"/>
            <w:hideMark/>
          </w:tcPr>
          <w:p w:rsidR="00131E96" w:rsidRPr="003C080E" w:rsidRDefault="009E004D" w:rsidP="0051277F">
            <w:pPr>
              <w:jc w:val="center"/>
              <w:rPr>
                <w:rFonts w:ascii="Times New Roman" w:hAnsi="Times New Roman" w:cs="Times New Roman"/>
                <w:b/>
                <w:bCs/>
                <w:color w:val="000000"/>
                <w:sz w:val="16"/>
                <w:szCs w:val="16"/>
                <w:lang w:eastAsia="lt-LT"/>
              </w:rPr>
            </w:pPr>
            <w:r w:rsidRPr="003C080E">
              <w:rPr>
                <w:rFonts w:ascii="Times New Roman" w:hAnsi="Times New Roman" w:cs="Times New Roman"/>
                <w:b/>
                <w:bCs/>
                <w:color w:val="000000"/>
                <w:sz w:val="16"/>
                <w:szCs w:val="16"/>
                <w:lang w:eastAsia="lt-LT"/>
              </w:rPr>
              <w:t>359.967.</w:t>
            </w:r>
            <w:r w:rsidR="00131E96" w:rsidRPr="003C080E">
              <w:rPr>
                <w:rFonts w:ascii="Times New Roman" w:hAnsi="Times New Roman" w:cs="Times New Roman"/>
                <w:b/>
                <w:bCs/>
                <w:color w:val="000000"/>
                <w:sz w:val="16"/>
                <w:szCs w:val="16"/>
                <w:lang w:eastAsia="lt-LT"/>
              </w:rPr>
              <w:t>819</w:t>
            </w:r>
          </w:p>
        </w:tc>
        <w:tc>
          <w:tcPr>
            <w:tcW w:w="1134" w:type="dxa"/>
            <w:tcBorders>
              <w:top w:val="single" w:sz="4" w:space="0" w:color="auto"/>
              <w:left w:val="nil"/>
              <w:bottom w:val="single" w:sz="4" w:space="0" w:color="auto"/>
              <w:right w:val="single" w:sz="4" w:space="0" w:color="auto"/>
            </w:tcBorders>
            <w:vAlign w:val="center"/>
          </w:tcPr>
          <w:p w:rsidR="00131E96" w:rsidRPr="003C080E" w:rsidRDefault="009E004D" w:rsidP="000E7695">
            <w:pPr>
              <w:jc w:val="center"/>
              <w:rPr>
                <w:rFonts w:ascii="Times New Roman" w:hAnsi="Times New Roman" w:cs="Times New Roman"/>
                <w:b/>
                <w:bCs/>
                <w:sz w:val="16"/>
                <w:szCs w:val="16"/>
              </w:rPr>
            </w:pPr>
            <w:r w:rsidRPr="003C080E">
              <w:rPr>
                <w:rFonts w:ascii="Times New Roman" w:hAnsi="Times New Roman" w:cs="Times New Roman"/>
                <w:b/>
                <w:bCs/>
                <w:sz w:val="16"/>
                <w:szCs w:val="16"/>
              </w:rPr>
              <w:t>137.837.</w:t>
            </w:r>
            <w:r w:rsidR="00131E96" w:rsidRPr="003C080E">
              <w:rPr>
                <w:rFonts w:ascii="Times New Roman" w:hAnsi="Times New Roman" w:cs="Times New Roman"/>
                <w:b/>
                <w:bCs/>
                <w:sz w:val="16"/>
                <w:szCs w:val="16"/>
              </w:rPr>
              <w:t>600</w:t>
            </w:r>
          </w:p>
        </w:tc>
        <w:tc>
          <w:tcPr>
            <w:tcW w:w="1021" w:type="dxa"/>
            <w:tcBorders>
              <w:top w:val="single" w:sz="4" w:space="0" w:color="auto"/>
              <w:left w:val="single" w:sz="4" w:space="0" w:color="auto"/>
              <w:bottom w:val="single" w:sz="4" w:space="0" w:color="auto"/>
              <w:right w:val="single" w:sz="4" w:space="0" w:color="auto"/>
            </w:tcBorders>
            <w:vAlign w:val="center"/>
          </w:tcPr>
          <w:p w:rsidR="00131E96" w:rsidRPr="003C080E" w:rsidRDefault="009E004D" w:rsidP="000E7695">
            <w:pPr>
              <w:jc w:val="center"/>
              <w:rPr>
                <w:rFonts w:ascii="Times New Roman" w:hAnsi="Times New Roman" w:cs="Times New Roman"/>
                <w:b/>
                <w:bCs/>
                <w:sz w:val="16"/>
                <w:szCs w:val="16"/>
              </w:rPr>
            </w:pPr>
            <w:r w:rsidRPr="003C080E">
              <w:rPr>
                <w:rFonts w:ascii="Times New Roman" w:hAnsi="Times New Roman" w:cs="Times New Roman"/>
                <w:b/>
                <w:bCs/>
                <w:sz w:val="16"/>
                <w:szCs w:val="16"/>
              </w:rPr>
              <w:t>222.130.</w:t>
            </w:r>
            <w:r w:rsidR="00131E96" w:rsidRPr="003C080E">
              <w:rPr>
                <w:rFonts w:ascii="Times New Roman" w:hAnsi="Times New Roman" w:cs="Times New Roman"/>
                <w:b/>
                <w:bCs/>
                <w:sz w:val="16"/>
                <w:szCs w:val="16"/>
              </w:rPr>
              <w:t>219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31E96" w:rsidRPr="003C080E" w:rsidRDefault="009E004D" w:rsidP="0051277F">
            <w:pPr>
              <w:jc w:val="center"/>
              <w:rPr>
                <w:rFonts w:ascii="Times New Roman" w:hAnsi="Times New Roman" w:cs="Times New Roman"/>
                <w:b/>
                <w:bCs/>
                <w:color w:val="000000"/>
                <w:sz w:val="16"/>
                <w:szCs w:val="16"/>
                <w:lang w:eastAsia="lt-LT"/>
              </w:rPr>
            </w:pPr>
            <w:r w:rsidRPr="003C080E">
              <w:rPr>
                <w:rFonts w:ascii="Times New Roman" w:hAnsi="Times New Roman" w:cs="Times New Roman"/>
                <w:b/>
                <w:bCs/>
                <w:color w:val="000000"/>
                <w:sz w:val="16"/>
                <w:szCs w:val="16"/>
                <w:lang w:eastAsia="lt-LT"/>
              </w:rPr>
              <w:t>2.399.785.</w:t>
            </w:r>
            <w:r w:rsidR="00131E96" w:rsidRPr="003C080E">
              <w:rPr>
                <w:rFonts w:ascii="Times New Roman" w:hAnsi="Times New Roman" w:cs="Times New Roman"/>
                <w:b/>
                <w:bCs/>
                <w:color w:val="000000"/>
                <w:sz w:val="16"/>
                <w:szCs w:val="16"/>
                <w:lang w:eastAsia="lt-LT"/>
              </w:rPr>
              <w:t>445</w:t>
            </w:r>
          </w:p>
        </w:tc>
        <w:tc>
          <w:tcPr>
            <w:tcW w:w="680"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85,00</w:t>
            </w:r>
          </w:p>
        </w:tc>
        <w:tc>
          <w:tcPr>
            <w:tcW w:w="425"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bCs/>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131E96" w:rsidRPr="003C080E" w:rsidRDefault="00377149" w:rsidP="0051277F">
            <w:pPr>
              <w:jc w:val="center"/>
              <w:rPr>
                <w:rFonts w:ascii="Times New Roman" w:hAnsi="Times New Roman" w:cs="Times New Roman"/>
                <w:b/>
                <w:sz w:val="16"/>
                <w:szCs w:val="16"/>
                <w:lang w:eastAsia="lt-LT"/>
              </w:rPr>
            </w:pPr>
            <w:r>
              <w:rPr>
                <w:rFonts w:ascii="Times New Roman" w:hAnsi="Times New Roman" w:cs="Times New Roman"/>
                <w:b/>
                <w:sz w:val="16"/>
                <w:szCs w:val="16"/>
                <w:lang w:eastAsia="lt-LT"/>
              </w:rPr>
              <w:t>1.917.428.569</w:t>
            </w:r>
          </w:p>
        </w:tc>
        <w:tc>
          <w:tcPr>
            <w:tcW w:w="1276" w:type="dxa"/>
            <w:tcBorders>
              <w:top w:val="nil"/>
              <w:left w:val="nil"/>
              <w:bottom w:val="single" w:sz="4" w:space="0" w:color="auto"/>
              <w:right w:val="single" w:sz="4" w:space="0" w:color="auto"/>
            </w:tcBorders>
            <w:shd w:val="clear" w:color="auto" w:fill="auto"/>
            <w:vAlign w:val="center"/>
            <w:hideMark/>
          </w:tcPr>
          <w:p w:rsidR="00131E96" w:rsidRPr="003C080E" w:rsidRDefault="00377149" w:rsidP="000E7695">
            <w:pPr>
              <w:jc w:val="center"/>
              <w:rPr>
                <w:rFonts w:ascii="Times New Roman" w:hAnsi="Times New Roman" w:cs="Times New Roman"/>
                <w:b/>
                <w:sz w:val="16"/>
                <w:szCs w:val="16"/>
                <w:lang w:eastAsia="lt-LT"/>
              </w:rPr>
            </w:pPr>
            <w:r>
              <w:rPr>
                <w:rFonts w:ascii="Times New Roman" w:hAnsi="Times New Roman" w:cs="Times New Roman"/>
                <w:b/>
                <w:sz w:val="16"/>
                <w:szCs w:val="16"/>
                <w:lang w:eastAsia="lt-LT"/>
              </w:rPr>
              <w:t>338.369.750</w:t>
            </w:r>
          </w:p>
        </w:tc>
        <w:tc>
          <w:tcPr>
            <w:tcW w:w="1134" w:type="dxa"/>
            <w:tcBorders>
              <w:top w:val="nil"/>
              <w:left w:val="nil"/>
              <w:bottom w:val="single" w:sz="4" w:space="0" w:color="auto"/>
              <w:right w:val="single" w:sz="4" w:space="0" w:color="auto"/>
            </w:tcBorders>
            <w:shd w:val="clear" w:color="auto" w:fill="auto"/>
            <w:vAlign w:val="center"/>
            <w:hideMark/>
          </w:tcPr>
          <w:p w:rsidR="00131E96" w:rsidRPr="003C080E" w:rsidRDefault="00377149" w:rsidP="0051277F">
            <w:pPr>
              <w:jc w:val="center"/>
              <w:rPr>
                <w:rFonts w:ascii="Times New Roman" w:hAnsi="Times New Roman" w:cs="Times New Roman"/>
                <w:b/>
                <w:bCs/>
                <w:sz w:val="16"/>
                <w:szCs w:val="16"/>
                <w:lang w:eastAsia="lt-LT"/>
              </w:rPr>
            </w:pPr>
            <w:r>
              <w:rPr>
                <w:rFonts w:ascii="Times New Roman" w:hAnsi="Times New Roman" w:cs="Times New Roman"/>
                <w:b/>
                <w:bCs/>
                <w:sz w:val="16"/>
                <w:szCs w:val="16"/>
                <w:lang w:eastAsia="lt-LT"/>
              </w:rPr>
              <w:t>122.389.057</w:t>
            </w:r>
          </w:p>
        </w:tc>
        <w:tc>
          <w:tcPr>
            <w:tcW w:w="1105" w:type="dxa"/>
            <w:tcBorders>
              <w:top w:val="nil"/>
              <w:left w:val="nil"/>
              <w:bottom w:val="single" w:sz="4" w:space="0" w:color="auto"/>
              <w:right w:val="single" w:sz="4" w:space="0" w:color="auto"/>
            </w:tcBorders>
            <w:shd w:val="clear" w:color="auto" w:fill="auto"/>
            <w:vAlign w:val="center"/>
            <w:hideMark/>
          </w:tcPr>
          <w:p w:rsidR="00131E96" w:rsidRPr="003C080E" w:rsidRDefault="00377149" w:rsidP="00836CF2">
            <w:pPr>
              <w:jc w:val="center"/>
              <w:rPr>
                <w:rFonts w:ascii="Times New Roman" w:hAnsi="Times New Roman" w:cs="Times New Roman"/>
                <w:b/>
                <w:sz w:val="16"/>
                <w:szCs w:val="16"/>
                <w:lang w:eastAsia="lt-LT"/>
              </w:rPr>
            </w:pPr>
            <w:r>
              <w:rPr>
                <w:rFonts w:ascii="Times New Roman" w:hAnsi="Times New Roman" w:cs="Times New Roman"/>
                <w:b/>
                <w:sz w:val="16"/>
                <w:szCs w:val="16"/>
                <w:lang w:eastAsia="lt-LT"/>
              </w:rPr>
              <w:t>21.598.069</w:t>
            </w:r>
          </w:p>
        </w:tc>
        <w:tc>
          <w:tcPr>
            <w:tcW w:w="567" w:type="dxa"/>
            <w:tcBorders>
              <w:top w:val="nil"/>
              <w:left w:val="nil"/>
              <w:bottom w:val="single" w:sz="4" w:space="0" w:color="auto"/>
              <w:right w:val="single" w:sz="4" w:space="0" w:color="auto"/>
            </w:tcBorders>
            <w:shd w:val="clear" w:color="auto" w:fill="auto"/>
            <w:vAlign w:val="center"/>
            <w:hideMark/>
          </w:tcPr>
          <w:p w:rsidR="009E1DDF" w:rsidRPr="003C080E" w:rsidRDefault="00836CF2" w:rsidP="0051277F">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6,01</w:t>
            </w:r>
          </w:p>
        </w:tc>
      </w:tr>
      <w:tr w:rsidR="009E1DDF" w:rsidRPr="00697AD2" w:rsidTr="0051277F">
        <w:trPr>
          <w:trHeight w:val="30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9E1DDF" w:rsidRPr="00697AD2" w:rsidRDefault="009E1DDF" w:rsidP="009E1DDF">
            <w:pPr>
              <w:jc w:val="both"/>
              <w:rPr>
                <w:rFonts w:ascii="Times New Roman" w:hAnsi="Times New Roman" w:cs="Times New Roman"/>
                <w:b/>
                <w:bCs/>
                <w:color w:val="000000"/>
                <w:sz w:val="16"/>
                <w:szCs w:val="16"/>
                <w:lang w:eastAsia="lt-LT"/>
              </w:rPr>
            </w:pPr>
            <w:r w:rsidRPr="00697AD2">
              <w:rPr>
                <w:rFonts w:ascii="Times New Roman" w:hAnsi="Times New Roman" w:cs="Times New Roman"/>
                <w:b/>
                <w:bCs/>
                <w:color w:val="000000"/>
                <w:sz w:val="16"/>
                <w:szCs w:val="16"/>
                <w:lang w:eastAsia="lt-LT"/>
              </w:rPr>
              <w:lastRenderedPageBreak/>
              <w:t>Iš viso</w:t>
            </w:r>
          </w:p>
        </w:tc>
        <w:tc>
          <w:tcPr>
            <w:tcW w:w="738" w:type="dxa"/>
            <w:tcBorders>
              <w:top w:val="nil"/>
              <w:left w:val="nil"/>
              <w:bottom w:val="single" w:sz="4" w:space="0" w:color="auto"/>
              <w:right w:val="single" w:sz="4" w:space="0" w:color="auto"/>
            </w:tcBorders>
            <w:shd w:val="clear" w:color="auto" w:fill="auto"/>
            <w:vAlign w:val="center"/>
          </w:tcPr>
          <w:p w:rsidR="009E1DDF" w:rsidRPr="00697AD2" w:rsidRDefault="009E1DDF" w:rsidP="009E1DDF">
            <w:pPr>
              <w:jc w:val="both"/>
              <w:rPr>
                <w:rFonts w:ascii="Times New Roman" w:hAnsi="Times New Roman" w:cs="Times New Roman"/>
                <w:b/>
                <w:bCs/>
                <w:color w:val="000000"/>
                <w:sz w:val="16"/>
                <w:szCs w:val="16"/>
                <w:lang w:eastAsia="lt-LT"/>
              </w:rPr>
            </w:pPr>
          </w:p>
        </w:tc>
        <w:tc>
          <w:tcPr>
            <w:tcW w:w="964" w:type="dxa"/>
            <w:tcBorders>
              <w:top w:val="nil"/>
              <w:left w:val="nil"/>
              <w:bottom w:val="single" w:sz="4" w:space="0" w:color="auto"/>
              <w:right w:val="single" w:sz="4" w:space="0" w:color="auto"/>
            </w:tcBorders>
            <w:shd w:val="clear" w:color="auto" w:fill="auto"/>
            <w:vAlign w:val="center"/>
          </w:tcPr>
          <w:p w:rsidR="009E1DDF" w:rsidRPr="00697AD2" w:rsidRDefault="009E1DDF" w:rsidP="009E1DDF">
            <w:pPr>
              <w:jc w:val="right"/>
              <w:rPr>
                <w:rFonts w:ascii="Times New Roman" w:hAnsi="Times New Roman" w:cs="Times New Roman"/>
                <w:b/>
                <w:bCs/>
                <w:color w:val="000000"/>
                <w:sz w:val="16"/>
                <w:szCs w:val="16"/>
                <w:lang w:eastAsia="lt-LT"/>
              </w:rPr>
            </w:pPr>
          </w:p>
        </w:tc>
        <w:tc>
          <w:tcPr>
            <w:tcW w:w="1162" w:type="dxa"/>
            <w:tcBorders>
              <w:top w:val="nil"/>
              <w:left w:val="nil"/>
              <w:bottom w:val="single" w:sz="4" w:space="0" w:color="auto"/>
              <w:right w:val="single" w:sz="4" w:space="0" w:color="auto"/>
            </w:tcBorders>
            <w:shd w:val="clear" w:color="auto" w:fill="auto"/>
            <w:vAlign w:val="center"/>
            <w:hideMark/>
          </w:tcPr>
          <w:p w:rsidR="00131E96" w:rsidRPr="00316C1B" w:rsidRDefault="009E1DDF" w:rsidP="00131E96">
            <w:pPr>
              <w:jc w:val="center"/>
              <w:rPr>
                <w:rFonts w:ascii="Times New Roman" w:hAnsi="Times New Roman" w:cs="Times New Roman"/>
                <w:b/>
                <w:bCs/>
                <w:strike/>
                <w:color w:val="000000"/>
                <w:sz w:val="16"/>
                <w:szCs w:val="16"/>
                <w:lang w:eastAsia="lt-LT"/>
              </w:rPr>
            </w:pPr>
            <w:r w:rsidRPr="00316C1B">
              <w:rPr>
                <w:rFonts w:ascii="Times New Roman" w:hAnsi="Times New Roman" w:cs="Times New Roman"/>
                <w:b/>
                <w:bCs/>
                <w:strike/>
                <w:color w:val="000000"/>
                <w:sz w:val="16"/>
                <w:szCs w:val="16"/>
                <w:lang w:eastAsia="lt-LT"/>
              </w:rPr>
              <w:t>6.709.396.130</w:t>
            </w:r>
          </w:p>
          <w:p w:rsidR="00186E1A" w:rsidRPr="00131E96" w:rsidRDefault="00613D99" w:rsidP="00131E96">
            <w:pPr>
              <w:jc w:val="center"/>
              <w:rPr>
                <w:rFonts w:ascii="Times New Roman" w:hAnsi="Times New Roman" w:cs="Times New Roman"/>
                <w:b/>
                <w:bCs/>
                <w:color w:val="000000"/>
                <w:sz w:val="16"/>
                <w:szCs w:val="16"/>
                <w:lang w:eastAsia="lt-LT"/>
              </w:rPr>
            </w:pPr>
            <w:r>
              <w:rPr>
                <w:rFonts w:ascii="Times New Roman" w:hAnsi="Times New Roman" w:cs="Times New Roman"/>
                <w:b/>
                <w:bCs/>
                <w:color w:val="000000"/>
                <w:sz w:val="16"/>
                <w:szCs w:val="16"/>
                <w:lang w:eastAsia="lt-LT"/>
              </w:rPr>
              <w:t>7.049.396.</w:t>
            </w:r>
            <w:r w:rsidR="00775D70" w:rsidRPr="00775D70">
              <w:rPr>
                <w:rFonts w:ascii="Times New Roman" w:hAnsi="Times New Roman" w:cs="Times New Roman"/>
                <w:b/>
                <w:bCs/>
                <w:color w:val="000000"/>
                <w:sz w:val="16"/>
                <w:szCs w:val="16"/>
                <w:lang w:eastAsia="lt-LT"/>
              </w:rPr>
              <w:t>130</w:t>
            </w:r>
          </w:p>
        </w:tc>
        <w:tc>
          <w:tcPr>
            <w:tcW w:w="1247" w:type="dxa"/>
            <w:tcBorders>
              <w:top w:val="nil"/>
              <w:left w:val="nil"/>
              <w:bottom w:val="single" w:sz="4" w:space="0" w:color="auto"/>
              <w:right w:val="single" w:sz="4" w:space="0" w:color="auto"/>
            </w:tcBorders>
            <w:shd w:val="clear" w:color="auto" w:fill="auto"/>
            <w:vAlign w:val="center"/>
            <w:hideMark/>
          </w:tcPr>
          <w:p w:rsidR="00186E1A" w:rsidRPr="003C080E" w:rsidRDefault="009E004D" w:rsidP="00775D70">
            <w:pPr>
              <w:jc w:val="center"/>
              <w:rPr>
                <w:rFonts w:ascii="Times New Roman" w:hAnsi="Times New Roman" w:cs="Times New Roman"/>
                <w:b/>
                <w:bCs/>
                <w:color w:val="000000"/>
                <w:sz w:val="16"/>
                <w:szCs w:val="16"/>
                <w:lang w:eastAsia="lt-LT"/>
              </w:rPr>
            </w:pPr>
            <w:r w:rsidRPr="003C080E">
              <w:rPr>
                <w:rFonts w:ascii="Times New Roman" w:hAnsi="Times New Roman" w:cs="Times New Roman"/>
                <w:b/>
                <w:bCs/>
                <w:color w:val="000000"/>
                <w:sz w:val="16"/>
                <w:szCs w:val="16"/>
                <w:lang w:eastAsia="lt-LT"/>
              </w:rPr>
              <w:t>1.178.402.</w:t>
            </w:r>
            <w:r w:rsidR="00C7408A" w:rsidRPr="003C080E">
              <w:rPr>
                <w:rFonts w:ascii="Times New Roman" w:hAnsi="Times New Roman" w:cs="Times New Roman"/>
                <w:b/>
                <w:bCs/>
                <w:color w:val="000000"/>
                <w:sz w:val="16"/>
                <w:szCs w:val="16"/>
                <w:lang w:eastAsia="lt-LT"/>
              </w:rPr>
              <w:t>394</w:t>
            </w:r>
          </w:p>
        </w:tc>
        <w:tc>
          <w:tcPr>
            <w:tcW w:w="1134" w:type="dxa"/>
            <w:tcBorders>
              <w:top w:val="single" w:sz="4" w:space="0" w:color="auto"/>
              <w:left w:val="nil"/>
              <w:bottom w:val="single" w:sz="4" w:space="0" w:color="auto"/>
              <w:right w:val="single" w:sz="4" w:space="0" w:color="auto"/>
            </w:tcBorders>
            <w:vAlign w:val="center"/>
          </w:tcPr>
          <w:p w:rsidR="00186E1A" w:rsidRPr="003C080E" w:rsidRDefault="00656133" w:rsidP="00775D70">
            <w:pPr>
              <w:jc w:val="center"/>
              <w:rPr>
                <w:rFonts w:ascii="Times New Roman" w:hAnsi="Times New Roman" w:cs="Times New Roman"/>
                <w:b/>
                <w:bCs/>
                <w:sz w:val="16"/>
                <w:szCs w:val="16"/>
              </w:rPr>
            </w:pPr>
            <w:r w:rsidRPr="003C080E">
              <w:rPr>
                <w:rFonts w:ascii="Times New Roman" w:hAnsi="Times New Roman" w:cs="Times New Roman"/>
                <w:b/>
                <w:bCs/>
                <w:sz w:val="16"/>
                <w:szCs w:val="16"/>
              </w:rPr>
              <w:t>546.897.884</w:t>
            </w:r>
          </w:p>
        </w:tc>
        <w:tc>
          <w:tcPr>
            <w:tcW w:w="1021" w:type="dxa"/>
            <w:tcBorders>
              <w:top w:val="single" w:sz="4" w:space="0" w:color="auto"/>
              <w:left w:val="single" w:sz="4" w:space="0" w:color="auto"/>
              <w:bottom w:val="single" w:sz="4" w:space="0" w:color="auto"/>
              <w:right w:val="single" w:sz="4" w:space="0" w:color="auto"/>
            </w:tcBorders>
            <w:vAlign w:val="center"/>
          </w:tcPr>
          <w:p w:rsidR="00186E1A" w:rsidRPr="003C080E" w:rsidRDefault="00656133" w:rsidP="00775D70">
            <w:pPr>
              <w:jc w:val="center"/>
              <w:rPr>
                <w:rFonts w:ascii="Times New Roman" w:hAnsi="Times New Roman" w:cs="Times New Roman"/>
                <w:b/>
                <w:bCs/>
                <w:sz w:val="16"/>
                <w:szCs w:val="16"/>
              </w:rPr>
            </w:pPr>
            <w:r w:rsidRPr="003C080E">
              <w:rPr>
                <w:rFonts w:ascii="Times New Roman" w:hAnsi="Times New Roman" w:cs="Times New Roman"/>
                <w:b/>
                <w:bCs/>
                <w:sz w:val="16"/>
                <w:szCs w:val="16"/>
              </w:rPr>
              <w:t>631.504.510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31E96" w:rsidRPr="00316C1B" w:rsidRDefault="009E004D" w:rsidP="000E7695">
            <w:pPr>
              <w:jc w:val="center"/>
              <w:rPr>
                <w:rFonts w:ascii="Times New Roman" w:hAnsi="Times New Roman" w:cs="Times New Roman"/>
                <w:b/>
                <w:bCs/>
                <w:strike/>
                <w:color w:val="000000"/>
                <w:sz w:val="16"/>
                <w:szCs w:val="16"/>
                <w:lang w:eastAsia="lt-LT"/>
              </w:rPr>
            </w:pPr>
            <w:r w:rsidRPr="00316C1B">
              <w:rPr>
                <w:rFonts w:ascii="Times New Roman" w:hAnsi="Times New Roman" w:cs="Times New Roman"/>
                <w:b/>
                <w:bCs/>
                <w:strike/>
                <w:color w:val="000000"/>
                <w:sz w:val="16"/>
                <w:szCs w:val="16"/>
                <w:lang w:eastAsia="lt-LT"/>
              </w:rPr>
              <w:t>7.887.798.</w:t>
            </w:r>
            <w:r w:rsidR="00656133" w:rsidRPr="00316C1B">
              <w:rPr>
                <w:rFonts w:ascii="Times New Roman" w:hAnsi="Times New Roman" w:cs="Times New Roman"/>
                <w:b/>
                <w:bCs/>
                <w:strike/>
                <w:color w:val="000000"/>
                <w:sz w:val="16"/>
                <w:szCs w:val="16"/>
                <w:lang w:eastAsia="lt-LT"/>
              </w:rPr>
              <w:t>524</w:t>
            </w:r>
          </w:p>
          <w:p w:rsidR="00186E1A" w:rsidRPr="003C080E" w:rsidRDefault="00613D99" w:rsidP="000E7695">
            <w:pPr>
              <w:jc w:val="center"/>
              <w:rPr>
                <w:rFonts w:ascii="Times New Roman" w:hAnsi="Times New Roman" w:cs="Times New Roman"/>
                <w:b/>
                <w:bCs/>
                <w:color w:val="000000"/>
                <w:sz w:val="16"/>
                <w:szCs w:val="16"/>
                <w:lang w:eastAsia="lt-LT"/>
              </w:rPr>
            </w:pPr>
            <w:r>
              <w:rPr>
                <w:rFonts w:ascii="Times New Roman" w:hAnsi="Times New Roman" w:cs="Times New Roman"/>
                <w:b/>
                <w:bCs/>
                <w:color w:val="000000"/>
                <w:sz w:val="16"/>
                <w:szCs w:val="16"/>
                <w:lang w:eastAsia="lt-LT"/>
              </w:rPr>
              <w:t>8.227.798.</w:t>
            </w:r>
            <w:r w:rsidR="00775D70" w:rsidRPr="00775D70">
              <w:rPr>
                <w:rFonts w:ascii="Times New Roman" w:hAnsi="Times New Roman" w:cs="Times New Roman"/>
                <w:b/>
                <w:bCs/>
                <w:color w:val="000000"/>
                <w:sz w:val="16"/>
                <w:szCs w:val="16"/>
                <w:lang w:eastAsia="lt-LT"/>
              </w:rPr>
              <w:t>524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DDF" w:rsidRPr="00316C1B" w:rsidRDefault="009E1DDF" w:rsidP="0051277F">
            <w:pPr>
              <w:jc w:val="center"/>
              <w:rPr>
                <w:rFonts w:ascii="Times New Roman" w:hAnsi="Times New Roman" w:cs="Times New Roman"/>
                <w:b/>
                <w:strike/>
                <w:sz w:val="16"/>
                <w:szCs w:val="16"/>
                <w:lang w:eastAsia="lt-LT"/>
              </w:rPr>
            </w:pPr>
            <w:r w:rsidRPr="00316C1B">
              <w:rPr>
                <w:rFonts w:ascii="Times New Roman" w:hAnsi="Times New Roman" w:cs="Times New Roman"/>
                <w:b/>
                <w:strike/>
                <w:sz w:val="16"/>
                <w:szCs w:val="16"/>
                <w:lang w:eastAsia="lt-LT"/>
              </w:rPr>
              <w:t>85,06</w:t>
            </w:r>
          </w:p>
          <w:p w:rsidR="00186E1A" w:rsidRPr="003C080E" w:rsidRDefault="00775D70" w:rsidP="0051277F">
            <w:pPr>
              <w:jc w:val="center"/>
              <w:rPr>
                <w:rFonts w:ascii="Times New Roman" w:hAnsi="Times New Roman" w:cs="Times New Roman"/>
                <w:b/>
                <w:sz w:val="16"/>
                <w:szCs w:val="16"/>
                <w:lang w:eastAsia="lt-LT"/>
              </w:rPr>
            </w:pPr>
            <w:r w:rsidRPr="00775D70">
              <w:rPr>
                <w:rFonts w:ascii="Times New Roman" w:hAnsi="Times New Roman" w:cs="Times New Roman"/>
                <w:b/>
                <w:sz w:val="16"/>
                <w:szCs w:val="16"/>
                <w:lang w:eastAsia="lt-LT"/>
              </w:rPr>
              <w:t>85,68</w:t>
            </w:r>
          </w:p>
        </w:tc>
        <w:tc>
          <w:tcPr>
            <w:tcW w:w="425" w:type="dxa"/>
            <w:tcBorders>
              <w:top w:val="nil"/>
              <w:left w:val="nil"/>
              <w:bottom w:val="single" w:sz="4" w:space="0" w:color="auto"/>
              <w:right w:val="single" w:sz="4" w:space="0" w:color="auto"/>
            </w:tcBorders>
            <w:shd w:val="clear" w:color="auto" w:fill="auto"/>
            <w:vAlign w:val="center"/>
            <w:hideMark/>
          </w:tcPr>
          <w:p w:rsidR="009E1DDF" w:rsidRPr="003C080E" w:rsidRDefault="009E1DDF" w:rsidP="0051277F">
            <w:pPr>
              <w:jc w:val="center"/>
              <w:rPr>
                <w:rFonts w:ascii="Times New Roman" w:hAnsi="Times New Roman" w:cs="Times New Roman"/>
                <w:b/>
                <w:bCs/>
                <w:sz w:val="16"/>
                <w:szCs w:val="16"/>
                <w:lang w:eastAsia="lt-LT"/>
              </w:rPr>
            </w:pPr>
          </w:p>
        </w:tc>
        <w:tc>
          <w:tcPr>
            <w:tcW w:w="1305" w:type="dxa"/>
            <w:tcBorders>
              <w:top w:val="nil"/>
              <w:left w:val="nil"/>
              <w:bottom w:val="single" w:sz="4" w:space="0" w:color="auto"/>
              <w:right w:val="single" w:sz="4" w:space="0" w:color="auto"/>
            </w:tcBorders>
            <w:shd w:val="clear" w:color="auto" w:fill="auto"/>
            <w:vAlign w:val="center"/>
            <w:hideMark/>
          </w:tcPr>
          <w:p w:rsidR="00131E96" w:rsidRPr="00316C1B" w:rsidRDefault="00722F8A" w:rsidP="00722F8A">
            <w:pPr>
              <w:jc w:val="center"/>
              <w:rPr>
                <w:rFonts w:ascii="Times New Roman" w:hAnsi="Times New Roman" w:cs="Times New Roman"/>
                <w:b/>
                <w:strike/>
                <w:sz w:val="16"/>
                <w:szCs w:val="16"/>
                <w:lang w:eastAsia="lt-LT"/>
              </w:rPr>
            </w:pPr>
            <w:r w:rsidRPr="00316C1B">
              <w:rPr>
                <w:rFonts w:ascii="Times New Roman" w:hAnsi="Times New Roman" w:cs="Times New Roman"/>
                <w:b/>
                <w:strike/>
                <w:sz w:val="16"/>
                <w:szCs w:val="16"/>
                <w:lang w:eastAsia="lt-LT"/>
              </w:rPr>
              <w:t>6.310.646.278</w:t>
            </w:r>
          </w:p>
          <w:p w:rsidR="00186E1A" w:rsidRPr="00722F8A" w:rsidRDefault="00613D99" w:rsidP="00722F8A">
            <w:pPr>
              <w:jc w:val="center"/>
              <w:rPr>
                <w:rFonts w:ascii="Times New Roman" w:hAnsi="Times New Roman" w:cs="Times New Roman"/>
                <w:b/>
                <w:sz w:val="16"/>
                <w:szCs w:val="16"/>
                <w:lang w:eastAsia="lt-LT"/>
              </w:rPr>
            </w:pPr>
            <w:r>
              <w:rPr>
                <w:rFonts w:ascii="Times New Roman" w:hAnsi="Times New Roman" w:cs="Times New Roman"/>
                <w:b/>
                <w:sz w:val="16"/>
                <w:szCs w:val="16"/>
                <w:lang w:eastAsia="lt-LT"/>
              </w:rPr>
              <w:t>6.630.185.</w:t>
            </w:r>
            <w:r w:rsidR="00775D70" w:rsidRPr="00775D70">
              <w:rPr>
                <w:rFonts w:ascii="Times New Roman" w:hAnsi="Times New Roman" w:cs="Times New Roman"/>
                <w:b/>
                <w:sz w:val="16"/>
                <w:szCs w:val="16"/>
                <w:lang w:eastAsia="lt-LT"/>
              </w:rPr>
              <w:t>624</w:t>
            </w:r>
          </w:p>
        </w:tc>
        <w:tc>
          <w:tcPr>
            <w:tcW w:w="1276" w:type="dxa"/>
            <w:tcBorders>
              <w:top w:val="nil"/>
              <w:left w:val="nil"/>
              <w:bottom w:val="single" w:sz="4" w:space="0" w:color="auto"/>
              <w:right w:val="single" w:sz="4" w:space="0" w:color="auto"/>
            </w:tcBorders>
            <w:shd w:val="clear" w:color="auto" w:fill="auto"/>
            <w:vAlign w:val="center"/>
            <w:hideMark/>
          </w:tcPr>
          <w:p w:rsidR="00186E1A" w:rsidRPr="003C080E" w:rsidRDefault="00722F8A" w:rsidP="00775D70">
            <w:pPr>
              <w:jc w:val="center"/>
              <w:rPr>
                <w:rFonts w:ascii="Times New Roman" w:hAnsi="Times New Roman" w:cs="Times New Roman"/>
                <w:b/>
                <w:sz w:val="16"/>
                <w:szCs w:val="16"/>
                <w:lang w:eastAsia="lt-LT"/>
              </w:rPr>
            </w:pPr>
            <w:r>
              <w:rPr>
                <w:rFonts w:ascii="Times New Roman" w:hAnsi="Times New Roman" w:cs="Times New Roman"/>
                <w:b/>
                <w:sz w:val="16"/>
                <w:szCs w:val="16"/>
                <w:lang w:eastAsia="lt-LT"/>
              </w:rPr>
              <w:t>1.108.034.773</w:t>
            </w:r>
          </w:p>
        </w:tc>
        <w:tc>
          <w:tcPr>
            <w:tcW w:w="1134" w:type="dxa"/>
            <w:tcBorders>
              <w:top w:val="nil"/>
              <w:left w:val="nil"/>
              <w:bottom w:val="single" w:sz="4" w:space="0" w:color="auto"/>
              <w:right w:val="single" w:sz="4" w:space="0" w:color="auto"/>
            </w:tcBorders>
            <w:shd w:val="clear" w:color="auto" w:fill="auto"/>
            <w:vAlign w:val="center"/>
            <w:hideMark/>
          </w:tcPr>
          <w:p w:rsidR="00131E96" w:rsidRPr="00316C1B" w:rsidRDefault="00722F8A" w:rsidP="00722F8A">
            <w:pPr>
              <w:jc w:val="center"/>
              <w:rPr>
                <w:rFonts w:ascii="Times New Roman" w:hAnsi="Times New Roman" w:cs="Times New Roman"/>
                <w:b/>
                <w:strike/>
                <w:sz w:val="16"/>
                <w:szCs w:val="16"/>
                <w:lang w:eastAsia="lt-LT"/>
              </w:rPr>
            </w:pPr>
            <w:r w:rsidRPr="00316C1B">
              <w:rPr>
                <w:rFonts w:ascii="Times New Roman" w:hAnsi="Times New Roman" w:cs="Times New Roman"/>
                <w:b/>
                <w:strike/>
                <w:sz w:val="16"/>
                <w:szCs w:val="16"/>
                <w:lang w:eastAsia="lt-LT"/>
              </w:rPr>
              <w:t>398.749.852</w:t>
            </w:r>
          </w:p>
          <w:p w:rsidR="00186E1A" w:rsidRPr="00722F8A" w:rsidRDefault="00613D99" w:rsidP="00722F8A">
            <w:pPr>
              <w:jc w:val="center"/>
              <w:rPr>
                <w:rFonts w:ascii="Times New Roman" w:hAnsi="Times New Roman" w:cs="Times New Roman"/>
                <w:b/>
                <w:sz w:val="16"/>
                <w:szCs w:val="16"/>
                <w:lang w:eastAsia="lt-LT"/>
              </w:rPr>
            </w:pPr>
            <w:r>
              <w:rPr>
                <w:rFonts w:ascii="Times New Roman" w:hAnsi="Times New Roman" w:cs="Times New Roman"/>
                <w:b/>
                <w:sz w:val="16"/>
                <w:szCs w:val="16"/>
                <w:lang w:eastAsia="lt-LT"/>
              </w:rPr>
              <w:t>419.210.</w:t>
            </w:r>
            <w:r w:rsidR="00775D70" w:rsidRPr="00775D70">
              <w:rPr>
                <w:rFonts w:ascii="Times New Roman" w:hAnsi="Times New Roman" w:cs="Times New Roman"/>
                <w:b/>
                <w:sz w:val="16"/>
                <w:szCs w:val="16"/>
                <w:lang w:eastAsia="lt-LT"/>
              </w:rPr>
              <w:t>506</w:t>
            </w:r>
          </w:p>
        </w:tc>
        <w:tc>
          <w:tcPr>
            <w:tcW w:w="1105" w:type="dxa"/>
            <w:tcBorders>
              <w:top w:val="nil"/>
              <w:left w:val="nil"/>
              <w:bottom w:val="single" w:sz="4" w:space="0" w:color="auto"/>
              <w:right w:val="single" w:sz="4" w:space="0" w:color="auto"/>
            </w:tcBorders>
            <w:shd w:val="clear" w:color="auto" w:fill="auto"/>
            <w:vAlign w:val="center"/>
            <w:hideMark/>
          </w:tcPr>
          <w:p w:rsidR="00186E1A" w:rsidRPr="00722F8A" w:rsidRDefault="00EB60AE" w:rsidP="00775D70">
            <w:pPr>
              <w:jc w:val="center"/>
              <w:rPr>
                <w:rFonts w:ascii="Times New Roman" w:hAnsi="Times New Roman" w:cs="Times New Roman"/>
                <w:b/>
                <w:sz w:val="16"/>
                <w:szCs w:val="16"/>
                <w:lang w:eastAsia="lt-LT"/>
              </w:rPr>
            </w:pPr>
            <w:r w:rsidRPr="00722F8A">
              <w:rPr>
                <w:rFonts w:ascii="Times New Roman" w:hAnsi="Times New Roman" w:cs="Times New Roman"/>
                <w:b/>
                <w:sz w:val="16"/>
                <w:szCs w:val="16"/>
                <w:lang w:eastAsia="lt-LT"/>
              </w:rPr>
              <w:t>70.367.62</w:t>
            </w:r>
            <w:r w:rsidR="00CB7F6F" w:rsidRPr="00722F8A">
              <w:rPr>
                <w:rFonts w:ascii="Times New Roman" w:hAnsi="Times New Roman" w:cs="Times New Roman"/>
                <w:b/>
                <w:sz w:val="16"/>
                <w:szCs w:val="16"/>
                <w:lang w:eastAsia="lt-LT"/>
              </w:rPr>
              <w:t>1</w:t>
            </w:r>
          </w:p>
        </w:tc>
        <w:tc>
          <w:tcPr>
            <w:tcW w:w="567" w:type="dxa"/>
            <w:tcBorders>
              <w:top w:val="nil"/>
              <w:left w:val="nil"/>
              <w:bottom w:val="single" w:sz="4" w:space="0" w:color="auto"/>
              <w:right w:val="single" w:sz="4" w:space="0" w:color="auto"/>
            </w:tcBorders>
            <w:shd w:val="clear" w:color="auto" w:fill="auto"/>
            <w:vAlign w:val="center"/>
            <w:hideMark/>
          </w:tcPr>
          <w:p w:rsidR="00186E1A" w:rsidRPr="003C080E" w:rsidRDefault="00836CF2" w:rsidP="00775D70">
            <w:pPr>
              <w:jc w:val="center"/>
              <w:rPr>
                <w:rFonts w:ascii="Times New Roman" w:hAnsi="Times New Roman" w:cs="Times New Roman"/>
                <w:b/>
                <w:sz w:val="16"/>
                <w:szCs w:val="16"/>
                <w:lang w:eastAsia="lt-LT"/>
              </w:rPr>
            </w:pPr>
            <w:r w:rsidRPr="003C080E">
              <w:rPr>
                <w:rFonts w:ascii="Times New Roman" w:hAnsi="Times New Roman" w:cs="Times New Roman"/>
                <w:b/>
                <w:sz w:val="16"/>
                <w:szCs w:val="16"/>
                <w:lang w:eastAsia="lt-LT"/>
              </w:rPr>
              <w:t>6,00</w:t>
            </w:r>
          </w:p>
        </w:tc>
      </w:tr>
    </w:tbl>
    <w:p w:rsidR="00EE50FF" w:rsidRPr="00697AD2" w:rsidRDefault="00EE50FF" w:rsidP="00162EAE">
      <w:pPr>
        <w:widowControl w:val="0"/>
        <w:shd w:val="clear" w:color="auto" w:fill="FFFFFF"/>
        <w:spacing w:before="240" w:after="240"/>
        <w:jc w:val="both"/>
        <w:textAlignment w:val="baseline"/>
        <w:rPr>
          <w:rFonts w:ascii="Times New Roman" w:hAnsi="Times New Roman" w:cs="Times New Roman"/>
          <w:i/>
          <w:sz w:val="24"/>
          <w:szCs w:val="24"/>
          <w:u w:val="single"/>
        </w:rPr>
        <w:sectPr w:rsidR="00EE50FF" w:rsidRPr="00697AD2" w:rsidSect="00957E31">
          <w:pgSz w:w="16839" w:h="11907" w:orient="landscape" w:code="9"/>
          <w:pgMar w:top="567" w:right="1134" w:bottom="1134" w:left="1134" w:header="561" w:footer="686" w:gutter="0"/>
          <w:cols w:space="1296"/>
          <w:formProt w:val="0"/>
          <w:titlePg/>
          <w:docGrid w:linePitch="326"/>
        </w:sectPr>
      </w:pPr>
    </w:p>
    <w:p w:rsidR="006813D4" w:rsidRDefault="006813D4" w:rsidP="006813D4">
      <w:pPr>
        <w:spacing w:before="240" w:after="240"/>
        <w:rPr>
          <w:rFonts w:ascii="Times New Roman" w:hAnsi="Times New Roman" w:cs="Times New Roman"/>
          <w:i/>
          <w:sz w:val="24"/>
          <w:szCs w:val="24"/>
          <w:u w:val="single"/>
        </w:rPr>
      </w:pPr>
      <w:r>
        <w:rPr>
          <w:rFonts w:ascii="Times New Roman" w:hAnsi="Times New Roman" w:cs="Times New Roman"/>
          <w:i/>
          <w:sz w:val="24"/>
          <w:szCs w:val="24"/>
          <w:u w:val="single"/>
        </w:rPr>
        <w:lastRenderedPageBreak/>
        <w:t xml:space="preserve">15. </w:t>
      </w:r>
      <w:r w:rsidRPr="00697AD2">
        <w:rPr>
          <w:rFonts w:ascii="Times New Roman" w:hAnsi="Times New Roman" w:cs="Times New Roman"/>
          <w:i/>
          <w:sz w:val="24"/>
          <w:szCs w:val="24"/>
          <w:u w:val="single"/>
        </w:rPr>
        <w:t xml:space="preserve">Pakeisti Veiksmų programos 3 skirsnio „Veiksmų programos finansavimo planas“ </w:t>
      </w:r>
      <w:r>
        <w:rPr>
          <w:rFonts w:ascii="Times New Roman" w:hAnsi="Times New Roman" w:cs="Times New Roman"/>
          <w:i/>
          <w:sz w:val="24"/>
          <w:szCs w:val="24"/>
          <w:u w:val="single"/>
        </w:rPr>
        <w:t>7</w:t>
      </w:r>
      <w:r w:rsidRPr="00697AD2">
        <w:rPr>
          <w:rFonts w:ascii="Times New Roman" w:hAnsi="Times New Roman" w:cs="Times New Roman"/>
          <w:i/>
          <w:sz w:val="24"/>
          <w:szCs w:val="24"/>
          <w:u w:val="single"/>
        </w:rPr>
        <w:t xml:space="preserve"> lentelę „</w:t>
      </w:r>
      <w:r w:rsidRPr="002256D8">
        <w:rPr>
          <w:rFonts w:ascii="Times New Roman" w:hAnsi="Times New Roman" w:cs="Times New Roman"/>
          <w:i/>
          <w:sz w:val="24"/>
          <w:szCs w:val="24"/>
          <w:u w:val="single"/>
        </w:rPr>
        <w:t>Planuojama suma klimato kaitos tikslams, (eurais)</w:t>
      </w:r>
      <w:r w:rsidRPr="00697AD2">
        <w:rPr>
          <w:rFonts w:ascii="Times New Roman" w:hAnsi="Times New Roman" w:cs="Times New Roman"/>
          <w:i/>
          <w:sz w:val="24"/>
          <w:szCs w:val="24"/>
          <w:u w:val="single"/>
        </w:rPr>
        <w:t>“ ir išdėstyti ją taip: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5"/>
        <w:gridCol w:w="2526"/>
        <w:gridCol w:w="2255"/>
      </w:tblGrid>
      <w:tr w:rsidR="006813D4" w:rsidRPr="002256D8" w:rsidTr="002C482C">
        <w:tc>
          <w:tcPr>
            <w:tcW w:w="8647" w:type="dxa"/>
            <w:shd w:val="clear" w:color="auto" w:fill="EEECE1"/>
            <w:vAlign w:val="center"/>
          </w:tcPr>
          <w:p w:rsidR="006813D4" w:rsidRPr="002256D8" w:rsidRDefault="006813D4" w:rsidP="002C482C">
            <w:pPr>
              <w:widowControl w:val="0"/>
              <w:tabs>
                <w:tab w:val="left" w:pos="622"/>
              </w:tabs>
              <w:jc w:val="center"/>
              <w:rPr>
                <w:rFonts w:ascii="Times New Roman" w:hAnsi="Times New Roman" w:cs="Times New Roman"/>
                <w:b/>
                <w:bCs/>
                <w:sz w:val="22"/>
                <w:szCs w:val="24"/>
                <w:lang w:eastAsia="lt-LT"/>
              </w:rPr>
            </w:pPr>
            <w:r w:rsidRPr="002256D8">
              <w:rPr>
                <w:rFonts w:ascii="Times New Roman" w:hAnsi="Times New Roman" w:cs="Times New Roman"/>
                <w:b/>
                <w:bCs/>
                <w:sz w:val="22"/>
                <w:szCs w:val="24"/>
                <w:lang w:eastAsia="lt-LT"/>
              </w:rPr>
              <w:t>Prioritetas</w:t>
            </w:r>
          </w:p>
        </w:tc>
        <w:tc>
          <w:tcPr>
            <w:tcW w:w="3119" w:type="dxa"/>
            <w:shd w:val="clear" w:color="auto" w:fill="EEECE1"/>
            <w:vAlign w:val="center"/>
          </w:tcPr>
          <w:p w:rsidR="006813D4" w:rsidRPr="002256D8" w:rsidRDefault="006813D4" w:rsidP="002C482C">
            <w:pPr>
              <w:widowControl w:val="0"/>
              <w:tabs>
                <w:tab w:val="left" w:pos="622"/>
              </w:tabs>
              <w:jc w:val="center"/>
              <w:rPr>
                <w:rFonts w:ascii="Times New Roman" w:hAnsi="Times New Roman" w:cs="Times New Roman"/>
                <w:b/>
                <w:bCs/>
                <w:sz w:val="22"/>
                <w:szCs w:val="24"/>
                <w:lang w:eastAsia="lt-LT"/>
              </w:rPr>
            </w:pPr>
            <w:r w:rsidRPr="002256D8">
              <w:rPr>
                <w:rFonts w:ascii="Times New Roman" w:hAnsi="Times New Roman" w:cs="Times New Roman"/>
                <w:b/>
                <w:bCs/>
                <w:sz w:val="22"/>
                <w:szCs w:val="24"/>
                <w:lang w:eastAsia="lt-LT"/>
              </w:rPr>
              <w:t>Planuojama suma klimato kaitos tikslams, eurais</w:t>
            </w:r>
          </w:p>
        </w:tc>
        <w:tc>
          <w:tcPr>
            <w:tcW w:w="3054" w:type="dxa"/>
            <w:shd w:val="clear" w:color="auto" w:fill="EEECE1"/>
            <w:vAlign w:val="center"/>
          </w:tcPr>
          <w:p w:rsidR="006813D4" w:rsidRPr="002256D8" w:rsidRDefault="006813D4" w:rsidP="002C482C">
            <w:pPr>
              <w:widowControl w:val="0"/>
              <w:tabs>
                <w:tab w:val="left" w:pos="622"/>
              </w:tabs>
              <w:jc w:val="center"/>
              <w:rPr>
                <w:rFonts w:ascii="Times New Roman" w:hAnsi="Times New Roman" w:cs="Times New Roman"/>
                <w:b/>
                <w:bCs/>
                <w:sz w:val="22"/>
                <w:szCs w:val="24"/>
                <w:lang w:eastAsia="lt-LT"/>
              </w:rPr>
            </w:pPr>
            <w:r w:rsidRPr="002256D8">
              <w:rPr>
                <w:rFonts w:ascii="Times New Roman" w:hAnsi="Times New Roman" w:cs="Times New Roman"/>
                <w:b/>
                <w:bCs/>
                <w:sz w:val="22"/>
                <w:szCs w:val="24"/>
                <w:lang w:eastAsia="lt-LT"/>
              </w:rPr>
              <w:t>Dalis nuo visos veiksmų programai skirtos sumos, proc.</w:t>
            </w:r>
          </w:p>
        </w:tc>
      </w:tr>
      <w:tr w:rsidR="006813D4" w:rsidRPr="002256D8" w:rsidTr="002C482C">
        <w:tc>
          <w:tcPr>
            <w:tcW w:w="8647" w:type="dxa"/>
            <w:vAlign w:val="center"/>
          </w:tcPr>
          <w:p w:rsidR="006813D4" w:rsidRPr="002256D8" w:rsidRDefault="006813D4" w:rsidP="002C482C">
            <w:pPr>
              <w:widowControl w:val="0"/>
              <w:tabs>
                <w:tab w:val="left" w:pos="622"/>
              </w:tabs>
              <w:rPr>
                <w:rFonts w:ascii="Times New Roman" w:hAnsi="Times New Roman" w:cs="Times New Roman"/>
                <w:bCs/>
                <w:sz w:val="22"/>
                <w:szCs w:val="22"/>
                <w:lang w:eastAsia="lt-LT"/>
              </w:rPr>
            </w:pPr>
            <w:r w:rsidRPr="002256D8">
              <w:rPr>
                <w:rFonts w:ascii="Times New Roman" w:hAnsi="Times New Roman" w:cs="Times New Roman"/>
                <w:sz w:val="22"/>
                <w:szCs w:val="22"/>
              </w:rPr>
              <w:t>3. Smulkiojo ir vidutinio verslo konkurencingumo skatinimas</w:t>
            </w:r>
          </w:p>
        </w:tc>
        <w:tc>
          <w:tcPr>
            <w:tcW w:w="3119" w:type="dxa"/>
          </w:tcPr>
          <w:p w:rsidR="006813D4" w:rsidRPr="002256D8" w:rsidRDefault="006813D4" w:rsidP="002C482C">
            <w:pPr>
              <w:widowControl w:val="0"/>
              <w:tabs>
                <w:tab w:val="left" w:pos="622"/>
              </w:tabs>
              <w:jc w:val="center"/>
              <w:rPr>
                <w:rFonts w:ascii="Times New Roman" w:hAnsi="Times New Roman" w:cs="Times New Roman"/>
                <w:bCs/>
                <w:strike/>
                <w:sz w:val="22"/>
                <w:szCs w:val="24"/>
                <w:lang w:eastAsia="lt-LT"/>
              </w:rPr>
            </w:pPr>
            <w:r w:rsidRPr="002256D8">
              <w:rPr>
                <w:rFonts w:ascii="Times New Roman" w:hAnsi="Times New Roman" w:cs="Times New Roman"/>
                <w:bCs/>
                <w:sz w:val="22"/>
                <w:szCs w:val="24"/>
                <w:lang w:eastAsia="lt-LT"/>
              </w:rPr>
              <w:t>73.853.104,40</w:t>
            </w:r>
          </w:p>
        </w:tc>
        <w:tc>
          <w:tcPr>
            <w:tcW w:w="3054" w:type="dxa"/>
          </w:tcPr>
          <w:p w:rsidR="006813D4" w:rsidRDefault="006813D4" w:rsidP="002C482C">
            <w:pPr>
              <w:jc w:val="center"/>
              <w:rPr>
                <w:rFonts w:ascii="Times New Roman" w:hAnsi="Times New Roman" w:cs="Times New Roman"/>
                <w:sz w:val="22"/>
                <w:szCs w:val="24"/>
              </w:rPr>
            </w:pPr>
            <w:r w:rsidRPr="002F1430">
              <w:rPr>
                <w:rFonts w:ascii="Times New Roman" w:hAnsi="Times New Roman" w:cs="Times New Roman"/>
                <w:strike/>
                <w:sz w:val="22"/>
                <w:szCs w:val="24"/>
              </w:rPr>
              <w:t>1,10</w:t>
            </w:r>
          </w:p>
          <w:p w:rsidR="006813D4" w:rsidRPr="006813D4" w:rsidRDefault="006813D4" w:rsidP="002C482C">
            <w:pPr>
              <w:jc w:val="center"/>
              <w:rPr>
                <w:rFonts w:ascii="Times New Roman" w:hAnsi="Times New Roman" w:cs="Times New Roman"/>
                <w:b/>
                <w:strike/>
                <w:sz w:val="22"/>
                <w:szCs w:val="24"/>
              </w:rPr>
            </w:pPr>
            <w:r w:rsidRPr="006813D4">
              <w:rPr>
                <w:rFonts w:ascii="Times New Roman" w:hAnsi="Times New Roman" w:cs="Times New Roman"/>
                <w:b/>
                <w:sz w:val="22"/>
                <w:szCs w:val="24"/>
              </w:rPr>
              <w:t>1,05</w:t>
            </w:r>
          </w:p>
        </w:tc>
      </w:tr>
      <w:tr w:rsidR="006813D4" w:rsidRPr="002256D8" w:rsidTr="002C482C">
        <w:tc>
          <w:tcPr>
            <w:tcW w:w="8647" w:type="dxa"/>
            <w:vAlign w:val="center"/>
          </w:tcPr>
          <w:p w:rsidR="006813D4" w:rsidRPr="002256D8" w:rsidRDefault="006813D4" w:rsidP="002C482C">
            <w:pPr>
              <w:widowControl w:val="0"/>
              <w:tabs>
                <w:tab w:val="left" w:pos="622"/>
              </w:tabs>
              <w:rPr>
                <w:rFonts w:ascii="Times New Roman" w:hAnsi="Times New Roman" w:cs="Times New Roman"/>
                <w:bCs/>
                <w:sz w:val="22"/>
                <w:szCs w:val="22"/>
                <w:lang w:eastAsia="lt-LT"/>
              </w:rPr>
            </w:pPr>
            <w:r w:rsidRPr="002256D8">
              <w:rPr>
                <w:rFonts w:ascii="Times New Roman" w:hAnsi="Times New Roman" w:cs="Times New Roman"/>
                <w:bCs/>
                <w:sz w:val="22"/>
                <w:szCs w:val="22"/>
                <w:lang w:eastAsia="lt-LT"/>
              </w:rPr>
              <w:t xml:space="preserve">4. Energijos efektyvumo ir AIE gamybos ir naudojimo skatinimas </w:t>
            </w:r>
          </w:p>
        </w:tc>
        <w:tc>
          <w:tcPr>
            <w:tcW w:w="3119" w:type="dxa"/>
          </w:tcPr>
          <w:p w:rsidR="006813D4" w:rsidRPr="002256D8" w:rsidRDefault="006813D4" w:rsidP="002C482C">
            <w:pPr>
              <w:widowControl w:val="0"/>
              <w:tabs>
                <w:tab w:val="left" w:pos="622"/>
              </w:tabs>
              <w:jc w:val="center"/>
              <w:rPr>
                <w:rFonts w:ascii="Times New Roman" w:hAnsi="Times New Roman" w:cs="Times New Roman"/>
                <w:bCs/>
                <w:strike/>
                <w:sz w:val="22"/>
                <w:szCs w:val="24"/>
                <w:lang w:eastAsia="lt-LT"/>
              </w:rPr>
            </w:pPr>
            <w:r w:rsidRPr="002256D8">
              <w:rPr>
                <w:rFonts w:ascii="Times New Roman" w:hAnsi="Times New Roman" w:cs="Times New Roman"/>
                <w:bCs/>
                <w:sz w:val="22"/>
                <w:szCs w:val="24"/>
                <w:lang w:eastAsia="lt-LT"/>
              </w:rPr>
              <w:t>834.501.686,60</w:t>
            </w:r>
          </w:p>
        </w:tc>
        <w:tc>
          <w:tcPr>
            <w:tcW w:w="3054" w:type="dxa"/>
          </w:tcPr>
          <w:p w:rsidR="006813D4" w:rsidRDefault="006813D4" w:rsidP="002C482C">
            <w:pPr>
              <w:jc w:val="center"/>
              <w:rPr>
                <w:rFonts w:ascii="Times New Roman" w:hAnsi="Times New Roman" w:cs="Times New Roman"/>
                <w:sz w:val="22"/>
                <w:szCs w:val="24"/>
              </w:rPr>
            </w:pPr>
            <w:r w:rsidRPr="002F1430">
              <w:rPr>
                <w:rFonts w:ascii="Times New Roman" w:hAnsi="Times New Roman" w:cs="Times New Roman"/>
                <w:strike/>
                <w:sz w:val="22"/>
                <w:szCs w:val="24"/>
              </w:rPr>
              <w:t>12,44</w:t>
            </w:r>
          </w:p>
          <w:p w:rsidR="006813D4" w:rsidRPr="006813D4" w:rsidRDefault="006813D4" w:rsidP="002C482C">
            <w:pPr>
              <w:jc w:val="center"/>
              <w:rPr>
                <w:rFonts w:ascii="Times New Roman" w:hAnsi="Times New Roman" w:cs="Times New Roman"/>
                <w:b/>
                <w:strike/>
                <w:sz w:val="22"/>
                <w:szCs w:val="24"/>
              </w:rPr>
            </w:pPr>
            <w:r w:rsidRPr="006813D4">
              <w:rPr>
                <w:rFonts w:ascii="Times New Roman" w:hAnsi="Times New Roman" w:cs="Times New Roman"/>
                <w:b/>
                <w:sz w:val="22"/>
                <w:szCs w:val="24"/>
              </w:rPr>
              <w:t>11,84</w:t>
            </w:r>
          </w:p>
        </w:tc>
      </w:tr>
      <w:tr w:rsidR="006813D4" w:rsidRPr="002256D8" w:rsidTr="002C482C">
        <w:tc>
          <w:tcPr>
            <w:tcW w:w="8647" w:type="dxa"/>
            <w:vAlign w:val="center"/>
          </w:tcPr>
          <w:p w:rsidR="006813D4" w:rsidRPr="002256D8" w:rsidRDefault="006813D4" w:rsidP="002C482C">
            <w:pPr>
              <w:widowControl w:val="0"/>
              <w:tabs>
                <w:tab w:val="left" w:pos="622"/>
              </w:tabs>
              <w:rPr>
                <w:rFonts w:ascii="Times New Roman" w:hAnsi="Times New Roman" w:cs="Times New Roman"/>
                <w:bCs/>
                <w:sz w:val="22"/>
                <w:szCs w:val="22"/>
                <w:lang w:eastAsia="lt-LT"/>
              </w:rPr>
            </w:pPr>
            <w:r w:rsidRPr="002256D8">
              <w:rPr>
                <w:rFonts w:ascii="Times New Roman" w:hAnsi="Times New Roman" w:cs="Times New Roman"/>
                <w:bCs/>
                <w:sz w:val="22"/>
                <w:szCs w:val="22"/>
                <w:lang w:eastAsia="lt-LT"/>
              </w:rPr>
              <w:t>5. Aplinkosauga, gamtos išteklių darnus naudojimas ir prisitaikymas prie klimato kaitos</w:t>
            </w:r>
          </w:p>
        </w:tc>
        <w:tc>
          <w:tcPr>
            <w:tcW w:w="3119" w:type="dxa"/>
          </w:tcPr>
          <w:p w:rsidR="006813D4" w:rsidRPr="002256D8" w:rsidRDefault="006813D4" w:rsidP="002C482C">
            <w:pPr>
              <w:widowControl w:val="0"/>
              <w:tabs>
                <w:tab w:val="left" w:pos="622"/>
              </w:tabs>
              <w:jc w:val="center"/>
              <w:rPr>
                <w:rFonts w:ascii="Times New Roman" w:hAnsi="Times New Roman" w:cs="Times New Roman"/>
                <w:bCs/>
                <w:sz w:val="22"/>
                <w:szCs w:val="24"/>
                <w:lang w:eastAsia="lt-LT"/>
              </w:rPr>
            </w:pPr>
            <w:r w:rsidRPr="002256D8">
              <w:rPr>
                <w:rFonts w:ascii="Times New Roman" w:hAnsi="Times New Roman" w:cs="Times New Roman"/>
                <w:bCs/>
                <w:sz w:val="22"/>
                <w:szCs w:val="24"/>
                <w:lang w:eastAsia="lt-LT"/>
              </w:rPr>
              <w:t>186.716.398,40</w:t>
            </w:r>
          </w:p>
        </w:tc>
        <w:tc>
          <w:tcPr>
            <w:tcW w:w="3054" w:type="dxa"/>
          </w:tcPr>
          <w:p w:rsidR="006813D4" w:rsidRDefault="006813D4" w:rsidP="002C482C">
            <w:pPr>
              <w:spacing w:line="276" w:lineRule="auto"/>
              <w:jc w:val="center"/>
              <w:rPr>
                <w:rFonts w:ascii="Times New Roman" w:hAnsi="Times New Roman" w:cs="Times New Roman"/>
                <w:sz w:val="22"/>
                <w:szCs w:val="24"/>
              </w:rPr>
            </w:pPr>
            <w:r w:rsidRPr="002F1430">
              <w:rPr>
                <w:rFonts w:ascii="Times New Roman" w:hAnsi="Times New Roman" w:cs="Times New Roman"/>
                <w:strike/>
                <w:sz w:val="22"/>
                <w:szCs w:val="24"/>
              </w:rPr>
              <w:t>2,78</w:t>
            </w:r>
          </w:p>
          <w:p w:rsidR="006813D4" w:rsidRPr="006813D4" w:rsidRDefault="006813D4" w:rsidP="002C482C">
            <w:pPr>
              <w:spacing w:line="276" w:lineRule="auto"/>
              <w:jc w:val="center"/>
              <w:rPr>
                <w:rFonts w:ascii="Times New Roman" w:hAnsi="Times New Roman" w:cs="Times New Roman"/>
                <w:b/>
                <w:sz w:val="22"/>
                <w:szCs w:val="24"/>
              </w:rPr>
            </w:pPr>
            <w:r w:rsidRPr="006813D4">
              <w:rPr>
                <w:rFonts w:ascii="Times New Roman" w:hAnsi="Times New Roman" w:cs="Times New Roman"/>
                <w:b/>
                <w:sz w:val="22"/>
                <w:szCs w:val="24"/>
              </w:rPr>
              <w:t>2,65</w:t>
            </w:r>
          </w:p>
        </w:tc>
      </w:tr>
      <w:tr w:rsidR="006813D4" w:rsidRPr="002256D8" w:rsidTr="002C482C">
        <w:tc>
          <w:tcPr>
            <w:tcW w:w="8647" w:type="dxa"/>
            <w:vAlign w:val="center"/>
          </w:tcPr>
          <w:p w:rsidR="006813D4" w:rsidRPr="002256D8" w:rsidRDefault="006813D4" w:rsidP="002C482C">
            <w:pPr>
              <w:widowControl w:val="0"/>
              <w:tabs>
                <w:tab w:val="left" w:pos="622"/>
              </w:tabs>
              <w:rPr>
                <w:rFonts w:ascii="Times New Roman" w:hAnsi="Times New Roman" w:cs="Times New Roman"/>
                <w:bCs/>
                <w:sz w:val="22"/>
                <w:szCs w:val="22"/>
                <w:lang w:eastAsia="lt-LT"/>
              </w:rPr>
            </w:pPr>
            <w:r w:rsidRPr="002256D8">
              <w:rPr>
                <w:rFonts w:ascii="Times New Roman" w:hAnsi="Times New Roman" w:cs="Times New Roman"/>
                <w:bCs/>
                <w:sz w:val="22"/>
                <w:szCs w:val="22"/>
                <w:lang w:eastAsia="lt-LT"/>
              </w:rPr>
              <w:t>6. Darnaus transporto ir pagrindinių tinklų infrastruktūros plėtra</w:t>
            </w:r>
          </w:p>
        </w:tc>
        <w:tc>
          <w:tcPr>
            <w:tcW w:w="3119" w:type="dxa"/>
          </w:tcPr>
          <w:p w:rsidR="006813D4" w:rsidRPr="002256D8" w:rsidRDefault="006813D4" w:rsidP="002C482C">
            <w:pPr>
              <w:widowControl w:val="0"/>
              <w:tabs>
                <w:tab w:val="left" w:pos="622"/>
              </w:tabs>
              <w:jc w:val="center"/>
              <w:rPr>
                <w:rFonts w:ascii="Times New Roman" w:hAnsi="Times New Roman" w:cs="Times New Roman"/>
                <w:bCs/>
                <w:strike/>
                <w:sz w:val="22"/>
                <w:szCs w:val="24"/>
                <w:lang w:eastAsia="lt-LT"/>
              </w:rPr>
            </w:pPr>
            <w:r w:rsidRPr="002256D8">
              <w:rPr>
                <w:rFonts w:ascii="Times New Roman" w:hAnsi="Times New Roman" w:cs="Times New Roman"/>
                <w:bCs/>
                <w:sz w:val="22"/>
                <w:szCs w:val="24"/>
                <w:lang w:eastAsia="lt-LT"/>
              </w:rPr>
              <w:t>204.843.811,20</w:t>
            </w:r>
          </w:p>
        </w:tc>
        <w:tc>
          <w:tcPr>
            <w:tcW w:w="3054" w:type="dxa"/>
          </w:tcPr>
          <w:p w:rsidR="006813D4" w:rsidRDefault="006813D4" w:rsidP="002C482C">
            <w:pPr>
              <w:jc w:val="center"/>
              <w:rPr>
                <w:rFonts w:ascii="Times New Roman" w:hAnsi="Times New Roman" w:cs="Times New Roman"/>
                <w:sz w:val="22"/>
                <w:szCs w:val="24"/>
              </w:rPr>
            </w:pPr>
            <w:r w:rsidRPr="002F1430">
              <w:rPr>
                <w:rFonts w:ascii="Times New Roman" w:hAnsi="Times New Roman" w:cs="Times New Roman"/>
                <w:strike/>
                <w:sz w:val="22"/>
                <w:szCs w:val="24"/>
              </w:rPr>
              <w:t>3,05</w:t>
            </w:r>
          </w:p>
          <w:p w:rsidR="006813D4" w:rsidRPr="006813D4" w:rsidRDefault="006813D4" w:rsidP="002C482C">
            <w:pPr>
              <w:jc w:val="center"/>
              <w:rPr>
                <w:rFonts w:ascii="Times New Roman" w:hAnsi="Times New Roman" w:cs="Times New Roman"/>
                <w:b/>
                <w:strike/>
                <w:sz w:val="22"/>
                <w:szCs w:val="24"/>
              </w:rPr>
            </w:pPr>
            <w:r w:rsidRPr="006813D4">
              <w:rPr>
                <w:rFonts w:ascii="Times New Roman" w:hAnsi="Times New Roman" w:cs="Times New Roman"/>
                <w:b/>
                <w:sz w:val="22"/>
                <w:szCs w:val="24"/>
              </w:rPr>
              <w:t>2,91</w:t>
            </w:r>
          </w:p>
        </w:tc>
      </w:tr>
      <w:tr w:rsidR="006813D4" w:rsidRPr="002256D8" w:rsidTr="002C482C">
        <w:tc>
          <w:tcPr>
            <w:tcW w:w="8647" w:type="dxa"/>
            <w:vAlign w:val="center"/>
          </w:tcPr>
          <w:p w:rsidR="006813D4" w:rsidRPr="002256D8" w:rsidRDefault="006813D4" w:rsidP="002C482C">
            <w:pPr>
              <w:widowControl w:val="0"/>
              <w:tabs>
                <w:tab w:val="left" w:pos="622"/>
              </w:tabs>
              <w:rPr>
                <w:rFonts w:ascii="Times New Roman" w:hAnsi="Times New Roman" w:cs="Times New Roman"/>
                <w:b/>
                <w:bCs/>
                <w:color w:val="000000"/>
                <w:sz w:val="22"/>
                <w:szCs w:val="22"/>
                <w:lang w:eastAsia="lt-LT"/>
              </w:rPr>
            </w:pPr>
            <w:r>
              <w:rPr>
                <w:rFonts w:ascii="Times New Roman" w:hAnsi="Times New Roman" w:cs="Times New Roman"/>
                <w:b/>
                <w:bCs/>
                <w:color w:val="000000"/>
                <w:sz w:val="22"/>
                <w:szCs w:val="22"/>
                <w:lang w:eastAsia="lt-LT"/>
              </w:rPr>
              <w:t xml:space="preserve">13. </w:t>
            </w:r>
            <w:r w:rsidRPr="002256D8">
              <w:rPr>
                <w:rFonts w:ascii="Times New Roman" w:hAnsi="Times New Roman" w:cs="Times New Roman"/>
                <w:b/>
                <w:bCs/>
                <w:color w:val="000000"/>
                <w:sz w:val="22"/>
                <w:szCs w:val="22"/>
                <w:lang w:eastAsia="lt-LT"/>
              </w:rPr>
              <w:t>Veiksmų, skirtų COVID-19 pandemijos sukeltai krizei įveikti, skatinimas ir pasirengimas a</w:t>
            </w:r>
            <w:r>
              <w:rPr>
                <w:rFonts w:ascii="Times New Roman" w:hAnsi="Times New Roman" w:cs="Times New Roman"/>
                <w:b/>
                <w:bCs/>
                <w:color w:val="000000"/>
                <w:sz w:val="22"/>
                <w:szCs w:val="22"/>
                <w:lang w:eastAsia="lt-LT"/>
              </w:rPr>
              <w:t>plinką tausojančiam, skaitmenint</w:t>
            </w:r>
            <w:r w:rsidRPr="002256D8">
              <w:rPr>
                <w:rFonts w:ascii="Times New Roman" w:hAnsi="Times New Roman" w:cs="Times New Roman"/>
                <w:b/>
                <w:bCs/>
                <w:color w:val="000000"/>
                <w:sz w:val="22"/>
                <w:szCs w:val="22"/>
                <w:lang w:eastAsia="lt-LT"/>
              </w:rPr>
              <w:t>am ir tvariam ekonomikos augimui</w:t>
            </w:r>
          </w:p>
        </w:tc>
        <w:tc>
          <w:tcPr>
            <w:tcW w:w="3119" w:type="dxa"/>
          </w:tcPr>
          <w:p w:rsidR="006813D4" w:rsidRPr="002256D8" w:rsidRDefault="006813D4" w:rsidP="002C482C">
            <w:pPr>
              <w:widowControl w:val="0"/>
              <w:tabs>
                <w:tab w:val="left" w:pos="622"/>
              </w:tabs>
              <w:jc w:val="center"/>
              <w:rPr>
                <w:rFonts w:ascii="Times New Roman" w:hAnsi="Times New Roman" w:cs="Times New Roman"/>
                <w:b/>
                <w:bCs/>
                <w:sz w:val="22"/>
                <w:szCs w:val="24"/>
                <w:lang w:eastAsia="lt-LT"/>
              </w:rPr>
            </w:pPr>
            <w:r>
              <w:rPr>
                <w:rFonts w:ascii="Times New Roman" w:hAnsi="Times New Roman" w:cs="Times New Roman"/>
                <w:b/>
                <w:bCs/>
                <w:sz w:val="22"/>
                <w:szCs w:val="24"/>
                <w:lang w:eastAsia="lt-LT"/>
              </w:rPr>
              <w:t>22.300.000</w:t>
            </w:r>
          </w:p>
        </w:tc>
        <w:tc>
          <w:tcPr>
            <w:tcW w:w="3054" w:type="dxa"/>
          </w:tcPr>
          <w:p w:rsidR="006813D4" w:rsidRPr="002256D8" w:rsidRDefault="006813D4" w:rsidP="002C482C">
            <w:pPr>
              <w:jc w:val="center"/>
              <w:rPr>
                <w:rFonts w:ascii="Times New Roman" w:hAnsi="Times New Roman" w:cs="Times New Roman"/>
                <w:b/>
                <w:sz w:val="22"/>
                <w:szCs w:val="24"/>
              </w:rPr>
            </w:pPr>
            <w:r>
              <w:rPr>
                <w:rFonts w:ascii="Times New Roman" w:hAnsi="Times New Roman" w:cs="Times New Roman"/>
                <w:b/>
                <w:sz w:val="22"/>
                <w:szCs w:val="24"/>
              </w:rPr>
              <w:t>0,32</w:t>
            </w:r>
          </w:p>
        </w:tc>
      </w:tr>
      <w:tr w:rsidR="006813D4" w:rsidRPr="002256D8" w:rsidTr="002C482C">
        <w:tc>
          <w:tcPr>
            <w:tcW w:w="8647" w:type="dxa"/>
            <w:vAlign w:val="center"/>
          </w:tcPr>
          <w:p w:rsidR="006813D4" w:rsidRPr="002256D8" w:rsidRDefault="006813D4" w:rsidP="002C482C">
            <w:pPr>
              <w:widowControl w:val="0"/>
              <w:tabs>
                <w:tab w:val="left" w:pos="622"/>
              </w:tabs>
              <w:rPr>
                <w:rFonts w:ascii="Times New Roman" w:hAnsi="Times New Roman" w:cs="Times New Roman"/>
                <w:b/>
                <w:bCs/>
                <w:sz w:val="22"/>
                <w:szCs w:val="22"/>
                <w:lang w:eastAsia="lt-LT"/>
              </w:rPr>
            </w:pPr>
            <w:r w:rsidRPr="002256D8">
              <w:rPr>
                <w:rFonts w:ascii="Times New Roman" w:hAnsi="Times New Roman" w:cs="Times New Roman"/>
                <w:b/>
                <w:bCs/>
                <w:color w:val="000000"/>
                <w:sz w:val="22"/>
                <w:szCs w:val="22"/>
                <w:lang w:eastAsia="lt-LT"/>
              </w:rPr>
              <w:t>Iš</w:t>
            </w:r>
            <w:r w:rsidRPr="002256D8">
              <w:rPr>
                <w:rFonts w:ascii="Times New Roman" w:hAnsi="Times New Roman" w:cs="Times New Roman"/>
                <w:b/>
                <w:bCs/>
                <w:color w:val="000000"/>
                <w:sz w:val="18"/>
                <w:szCs w:val="18"/>
                <w:lang w:eastAsia="lt-LT"/>
              </w:rPr>
              <w:t xml:space="preserve"> vi</w:t>
            </w:r>
            <w:r w:rsidRPr="002256D8">
              <w:rPr>
                <w:rFonts w:ascii="Times New Roman" w:hAnsi="Times New Roman" w:cs="Times New Roman"/>
                <w:b/>
                <w:bCs/>
                <w:sz w:val="22"/>
                <w:szCs w:val="22"/>
                <w:lang w:eastAsia="lt-LT"/>
              </w:rPr>
              <w:t>so</w:t>
            </w:r>
          </w:p>
        </w:tc>
        <w:tc>
          <w:tcPr>
            <w:tcW w:w="3119" w:type="dxa"/>
          </w:tcPr>
          <w:p w:rsidR="006813D4" w:rsidRPr="002256D8" w:rsidRDefault="006813D4" w:rsidP="002C482C">
            <w:pPr>
              <w:widowControl w:val="0"/>
              <w:tabs>
                <w:tab w:val="left" w:pos="622"/>
              </w:tabs>
              <w:jc w:val="center"/>
              <w:rPr>
                <w:rFonts w:ascii="Times New Roman" w:hAnsi="Times New Roman" w:cs="Times New Roman"/>
                <w:bCs/>
                <w:strike/>
                <w:sz w:val="22"/>
                <w:szCs w:val="24"/>
                <w:lang w:eastAsia="lt-LT"/>
              </w:rPr>
            </w:pPr>
            <w:r w:rsidRPr="002256D8">
              <w:rPr>
                <w:rFonts w:ascii="Times New Roman" w:hAnsi="Times New Roman" w:cs="Times New Roman"/>
                <w:b/>
                <w:bCs/>
                <w:sz w:val="22"/>
                <w:szCs w:val="24"/>
                <w:lang w:eastAsia="lt-LT"/>
              </w:rPr>
              <w:t>1.299.915.000,60</w:t>
            </w:r>
          </w:p>
        </w:tc>
        <w:tc>
          <w:tcPr>
            <w:tcW w:w="3054" w:type="dxa"/>
          </w:tcPr>
          <w:p w:rsidR="006813D4" w:rsidRDefault="006813D4" w:rsidP="002C482C">
            <w:pPr>
              <w:jc w:val="center"/>
              <w:rPr>
                <w:rFonts w:ascii="Times New Roman" w:hAnsi="Times New Roman" w:cs="Times New Roman"/>
                <w:b/>
                <w:sz w:val="22"/>
                <w:szCs w:val="24"/>
              </w:rPr>
            </w:pPr>
            <w:r w:rsidRPr="002F1430">
              <w:rPr>
                <w:rFonts w:ascii="Times New Roman" w:hAnsi="Times New Roman" w:cs="Times New Roman"/>
                <w:b/>
                <w:strike/>
                <w:sz w:val="22"/>
                <w:szCs w:val="24"/>
              </w:rPr>
              <w:t>19,37</w:t>
            </w:r>
          </w:p>
          <w:p w:rsidR="006813D4" w:rsidRPr="002256D8" w:rsidRDefault="006813D4" w:rsidP="002C482C">
            <w:pPr>
              <w:jc w:val="center"/>
              <w:rPr>
                <w:rFonts w:ascii="Times New Roman" w:hAnsi="Times New Roman" w:cs="Times New Roman"/>
                <w:strike/>
                <w:sz w:val="22"/>
                <w:szCs w:val="24"/>
              </w:rPr>
            </w:pPr>
            <w:r>
              <w:rPr>
                <w:rFonts w:ascii="Times New Roman" w:hAnsi="Times New Roman" w:cs="Times New Roman"/>
                <w:b/>
                <w:sz w:val="22"/>
                <w:szCs w:val="24"/>
              </w:rPr>
              <w:t>18,76</w:t>
            </w:r>
          </w:p>
        </w:tc>
      </w:tr>
    </w:tbl>
    <w:p w:rsidR="00BB4EA0" w:rsidRPr="00BB4EA0" w:rsidRDefault="00BB4EA0" w:rsidP="002404F9">
      <w:pPr>
        <w:spacing w:before="240" w:after="240"/>
        <w:jc w:val="both"/>
        <w:rPr>
          <w:rFonts w:ascii="Times New Roman" w:hAnsi="Times New Roman" w:cs="Times New Roman"/>
          <w:i/>
          <w:color w:val="000000"/>
          <w:sz w:val="24"/>
          <w:szCs w:val="24"/>
          <w:u w:val="single"/>
        </w:rPr>
      </w:pPr>
    </w:p>
    <w:sectPr w:rsidR="00BB4EA0" w:rsidRPr="00BB4EA0" w:rsidSect="00BB3B93">
      <w:pgSz w:w="11907" w:h="16839" w:code="9"/>
      <w:pgMar w:top="1134" w:right="567" w:bottom="1134" w:left="1134" w:header="561" w:footer="686" w:gutter="0"/>
      <w:cols w:space="1296"/>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2C" w:rsidRDefault="002C482C">
      <w:pPr>
        <w:rPr>
          <w:sz w:val="22"/>
          <w:szCs w:val="22"/>
        </w:rPr>
      </w:pPr>
      <w:r>
        <w:rPr>
          <w:sz w:val="22"/>
          <w:szCs w:val="22"/>
        </w:rPr>
        <w:separator/>
      </w:r>
    </w:p>
  </w:endnote>
  <w:endnote w:type="continuationSeparator" w:id="0">
    <w:p w:rsidR="002C482C" w:rsidRDefault="002C482C">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2C" w:rsidRDefault="002C482C">
      <w:pPr>
        <w:rPr>
          <w:sz w:val="22"/>
          <w:szCs w:val="22"/>
        </w:rPr>
      </w:pPr>
      <w:r>
        <w:rPr>
          <w:sz w:val="22"/>
          <w:szCs w:val="22"/>
        </w:rPr>
        <w:separator/>
      </w:r>
    </w:p>
  </w:footnote>
  <w:footnote w:type="continuationSeparator" w:id="0">
    <w:p w:rsidR="002C482C" w:rsidRDefault="002C482C">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82C" w:rsidRPr="002F076F" w:rsidRDefault="002C482C" w:rsidP="002F076F">
    <w:pPr>
      <w:pStyle w:val="Antrats"/>
      <w:framePr w:wrap="around" w:vAnchor="text" w:hAnchor="margin" w:xAlign="center" w:y="1"/>
      <w:rPr>
        <w:rStyle w:val="Puslapionumeris"/>
      </w:rPr>
    </w:pPr>
    <w:r w:rsidRPr="002F076F">
      <w:rPr>
        <w:rStyle w:val="Puslapionumeris"/>
      </w:rPr>
      <w:fldChar w:fldCharType="begin"/>
    </w:r>
    <w:r w:rsidRPr="002F076F">
      <w:rPr>
        <w:rStyle w:val="Puslapionumeris"/>
      </w:rPr>
      <w:instrText xml:space="preserve">PAGE  </w:instrText>
    </w:r>
    <w:r w:rsidRPr="002F076F">
      <w:rPr>
        <w:rStyle w:val="Puslapionumeris"/>
      </w:rPr>
      <w:fldChar w:fldCharType="separate"/>
    </w:r>
    <w:r w:rsidR="005470E7">
      <w:rPr>
        <w:rStyle w:val="Puslapionumeris"/>
        <w:noProof/>
      </w:rPr>
      <w:t>42</w:t>
    </w:r>
    <w:r w:rsidRPr="002F076F">
      <w:rPr>
        <w:rStyle w:val="Puslapionumeris"/>
      </w:rPr>
      <w:fldChar w:fldCharType="end"/>
    </w:r>
  </w:p>
  <w:p w:rsidR="002C482C" w:rsidRPr="002F076F" w:rsidRDefault="002C482C" w:rsidP="002F076F">
    <w:pPr>
      <w:pStyle w:val="Antrats"/>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102"/>
    <w:multiLevelType w:val="multilevel"/>
    <w:tmpl w:val="D9AE7AF0"/>
    <w:name w:val="Heading__8"/>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0E8D605A"/>
    <w:multiLevelType w:val="hybridMultilevel"/>
    <w:tmpl w:val="588443C6"/>
    <w:lvl w:ilvl="0" w:tplc="D51E8274">
      <w:start w:val="2012"/>
      <w:numFmt w:val="bullet"/>
      <w:lvlText w:val="-"/>
      <w:lvlJc w:val="left"/>
      <w:pPr>
        <w:ind w:left="1440" w:hanging="360"/>
      </w:pPr>
      <w:rPr>
        <w:rFonts w:ascii="Times New Roman" w:eastAsia="MS Mincho" w:hAnsi="Times New Roman" w:cs="Times New Roman" w:hint="default"/>
        <w:b w:val="0"/>
        <w:sz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nsid w:val="0F68391A"/>
    <w:multiLevelType w:val="hybridMultilevel"/>
    <w:tmpl w:val="E0E2B872"/>
    <w:lvl w:ilvl="0" w:tplc="04270001">
      <w:start w:val="1"/>
      <w:numFmt w:val="bullet"/>
      <w:lvlText w:val=""/>
      <w:lvlJc w:val="left"/>
      <w:pPr>
        <w:ind w:left="720" w:hanging="360"/>
      </w:pPr>
      <w:rPr>
        <w:rFonts w:ascii="Symbol" w:hAnsi="Symbol"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9AC1BCB"/>
    <w:multiLevelType w:val="hybridMultilevel"/>
    <w:tmpl w:val="3EFE24CE"/>
    <w:lvl w:ilvl="0" w:tplc="D51E8274">
      <w:start w:val="2012"/>
      <w:numFmt w:val="bullet"/>
      <w:lvlText w:val="-"/>
      <w:lvlJc w:val="left"/>
      <w:pPr>
        <w:ind w:left="720" w:hanging="360"/>
      </w:pPr>
      <w:rPr>
        <w:rFonts w:ascii="Times New Roman" w:eastAsia="MS Mincho" w:hAnsi="Times New Roman" w:cs="Times New Roman" w:hint="default"/>
        <w:b w:val="0"/>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A6A0AA0"/>
    <w:multiLevelType w:val="hybridMultilevel"/>
    <w:tmpl w:val="2850F602"/>
    <w:lvl w:ilvl="0" w:tplc="D51E8274">
      <w:start w:val="2012"/>
      <w:numFmt w:val="bullet"/>
      <w:lvlText w:val="-"/>
      <w:lvlJc w:val="left"/>
      <w:pPr>
        <w:ind w:left="720" w:hanging="360"/>
      </w:pPr>
      <w:rPr>
        <w:rFonts w:ascii="Times New Roman" w:eastAsia="MS Mincho" w:hAnsi="Times New Roman" w:cs="Times New Roman" w:hint="default"/>
        <w:b w:val="0"/>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9FB4CF2"/>
    <w:multiLevelType w:val="hybridMultilevel"/>
    <w:tmpl w:val="C85C0690"/>
    <w:lvl w:ilvl="0" w:tplc="1D84CDA4">
      <w:start w:val="13"/>
      <w:numFmt w:val="bullet"/>
      <w:lvlText w:val="-"/>
      <w:lvlJc w:val="left"/>
      <w:pPr>
        <w:ind w:left="819" w:hanging="360"/>
      </w:pPr>
      <w:rPr>
        <w:rFonts w:ascii="Times New Roman" w:eastAsia="Calibri" w:hAnsi="Times New Roman" w:cs="Times New Roman" w:hint="default"/>
        <w:color w:val="auto"/>
      </w:rPr>
    </w:lvl>
    <w:lvl w:ilvl="1" w:tplc="04270003" w:tentative="1">
      <w:start w:val="1"/>
      <w:numFmt w:val="bullet"/>
      <w:lvlText w:val="o"/>
      <w:lvlJc w:val="left"/>
      <w:pPr>
        <w:ind w:left="1539" w:hanging="360"/>
      </w:pPr>
      <w:rPr>
        <w:rFonts w:ascii="Courier New" w:hAnsi="Courier New" w:cs="Courier New" w:hint="default"/>
      </w:rPr>
    </w:lvl>
    <w:lvl w:ilvl="2" w:tplc="04270005" w:tentative="1">
      <w:start w:val="1"/>
      <w:numFmt w:val="bullet"/>
      <w:lvlText w:val=""/>
      <w:lvlJc w:val="left"/>
      <w:pPr>
        <w:ind w:left="2259" w:hanging="360"/>
      </w:pPr>
      <w:rPr>
        <w:rFonts w:ascii="Wingdings" w:hAnsi="Wingdings" w:hint="default"/>
      </w:rPr>
    </w:lvl>
    <w:lvl w:ilvl="3" w:tplc="04270001" w:tentative="1">
      <w:start w:val="1"/>
      <w:numFmt w:val="bullet"/>
      <w:lvlText w:val=""/>
      <w:lvlJc w:val="left"/>
      <w:pPr>
        <w:ind w:left="2979" w:hanging="360"/>
      </w:pPr>
      <w:rPr>
        <w:rFonts w:ascii="Symbol" w:hAnsi="Symbol" w:hint="default"/>
      </w:rPr>
    </w:lvl>
    <w:lvl w:ilvl="4" w:tplc="04270003" w:tentative="1">
      <w:start w:val="1"/>
      <w:numFmt w:val="bullet"/>
      <w:lvlText w:val="o"/>
      <w:lvlJc w:val="left"/>
      <w:pPr>
        <w:ind w:left="3699" w:hanging="360"/>
      </w:pPr>
      <w:rPr>
        <w:rFonts w:ascii="Courier New" w:hAnsi="Courier New" w:cs="Courier New" w:hint="default"/>
      </w:rPr>
    </w:lvl>
    <w:lvl w:ilvl="5" w:tplc="04270005" w:tentative="1">
      <w:start w:val="1"/>
      <w:numFmt w:val="bullet"/>
      <w:lvlText w:val=""/>
      <w:lvlJc w:val="left"/>
      <w:pPr>
        <w:ind w:left="4419" w:hanging="360"/>
      </w:pPr>
      <w:rPr>
        <w:rFonts w:ascii="Wingdings" w:hAnsi="Wingdings" w:hint="default"/>
      </w:rPr>
    </w:lvl>
    <w:lvl w:ilvl="6" w:tplc="04270001" w:tentative="1">
      <w:start w:val="1"/>
      <w:numFmt w:val="bullet"/>
      <w:lvlText w:val=""/>
      <w:lvlJc w:val="left"/>
      <w:pPr>
        <w:ind w:left="5139" w:hanging="360"/>
      </w:pPr>
      <w:rPr>
        <w:rFonts w:ascii="Symbol" w:hAnsi="Symbol" w:hint="default"/>
      </w:rPr>
    </w:lvl>
    <w:lvl w:ilvl="7" w:tplc="04270003" w:tentative="1">
      <w:start w:val="1"/>
      <w:numFmt w:val="bullet"/>
      <w:lvlText w:val="o"/>
      <w:lvlJc w:val="left"/>
      <w:pPr>
        <w:ind w:left="5859" w:hanging="360"/>
      </w:pPr>
      <w:rPr>
        <w:rFonts w:ascii="Courier New" w:hAnsi="Courier New" w:cs="Courier New" w:hint="default"/>
      </w:rPr>
    </w:lvl>
    <w:lvl w:ilvl="8" w:tplc="04270005" w:tentative="1">
      <w:start w:val="1"/>
      <w:numFmt w:val="bullet"/>
      <w:lvlText w:val=""/>
      <w:lvlJc w:val="left"/>
      <w:pPr>
        <w:ind w:left="6579" w:hanging="360"/>
      </w:pPr>
      <w:rPr>
        <w:rFonts w:ascii="Wingdings" w:hAnsi="Wingdings" w:hint="default"/>
      </w:rPr>
    </w:lvl>
  </w:abstractNum>
  <w:abstractNum w:abstractNumId="6">
    <w:nsid w:val="34460E15"/>
    <w:multiLevelType w:val="hybridMultilevel"/>
    <w:tmpl w:val="E0908A62"/>
    <w:lvl w:ilvl="0" w:tplc="0409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7">
    <w:nsid w:val="35F37C86"/>
    <w:multiLevelType w:val="hybridMultilevel"/>
    <w:tmpl w:val="D604FC6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AD53245"/>
    <w:multiLevelType w:val="hybridMultilevel"/>
    <w:tmpl w:val="B80420D6"/>
    <w:lvl w:ilvl="0" w:tplc="04270001">
      <w:start w:val="1"/>
      <w:numFmt w:val="bullet"/>
      <w:lvlText w:val=""/>
      <w:lvlJc w:val="left"/>
      <w:pPr>
        <w:ind w:left="644" w:hanging="360"/>
      </w:pPr>
      <w:rPr>
        <w:rFonts w:ascii="Symbol" w:hAnsi="Symbol" w:hint="default"/>
        <w:b w:val="0"/>
        <w:sz w:val="24"/>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9">
    <w:nsid w:val="405954F0"/>
    <w:multiLevelType w:val="multilevel"/>
    <w:tmpl w:val="7AAC8F5C"/>
    <w:lvl w:ilvl="0">
      <w:start w:val="13"/>
      <w:numFmt w:val="decimal"/>
      <w:lvlText w:val="%1"/>
      <w:lvlJc w:val="left"/>
      <w:pPr>
        <w:ind w:left="600" w:hanging="600"/>
      </w:pPr>
      <w:rPr>
        <w:rFonts w:hint="default"/>
        <w:b/>
        <w:i/>
      </w:rPr>
    </w:lvl>
    <w:lvl w:ilvl="1">
      <w:start w:val="1"/>
      <w:numFmt w:val="decimal"/>
      <w:lvlText w:val="%1.%2"/>
      <w:lvlJc w:val="left"/>
      <w:pPr>
        <w:ind w:left="600" w:hanging="600"/>
      </w:pPr>
      <w:rPr>
        <w:rFonts w:hint="default"/>
        <w:b/>
        <w:i/>
      </w:rPr>
    </w:lvl>
    <w:lvl w:ilvl="2">
      <w:start w:val="2"/>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
    <w:nsid w:val="4CF219BC"/>
    <w:multiLevelType w:val="singleLevel"/>
    <w:tmpl w:val="991EBEF6"/>
    <w:name w:val="Point__332"/>
    <w:lvl w:ilvl="0">
      <w:start w:val="1"/>
      <w:numFmt w:val="decimal"/>
      <w:pStyle w:val="Considrant"/>
      <w:lvlText w:val="(%1)"/>
      <w:lvlJc w:val="left"/>
      <w:pPr>
        <w:tabs>
          <w:tab w:val="num" w:pos="709"/>
        </w:tabs>
        <w:ind w:left="709" w:hanging="709"/>
      </w:pPr>
    </w:lvl>
  </w:abstractNum>
  <w:abstractNum w:abstractNumId="11">
    <w:nsid w:val="56C1636D"/>
    <w:multiLevelType w:val="hybridMultilevel"/>
    <w:tmpl w:val="3EC433D2"/>
    <w:lvl w:ilvl="0" w:tplc="04270001">
      <w:start w:val="1"/>
      <w:numFmt w:val="bullet"/>
      <w:lvlText w:val=""/>
      <w:lvlJc w:val="left"/>
      <w:pPr>
        <w:ind w:left="1344" w:hanging="360"/>
      </w:pPr>
      <w:rPr>
        <w:rFonts w:ascii="Symbol" w:hAnsi="Symbol" w:hint="default"/>
      </w:rPr>
    </w:lvl>
    <w:lvl w:ilvl="1" w:tplc="04270003" w:tentative="1">
      <w:start w:val="1"/>
      <w:numFmt w:val="bullet"/>
      <w:lvlText w:val="o"/>
      <w:lvlJc w:val="left"/>
      <w:pPr>
        <w:ind w:left="2064" w:hanging="360"/>
      </w:pPr>
      <w:rPr>
        <w:rFonts w:ascii="Courier New" w:hAnsi="Courier New" w:cs="Courier New" w:hint="default"/>
      </w:rPr>
    </w:lvl>
    <w:lvl w:ilvl="2" w:tplc="04270005" w:tentative="1">
      <w:start w:val="1"/>
      <w:numFmt w:val="bullet"/>
      <w:lvlText w:val=""/>
      <w:lvlJc w:val="left"/>
      <w:pPr>
        <w:ind w:left="2784" w:hanging="360"/>
      </w:pPr>
      <w:rPr>
        <w:rFonts w:ascii="Wingdings" w:hAnsi="Wingdings" w:hint="default"/>
      </w:rPr>
    </w:lvl>
    <w:lvl w:ilvl="3" w:tplc="04270001" w:tentative="1">
      <w:start w:val="1"/>
      <w:numFmt w:val="bullet"/>
      <w:lvlText w:val=""/>
      <w:lvlJc w:val="left"/>
      <w:pPr>
        <w:ind w:left="3504" w:hanging="360"/>
      </w:pPr>
      <w:rPr>
        <w:rFonts w:ascii="Symbol" w:hAnsi="Symbol" w:hint="default"/>
      </w:rPr>
    </w:lvl>
    <w:lvl w:ilvl="4" w:tplc="04270003" w:tentative="1">
      <w:start w:val="1"/>
      <w:numFmt w:val="bullet"/>
      <w:lvlText w:val="o"/>
      <w:lvlJc w:val="left"/>
      <w:pPr>
        <w:ind w:left="4224" w:hanging="360"/>
      </w:pPr>
      <w:rPr>
        <w:rFonts w:ascii="Courier New" w:hAnsi="Courier New" w:cs="Courier New" w:hint="default"/>
      </w:rPr>
    </w:lvl>
    <w:lvl w:ilvl="5" w:tplc="04270005" w:tentative="1">
      <w:start w:val="1"/>
      <w:numFmt w:val="bullet"/>
      <w:lvlText w:val=""/>
      <w:lvlJc w:val="left"/>
      <w:pPr>
        <w:ind w:left="4944" w:hanging="360"/>
      </w:pPr>
      <w:rPr>
        <w:rFonts w:ascii="Wingdings" w:hAnsi="Wingdings" w:hint="default"/>
      </w:rPr>
    </w:lvl>
    <w:lvl w:ilvl="6" w:tplc="04270001" w:tentative="1">
      <w:start w:val="1"/>
      <w:numFmt w:val="bullet"/>
      <w:lvlText w:val=""/>
      <w:lvlJc w:val="left"/>
      <w:pPr>
        <w:ind w:left="5664" w:hanging="360"/>
      </w:pPr>
      <w:rPr>
        <w:rFonts w:ascii="Symbol" w:hAnsi="Symbol" w:hint="default"/>
      </w:rPr>
    </w:lvl>
    <w:lvl w:ilvl="7" w:tplc="04270003" w:tentative="1">
      <w:start w:val="1"/>
      <w:numFmt w:val="bullet"/>
      <w:lvlText w:val="o"/>
      <w:lvlJc w:val="left"/>
      <w:pPr>
        <w:ind w:left="6384" w:hanging="360"/>
      </w:pPr>
      <w:rPr>
        <w:rFonts w:ascii="Courier New" w:hAnsi="Courier New" w:cs="Courier New" w:hint="default"/>
      </w:rPr>
    </w:lvl>
    <w:lvl w:ilvl="8" w:tplc="04270005" w:tentative="1">
      <w:start w:val="1"/>
      <w:numFmt w:val="bullet"/>
      <w:lvlText w:val=""/>
      <w:lvlJc w:val="left"/>
      <w:pPr>
        <w:ind w:left="7104" w:hanging="360"/>
      </w:pPr>
      <w:rPr>
        <w:rFonts w:ascii="Wingdings" w:hAnsi="Wingdings" w:hint="default"/>
      </w:rPr>
    </w:lvl>
  </w:abstractNum>
  <w:abstractNum w:abstractNumId="12">
    <w:nsid w:val="62A52F9F"/>
    <w:multiLevelType w:val="hybridMultilevel"/>
    <w:tmpl w:val="43E069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7A1A039B"/>
    <w:multiLevelType w:val="hybridMultilevel"/>
    <w:tmpl w:val="9BAA4076"/>
    <w:lvl w:ilvl="0" w:tplc="63BEE10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B83E9E"/>
    <w:multiLevelType w:val="hybridMultilevel"/>
    <w:tmpl w:val="8A92A7B0"/>
    <w:lvl w:ilvl="0" w:tplc="D51E8274">
      <w:start w:val="2012"/>
      <w:numFmt w:val="bullet"/>
      <w:lvlText w:val="-"/>
      <w:lvlJc w:val="left"/>
      <w:pPr>
        <w:ind w:left="720" w:hanging="360"/>
      </w:pPr>
      <w:rPr>
        <w:rFonts w:ascii="Times New Roman" w:eastAsia="MS Mincho" w:hAnsi="Times New Roman" w:cs="Times New Roman" w:hint="default"/>
        <w:b w:val="0"/>
        <w:sz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6"/>
  </w:num>
  <w:num w:numId="5">
    <w:abstractNumId w:val="4"/>
  </w:num>
  <w:num w:numId="6">
    <w:abstractNumId w:val="8"/>
  </w:num>
  <w:num w:numId="7">
    <w:abstractNumId w:val="3"/>
  </w:num>
  <w:num w:numId="8">
    <w:abstractNumId w:val="14"/>
  </w:num>
  <w:num w:numId="9">
    <w:abstractNumId w:val="12"/>
  </w:num>
  <w:num w:numId="10">
    <w:abstractNumId w:val="2"/>
  </w:num>
  <w:num w:numId="11">
    <w:abstractNumId w:val="7"/>
  </w:num>
  <w:num w:numId="12">
    <w:abstractNumId w:val="1"/>
  </w:num>
  <w:num w:numId="13">
    <w:abstractNumId w:val="11"/>
  </w:num>
  <w:num w:numId="14">
    <w:abstractNumId w:val="5"/>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12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0025A"/>
    <w:rsid w:val="0000075D"/>
    <w:rsid w:val="00000983"/>
    <w:rsid w:val="00000D3A"/>
    <w:rsid w:val="000012C3"/>
    <w:rsid w:val="000016D9"/>
    <w:rsid w:val="00002649"/>
    <w:rsid w:val="00002CA8"/>
    <w:rsid w:val="000039DC"/>
    <w:rsid w:val="00003C82"/>
    <w:rsid w:val="00003E27"/>
    <w:rsid w:val="000041BF"/>
    <w:rsid w:val="00004788"/>
    <w:rsid w:val="00004847"/>
    <w:rsid w:val="00004AE6"/>
    <w:rsid w:val="00004B3D"/>
    <w:rsid w:val="00005E4D"/>
    <w:rsid w:val="0000641E"/>
    <w:rsid w:val="000064AF"/>
    <w:rsid w:val="00006ABE"/>
    <w:rsid w:val="000070F0"/>
    <w:rsid w:val="00007132"/>
    <w:rsid w:val="000073DD"/>
    <w:rsid w:val="000103CD"/>
    <w:rsid w:val="000106CD"/>
    <w:rsid w:val="00010755"/>
    <w:rsid w:val="00010C58"/>
    <w:rsid w:val="00011865"/>
    <w:rsid w:val="00012339"/>
    <w:rsid w:val="00012B25"/>
    <w:rsid w:val="0001411B"/>
    <w:rsid w:val="00015080"/>
    <w:rsid w:val="00015CB1"/>
    <w:rsid w:val="00016859"/>
    <w:rsid w:val="00016E01"/>
    <w:rsid w:val="00016FC6"/>
    <w:rsid w:val="000173E9"/>
    <w:rsid w:val="0001770C"/>
    <w:rsid w:val="000205FE"/>
    <w:rsid w:val="00020766"/>
    <w:rsid w:val="00020820"/>
    <w:rsid w:val="000215DF"/>
    <w:rsid w:val="000221D6"/>
    <w:rsid w:val="00023BE6"/>
    <w:rsid w:val="00023FAB"/>
    <w:rsid w:val="00024014"/>
    <w:rsid w:val="000243F0"/>
    <w:rsid w:val="00024820"/>
    <w:rsid w:val="00024AEA"/>
    <w:rsid w:val="00024D95"/>
    <w:rsid w:val="00025238"/>
    <w:rsid w:val="000255F1"/>
    <w:rsid w:val="00025956"/>
    <w:rsid w:val="0002635A"/>
    <w:rsid w:val="000264E8"/>
    <w:rsid w:val="000267C6"/>
    <w:rsid w:val="00026A4A"/>
    <w:rsid w:val="00026D97"/>
    <w:rsid w:val="00026E69"/>
    <w:rsid w:val="0002768A"/>
    <w:rsid w:val="000302E6"/>
    <w:rsid w:val="0003038A"/>
    <w:rsid w:val="000308C5"/>
    <w:rsid w:val="000313D3"/>
    <w:rsid w:val="000317F6"/>
    <w:rsid w:val="00031804"/>
    <w:rsid w:val="0003191D"/>
    <w:rsid w:val="00031ABB"/>
    <w:rsid w:val="00031C42"/>
    <w:rsid w:val="000321B4"/>
    <w:rsid w:val="0003428B"/>
    <w:rsid w:val="000346C2"/>
    <w:rsid w:val="00034D66"/>
    <w:rsid w:val="00035485"/>
    <w:rsid w:val="00035D27"/>
    <w:rsid w:val="00036AD5"/>
    <w:rsid w:val="00036BAB"/>
    <w:rsid w:val="000370E6"/>
    <w:rsid w:val="00040BDB"/>
    <w:rsid w:val="0004115D"/>
    <w:rsid w:val="000417A6"/>
    <w:rsid w:val="000421EF"/>
    <w:rsid w:val="000428E7"/>
    <w:rsid w:val="00042DC7"/>
    <w:rsid w:val="00043354"/>
    <w:rsid w:val="0004363B"/>
    <w:rsid w:val="0004472E"/>
    <w:rsid w:val="00044803"/>
    <w:rsid w:val="00044D6C"/>
    <w:rsid w:val="000451FE"/>
    <w:rsid w:val="0004576F"/>
    <w:rsid w:val="0004590E"/>
    <w:rsid w:val="00045AF7"/>
    <w:rsid w:val="0004677B"/>
    <w:rsid w:val="00046A22"/>
    <w:rsid w:val="00046CB9"/>
    <w:rsid w:val="0004775E"/>
    <w:rsid w:val="00051605"/>
    <w:rsid w:val="00053002"/>
    <w:rsid w:val="000530BC"/>
    <w:rsid w:val="00053636"/>
    <w:rsid w:val="00054190"/>
    <w:rsid w:val="0005477C"/>
    <w:rsid w:val="00054DC8"/>
    <w:rsid w:val="00055633"/>
    <w:rsid w:val="000573FD"/>
    <w:rsid w:val="00057660"/>
    <w:rsid w:val="00057975"/>
    <w:rsid w:val="00057B6E"/>
    <w:rsid w:val="00060595"/>
    <w:rsid w:val="00061031"/>
    <w:rsid w:val="00061041"/>
    <w:rsid w:val="00061549"/>
    <w:rsid w:val="00061955"/>
    <w:rsid w:val="00061A4E"/>
    <w:rsid w:val="00062032"/>
    <w:rsid w:val="000628C7"/>
    <w:rsid w:val="00062B6F"/>
    <w:rsid w:val="00062F81"/>
    <w:rsid w:val="00063609"/>
    <w:rsid w:val="000636C6"/>
    <w:rsid w:val="00063860"/>
    <w:rsid w:val="00063F16"/>
    <w:rsid w:val="00064408"/>
    <w:rsid w:val="00064920"/>
    <w:rsid w:val="0006543A"/>
    <w:rsid w:val="00065B0A"/>
    <w:rsid w:val="00065B13"/>
    <w:rsid w:val="00067F5C"/>
    <w:rsid w:val="000708FD"/>
    <w:rsid w:val="00071D90"/>
    <w:rsid w:val="00072763"/>
    <w:rsid w:val="00073ADE"/>
    <w:rsid w:val="00073D22"/>
    <w:rsid w:val="00074288"/>
    <w:rsid w:val="0007464B"/>
    <w:rsid w:val="00074FC6"/>
    <w:rsid w:val="00075EBF"/>
    <w:rsid w:val="0007775E"/>
    <w:rsid w:val="00080577"/>
    <w:rsid w:val="00080D48"/>
    <w:rsid w:val="000812CC"/>
    <w:rsid w:val="00081520"/>
    <w:rsid w:val="000815F4"/>
    <w:rsid w:val="000827DB"/>
    <w:rsid w:val="0008285D"/>
    <w:rsid w:val="000831A6"/>
    <w:rsid w:val="00083991"/>
    <w:rsid w:val="00084BA8"/>
    <w:rsid w:val="00085102"/>
    <w:rsid w:val="000853D9"/>
    <w:rsid w:val="000864BE"/>
    <w:rsid w:val="00086A76"/>
    <w:rsid w:val="00086B53"/>
    <w:rsid w:val="0009037F"/>
    <w:rsid w:val="000906B6"/>
    <w:rsid w:val="00090861"/>
    <w:rsid w:val="00090F1B"/>
    <w:rsid w:val="00091D60"/>
    <w:rsid w:val="00091DC3"/>
    <w:rsid w:val="0009209F"/>
    <w:rsid w:val="000923FC"/>
    <w:rsid w:val="00092665"/>
    <w:rsid w:val="00092893"/>
    <w:rsid w:val="00092BD6"/>
    <w:rsid w:val="00092E6B"/>
    <w:rsid w:val="000935A1"/>
    <w:rsid w:val="000937ED"/>
    <w:rsid w:val="00093D6C"/>
    <w:rsid w:val="000941C6"/>
    <w:rsid w:val="000943AE"/>
    <w:rsid w:val="00094463"/>
    <w:rsid w:val="00094DCE"/>
    <w:rsid w:val="000954C8"/>
    <w:rsid w:val="00095645"/>
    <w:rsid w:val="00095695"/>
    <w:rsid w:val="00095CA1"/>
    <w:rsid w:val="00096D55"/>
    <w:rsid w:val="0009754D"/>
    <w:rsid w:val="00097738"/>
    <w:rsid w:val="000A0085"/>
    <w:rsid w:val="000A0847"/>
    <w:rsid w:val="000A149A"/>
    <w:rsid w:val="000A14AF"/>
    <w:rsid w:val="000A15E0"/>
    <w:rsid w:val="000A1740"/>
    <w:rsid w:val="000A1923"/>
    <w:rsid w:val="000A1C86"/>
    <w:rsid w:val="000A2CA4"/>
    <w:rsid w:val="000A2E99"/>
    <w:rsid w:val="000A379F"/>
    <w:rsid w:val="000A3B5D"/>
    <w:rsid w:val="000A43D0"/>
    <w:rsid w:val="000A5A58"/>
    <w:rsid w:val="000A5C0B"/>
    <w:rsid w:val="000A6AD8"/>
    <w:rsid w:val="000A704E"/>
    <w:rsid w:val="000A7968"/>
    <w:rsid w:val="000B0447"/>
    <w:rsid w:val="000B0A8A"/>
    <w:rsid w:val="000B1E55"/>
    <w:rsid w:val="000B1FE7"/>
    <w:rsid w:val="000B2426"/>
    <w:rsid w:val="000B29A1"/>
    <w:rsid w:val="000B4866"/>
    <w:rsid w:val="000B4B61"/>
    <w:rsid w:val="000B5782"/>
    <w:rsid w:val="000B5D24"/>
    <w:rsid w:val="000B69B8"/>
    <w:rsid w:val="000B6BA5"/>
    <w:rsid w:val="000B7B5B"/>
    <w:rsid w:val="000C09E7"/>
    <w:rsid w:val="000C1A5F"/>
    <w:rsid w:val="000C1C0A"/>
    <w:rsid w:val="000C1F00"/>
    <w:rsid w:val="000C232A"/>
    <w:rsid w:val="000C2419"/>
    <w:rsid w:val="000C3146"/>
    <w:rsid w:val="000C3E54"/>
    <w:rsid w:val="000C4371"/>
    <w:rsid w:val="000C6342"/>
    <w:rsid w:val="000C696A"/>
    <w:rsid w:val="000C7EA5"/>
    <w:rsid w:val="000D01AD"/>
    <w:rsid w:val="000D0482"/>
    <w:rsid w:val="000D0868"/>
    <w:rsid w:val="000D093D"/>
    <w:rsid w:val="000D0E8C"/>
    <w:rsid w:val="000D10AC"/>
    <w:rsid w:val="000D13D7"/>
    <w:rsid w:val="000D1A67"/>
    <w:rsid w:val="000D1E50"/>
    <w:rsid w:val="000D1E95"/>
    <w:rsid w:val="000D228A"/>
    <w:rsid w:val="000D2B8F"/>
    <w:rsid w:val="000D3246"/>
    <w:rsid w:val="000D43BF"/>
    <w:rsid w:val="000D56AE"/>
    <w:rsid w:val="000D6E1D"/>
    <w:rsid w:val="000D7B6C"/>
    <w:rsid w:val="000E01C6"/>
    <w:rsid w:val="000E023F"/>
    <w:rsid w:val="000E11B0"/>
    <w:rsid w:val="000E1755"/>
    <w:rsid w:val="000E1FFE"/>
    <w:rsid w:val="000E2192"/>
    <w:rsid w:val="000E24D2"/>
    <w:rsid w:val="000E26E7"/>
    <w:rsid w:val="000E301F"/>
    <w:rsid w:val="000E330F"/>
    <w:rsid w:val="000E3968"/>
    <w:rsid w:val="000E53B8"/>
    <w:rsid w:val="000E5E66"/>
    <w:rsid w:val="000E65C0"/>
    <w:rsid w:val="000E6900"/>
    <w:rsid w:val="000E7160"/>
    <w:rsid w:val="000E7695"/>
    <w:rsid w:val="000F0FD1"/>
    <w:rsid w:val="000F10FE"/>
    <w:rsid w:val="000F1DC4"/>
    <w:rsid w:val="000F3152"/>
    <w:rsid w:val="000F3321"/>
    <w:rsid w:val="000F3CAD"/>
    <w:rsid w:val="000F47E3"/>
    <w:rsid w:val="000F4A95"/>
    <w:rsid w:val="000F5A44"/>
    <w:rsid w:val="000F5C8C"/>
    <w:rsid w:val="000F637F"/>
    <w:rsid w:val="000F65C6"/>
    <w:rsid w:val="000F6925"/>
    <w:rsid w:val="000F6CDA"/>
    <w:rsid w:val="000F7D0C"/>
    <w:rsid w:val="001002E7"/>
    <w:rsid w:val="00101325"/>
    <w:rsid w:val="0010181A"/>
    <w:rsid w:val="0010197A"/>
    <w:rsid w:val="00101B26"/>
    <w:rsid w:val="00101E86"/>
    <w:rsid w:val="0010288F"/>
    <w:rsid w:val="00103475"/>
    <w:rsid w:val="00104258"/>
    <w:rsid w:val="0010439F"/>
    <w:rsid w:val="001047E7"/>
    <w:rsid w:val="00104ADD"/>
    <w:rsid w:val="00104F79"/>
    <w:rsid w:val="00106286"/>
    <w:rsid w:val="0010703D"/>
    <w:rsid w:val="00107063"/>
    <w:rsid w:val="00107147"/>
    <w:rsid w:val="001104AD"/>
    <w:rsid w:val="001117A6"/>
    <w:rsid w:val="001121C2"/>
    <w:rsid w:val="0011267C"/>
    <w:rsid w:val="00112D4B"/>
    <w:rsid w:val="001131A5"/>
    <w:rsid w:val="00114410"/>
    <w:rsid w:val="00114904"/>
    <w:rsid w:val="00114D67"/>
    <w:rsid w:val="0011585C"/>
    <w:rsid w:val="001159EC"/>
    <w:rsid w:val="00115B3A"/>
    <w:rsid w:val="001160B6"/>
    <w:rsid w:val="00116ACA"/>
    <w:rsid w:val="00116D4F"/>
    <w:rsid w:val="0011707B"/>
    <w:rsid w:val="001170A2"/>
    <w:rsid w:val="00120368"/>
    <w:rsid w:val="001205EB"/>
    <w:rsid w:val="00122368"/>
    <w:rsid w:val="00122898"/>
    <w:rsid w:val="00122978"/>
    <w:rsid w:val="00124B1F"/>
    <w:rsid w:val="00125227"/>
    <w:rsid w:val="0012546E"/>
    <w:rsid w:val="00126901"/>
    <w:rsid w:val="00127176"/>
    <w:rsid w:val="001273D8"/>
    <w:rsid w:val="0012790A"/>
    <w:rsid w:val="00127D0D"/>
    <w:rsid w:val="00130EEF"/>
    <w:rsid w:val="00130F65"/>
    <w:rsid w:val="001310D8"/>
    <w:rsid w:val="00131148"/>
    <w:rsid w:val="0013179C"/>
    <w:rsid w:val="00131E96"/>
    <w:rsid w:val="00131F29"/>
    <w:rsid w:val="0013242B"/>
    <w:rsid w:val="00132AF5"/>
    <w:rsid w:val="00132B34"/>
    <w:rsid w:val="00132F66"/>
    <w:rsid w:val="001332DB"/>
    <w:rsid w:val="001333B0"/>
    <w:rsid w:val="001338FB"/>
    <w:rsid w:val="001339A9"/>
    <w:rsid w:val="001342AD"/>
    <w:rsid w:val="001345A0"/>
    <w:rsid w:val="00134731"/>
    <w:rsid w:val="001348E1"/>
    <w:rsid w:val="0013528D"/>
    <w:rsid w:val="0013534C"/>
    <w:rsid w:val="00135979"/>
    <w:rsid w:val="00136C57"/>
    <w:rsid w:val="00136E85"/>
    <w:rsid w:val="00137772"/>
    <w:rsid w:val="00137B67"/>
    <w:rsid w:val="0014038E"/>
    <w:rsid w:val="00141216"/>
    <w:rsid w:val="00143731"/>
    <w:rsid w:val="0014379B"/>
    <w:rsid w:val="00144039"/>
    <w:rsid w:val="00144D85"/>
    <w:rsid w:val="00145908"/>
    <w:rsid w:val="0014604A"/>
    <w:rsid w:val="001472BD"/>
    <w:rsid w:val="00147F04"/>
    <w:rsid w:val="00150035"/>
    <w:rsid w:val="00152048"/>
    <w:rsid w:val="00152211"/>
    <w:rsid w:val="00152D39"/>
    <w:rsid w:val="001530CE"/>
    <w:rsid w:val="00154416"/>
    <w:rsid w:val="00154474"/>
    <w:rsid w:val="00155EFF"/>
    <w:rsid w:val="001564CF"/>
    <w:rsid w:val="00156DC7"/>
    <w:rsid w:val="00157B99"/>
    <w:rsid w:val="00160F6B"/>
    <w:rsid w:val="0016196C"/>
    <w:rsid w:val="00161A1C"/>
    <w:rsid w:val="00162B16"/>
    <w:rsid w:val="00162EAE"/>
    <w:rsid w:val="00163080"/>
    <w:rsid w:val="0016339C"/>
    <w:rsid w:val="0016355C"/>
    <w:rsid w:val="00164072"/>
    <w:rsid w:val="00164933"/>
    <w:rsid w:val="00164FBA"/>
    <w:rsid w:val="001655E1"/>
    <w:rsid w:val="001659B4"/>
    <w:rsid w:val="00165A6C"/>
    <w:rsid w:val="001660CC"/>
    <w:rsid w:val="001669C7"/>
    <w:rsid w:val="00166E6F"/>
    <w:rsid w:val="00167222"/>
    <w:rsid w:val="001672AC"/>
    <w:rsid w:val="001672F3"/>
    <w:rsid w:val="0017141E"/>
    <w:rsid w:val="00171C1E"/>
    <w:rsid w:val="00171C54"/>
    <w:rsid w:val="00172067"/>
    <w:rsid w:val="00172A56"/>
    <w:rsid w:val="00172FB7"/>
    <w:rsid w:val="00173252"/>
    <w:rsid w:val="00174155"/>
    <w:rsid w:val="001745CC"/>
    <w:rsid w:val="00174DAB"/>
    <w:rsid w:val="00175988"/>
    <w:rsid w:val="00175E52"/>
    <w:rsid w:val="0017642C"/>
    <w:rsid w:val="00176FEF"/>
    <w:rsid w:val="001801E0"/>
    <w:rsid w:val="001807BD"/>
    <w:rsid w:val="001811E0"/>
    <w:rsid w:val="00181311"/>
    <w:rsid w:val="00181473"/>
    <w:rsid w:val="0018151B"/>
    <w:rsid w:val="00181724"/>
    <w:rsid w:val="00181B83"/>
    <w:rsid w:val="0018224E"/>
    <w:rsid w:val="0018328B"/>
    <w:rsid w:val="00183321"/>
    <w:rsid w:val="00184056"/>
    <w:rsid w:val="0018457F"/>
    <w:rsid w:val="00184A47"/>
    <w:rsid w:val="00184AFD"/>
    <w:rsid w:val="00185019"/>
    <w:rsid w:val="0018565C"/>
    <w:rsid w:val="001856AC"/>
    <w:rsid w:val="00185D29"/>
    <w:rsid w:val="00185FE2"/>
    <w:rsid w:val="001867A7"/>
    <w:rsid w:val="00186E1A"/>
    <w:rsid w:val="0018741B"/>
    <w:rsid w:val="001877C0"/>
    <w:rsid w:val="00187D38"/>
    <w:rsid w:val="001900EA"/>
    <w:rsid w:val="00190D4F"/>
    <w:rsid w:val="00190EB7"/>
    <w:rsid w:val="0019183E"/>
    <w:rsid w:val="00191870"/>
    <w:rsid w:val="00191FE2"/>
    <w:rsid w:val="00192AEA"/>
    <w:rsid w:val="00192C20"/>
    <w:rsid w:val="001939C9"/>
    <w:rsid w:val="00194C9A"/>
    <w:rsid w:val="00194D6E"/>
    <w:rsid w:val="00194D83"/>
    <w:rsid w:val="00194E97"/>
    <w:rsid w:val="00194ED7"/>
    <w:rsid w:val="001950AC"/>
    <w:rsid w:val="00195284"/>
    <w:rsid w:val="00195421"/>
    <w:rsid w:val="001957F9"/>
    <w:rsid w:val="00196215"/>
    <w:rsid w:val="00196E5D"/>
    <w:rsid w:val="00197699"/>
    <w:rsid w:val="001979A9"/>
    <w:rsid w:val="001A0133"/>
    <w:rsid w:val="001A07FC"/>
    <w:rsid w:val="001A0B6F"/>
    <w:rsid w:val="001A16B9"/>
    <w:rsid w:val="001A1A31"/>
    <w:rsid w:val="001A1FF3"/>
    <w:rsid w:val="001A2B0E"/>
    <w:rsid w:val="001A30D9"/>
    <w:rsid w:val="001A3259"/>
    <w:rsid w:val="001A3F18"/>
    <w:rsid w:val="001A3F3C"/>
    <w:rsid w:val="001A56F7"/>
    <w:rsid w:val="001A5E7A"/>
    <w:rsid w:val="001A60D5"/>
    <w:rsid w:val="001A6220"/>
    <w:rsid w:val="001B0526"/>
    <w:rsid w:val="001B0C18"/>
    <w:rsid w:val="001B1E7D"/>
    <w:rsid w:val="001B217B"/>
    <w:rsid w:val="001B2343"/>
    <w:rsid w:val="001B3041"/>
    <w:rsid w:val="001B3B94"/>
    <w:rsid w:val="001B4AF2"/>
    <w:rsid w:val="001B4BF7"/>
    <w:rsid w:val="001B57AC"/>
    <w:rsid w:val="001B5886"/>
    <w:rsid w:val="001B5EFF"/>
    <w:rsid w:val="001B5FEB"/>
    <w:rsid w:val="001B6053"/>
    <w:rsid w:val="001B6596"/>
    <w:rsid w:val="001B67C3"/>
    <w:rsid w:val="001B74F6"/>
    <w:rsid w:val="001B7545"/>
    <w:rsid w:val="001B7671"/>
    <w:rsid w:val="001C0226"/>
    <w:rsid w:val="001C0822"/>
    <w:rsid w:val="001C0C3A"/>
    <w:rsid w:val="001C0FA9"/>
    <w:rsid w:val="001C2369"/>
    <w:rsid w:val="001C2CAF"/>
    <w:rsid w:val="001C2D08"/>
    <w:rsid w:val="001C356F"/>
    <w:rsid w:val="001C3B67"/>
    <w:rsid w:val="001C3CBB"/>
    <w:rsid w:val="001C3F4D"/>
    <w:rsid w:val="001C4098"/>
    <w:rsid w:val="001C4575"/>
    <w:rsid w:val="001C46E8"/>
    <w:rsid w:val="001C4CB8"/>
    <w:rsid w:val="001C4D15"/>
    <w:rsid w:val="001C6B0F"/>
    <w:rsid w:val="001D00BA"/>
    <w:rsid w:val="001D0F9D"/>
    <w:rsid w:val="001D14AC"/>
    <w:rsid w:val="001D1A48"/>
    <w:rsid w:val="001D2999"/>
    <w:rsid w:val="001D4223"/>
    <w:rsid w:val="001D4F87"/>
    <w:rsid w:val="001D501A"/>
    <w:rsid w:val="001D5168"/>
    <w:rsid w:val="001D5ADF"/>
    <w:rsid w:val="001D6A06"/>
    <w:rsid w:val="001D6E0D"/>
    <w:rsid w:val="001D7670"/>
    <w:rsid w:val="001D7756"/>
    <w:rsid w:val="001D78A9"/>
    <w:rsid w:val="001E09D7"/>
    <w:rsid w:val="001E224E"/>
    <w:rsid w:val="001E3199"/>
    <w:rsid w:val="001E3D2C"/>
    <w:rsid w:val="001E3F8C"/>
    <w:rsid w:val="001E463B"/>
    <w:rsid w:val="001E4C4F"/>
    <w:rsid w:val="001E4D48"/>
    <w:rsid w:val="001E6BCF"/>
    <w:rsid w:val="001E735D"/>
    <w:rsid w:val="001E73A3"/>
    <w:rsid w:val="001E7A41"/>
    <w:rsid w:val="001E7B52"/>
    <w:rsid w:val="001E7B87"/>
    <w:rsid w:val="001F04CF"/>
    <w:rsid w:val="001F09CB"/>
    <w:rsid w:val="001F0ADC"/>
    <w:rsid w:val="001F0D22"/>
    <w:rsid w:val="001F11FD"/>
    <w:rsid w:val="001F1402"/>
    <w:rsid w:val="001F200C"/>
    <w:rsid w:val="001F2897"/>
    <w:rsid w:val="001F2944"/>
    <w:rsid w:val="001F2D9F"/>
    <w:rsid w:val="001F3C41"/>
    <w:rsid w:val="001F40FB"/>
    <w:rsid w:val="001F4AE2"/>
    <w:rsid w:val="001F4C4B"/>
    <w:rsid w:val="001F4D12"/>
    <w:rsid w:val="001F4F28"/>
    <w:rsid w:val="001F50A9"/>
    <w:rsid w:val="001F618F"/>
    <w:rsid w:val="001F63AD"/>
    <w:rsid w:val="001F7603"/>
    <w:rsid w:val="001F7829"/>
    <w:rsid w:val="002000BB"/>
    <w:rsid w:val="00200162"/>
    <w:rsid w:val="00200501"/>
    <w:rsid w:val="00200F15"/>
    <w:rsid w:val="002027D4"/>
    <w:rsid w:val="00202B5B"/>
    <w:rsid w:val="002031E9"/>
    <w:rsid w:val="00204DCF"/>
    <w:rsid w:val="00205148"/>
    <w:rsid w:val="002057B7"/>
    <w:rsid w:val="00205946"/>
    <w:rsid w:val="00205BCF"/>
    <w:rsid w:val="002064A0"/>
    <w:rsid w:val="0020661F"/>
    <w:rsid w:val="002067E0"/>
    <w:rsid w:val="00207E05"/>
    <w:rsid w:val="00210935"/>
    <w:rsid w:val="00211525"/>
    <w:rsid w:val="002119C1"/>
    <w:rsid w:val="0021214E"/>
    <w:rsid w:val="0021381C"/>
    <w:rsid w:val="002139B1"/>
    <w:rsid w:val="0021403E"/>
    <w:rsid w:val="00214176"/>
    <w:rsid w:val="002146E0"/>
    <w:rsid w:val="0021540F"/>
    <w:rsid w:val="00215E21"/>
    <w:rsid w:val="002203B9"/>
    <w:rsid w:val="002211AA"/>
    <w:rsid w:val="002216A4"/>
    <w:rsid w:val="00221AF2"/>
    <w:rsid w:val="00221BF9"/>
    <w:rsid w:val="00222A90"/>
    <w:rsid w:val="00222C52"/>
    <w:rsid w:val="00225C7A"/>
    <w:rsid w:val="00225ED6"/>
    <w:rsid w:val="0022627A"/>
    <w:rsid w:val="00226737"/>
    <w:rsid w:val="0022676E"/>
    <w:rsid w:val="002267FE"/>
    <w:rsid w:val="00227130"/>
    <w:rsid w:val="00227295"/>
    <w:rsid w:val="0022732C"/>
    <w:rsid w:val="00227480"/>
    <w:rsid w:val="00227ABE"/>
    <w:rsid w:val="00230192"/>
    <w:rsid w:val="00230393"/>
    <w:rsid w:val="00231210"/>
    <w:rsid w:val="0023168B"/>
    <w:rsid w:val="0023178C"/>
    <w:rsid w:val="00231B5A"/>
    <w:rsid w:val="00231CE9"/>
    <w:rsid w:val="00232B98"/>
    <w:rsid w:val="00232CAA"/>
    <w:rsid w:val="002330E3"/>
    <w:rsid w:val="0023354C"/>
    <w:rsid w:val="00233767"/>
    <w:rsid w:val="002338FC"/>
    <w:rsid w:val="00233BDE"/>
    <w:rsid w:val="002353EB"/>
    <w:rsid w:val="00235977"/>
    <w:rsid w:val="002361CC"/>
    <w:rsid w:val="002365F4"/>
    <w:rsid w:val="002403FC"/>
    <w:rsid w:val="00240497"/>
    <w:rsid w:val="002404F9"/>
    <w:rsid w:val="00240A70"/>
    <w:rsid w:val="00241941"/>
    <w:rsid w:val="00241B21"/>
    <w:rsid w:val="00241DA5"/>
    <w:rsid w:val="00242580"/>
    <w:rsid w:val="002429CE"/>
    <w:rsid w:val="00242C7B"/>
    <w:rsid w:val="002434B4"/>
    <w:rsid w:val="00243500"/>
    <w:rsid w:val="00243647"/>
    <w:rsid w:val="00243A08"/>
    <w:rsid w:val="002440DA"/>
    <w:rsid w:val="002450D6"/>
    <w:rsid w:val="00245EBE"/>
    <w:rsid w:val="002465FB"/>
    <w:rsid w:val="00246734"/>
    <w:rsid w:val="0024673C"/>
    <w:rsid w:val="00246CC8"/>
    <w:rsid w:val="00246CF7"/>
    <w:rsid w:val="0024742C"/>
    <w:rsid w:val="00247526"/>
    <w:rsid w:val="00247752"/>
    <w:rsid w:val="00247804"/>
    <w:rsid w:val="00250199"/>
    <w:rsid w:val="00250381"/>
    <w:rsid w:val="00250995"/>
    <w:rsid w:val="00251672"/>
    <w:rsid w:val="002522C4"/>
    <w:rsid w:val="00252360"/>
    <w:rsid w:val="00252926"/>
    <w:rsid w:val="00253469"/>
    <w:rsid w:val="002535FB"/>
    <w:rsid w:val="00253A03"/>
    <w:rsid w:val="00254082"/>
    <w:rsid w:val="0025460B"/>
    <w:rsid w:val="00254726"/>
    <w:rsid w:val="0025476A"/>
    <w:rsid w:val="0025480A"/>
    <w:rsid w:val="00255067"/>
    <w:rsid w:val="00255C86"/>
    <w:rsid w:val="00255E0B"/>
    <w:rsid w:val="00256012"/>
    <w:rsid w:val="0025608B"/>
    <w:rsid w:val="00256411"/>
    <w:rsid w:val="00256B03"/>
    <w:rsid w:val="002601C2"/>
    <w:rsid w:val="00262CA9"/>
    <w:rsid w:val="00263C3F"/>
    <w:rsid w:val="002640C7"/>
    <w:rsid w:val="00264648"/>
    <w:rsid w:val="00264952"/>
    <w:rsid w:val="00264A99"/>
    <w:rsid w:val="00264B94"/>
    <w:rsid w:val="00264F6B"/>
    <w:rsid w:val="002651FF"/>
    <w:rsid w:val="0026641F"/>
    <w:rsid w:val="0027034E"/>
    <w:rsid w:val="00270452"/>
    <w:rsid w:val="002715FD"/>
    <w:rsid w:val="00271B5F"/>
    <w:rsid w:val="00271F2E"/>
    <w:rsid w:val="002724CE"/>
    <w:rsid w:val="00272B2A"/>
    <w:rsid w:val="00272F4C"/>
    <w:rsid w:val="00275396"/>
    <w:rsid w:val="00275A83"/>
    <w:rsid w:val="00277249"/>
    <w:rsid w:val="002802BB"/>
    <w:rsid w:val="002803F0"/>
    <w:rsid w:val="00280C4A"/>
    <w:rsid w:val="0028104B"/>
    <w:rsid w:val="0028124D"/>
    <w:rsid w:val="002814AD"/>
    <w:rsid w:val="00281A94"/>
    <w:rsid w:val="00281EC1"/>
    <w:rsid w:val="00281F3F"/>
    <w:rsid w:val="00282085"/>
    <w:rsid w:val="002824D4"/>
    <w:rsid w:val="002833C5"/>
    <w:rsid w:val="00283885"/>
    <w:rsid w:val="00283D9E"/>
    <w:rsid w:val="00284CA4"/>
    <w:rsid w:val="00285402"/>
    <w:rsid w:val="00285A08"/>
    <w:rsid w:val="00285B15"/>
    <w:rsid w:val="00285DAB"/>
    <w:rsid w:val="00286D44"/>
    <w:rsid w:val="00286DAF"/>
    <w:rsid w:val="002879E7"/>
    <w:rsid w:val="00287C01"/>
    <w:rsid w:val="00287C86"/>
    <w:rsid w:val="00287ED1"/>
    <w:rsid w:val="00290414"/>
    <w:rsid w:val="0029044F"/>
    <w:rsid w:val="00290C89"/>
    <w:rsid w:val="00291CB0"/>
    <w:rsid w:val="00292C4C"/>
    <w:rsid w:val="002935B0"/>
    <w:rsid w:val="00293ABE"/>
    <w:rsid w:val="00293B69"/>
    <w:rsid w:val="0029413A"/>
    <w:rsid w:val="002941DB"/>
    <w:rsid w:val="00294386"/>
    <w:rsid w:val="00295893"/>
    <w:rsid w:val="00295E9D"/>
    <w:rsid w:val="00296326"/>
    <w:rsid w:val="002966B1"/>
    <w:rsid w:val="002966F2"/>
    <w:rsid w:val="00296EBE"/>
    <w:rsid w:val="002A0187"/>
    <w:rsid w:val="002A0435"/>
    <w:rsid w:val="002A0BA4"/>
    <w:rsid w:val="002A244D"/>
    <w:rsid w:val="002A28A9"/>
    <w:rsid w:val="002A29C0"/>
    <w:rsid w:val="002A364A"/>
    <w:rsid w:val="002A3B6F"/>
    <w:rsid w:val="002A49CA"/>
    <w:rsid w:val="002A4CFA"/>
    <w:rsid w:val="002A6AD3"/>
    <w:rsid w:val="002A6E2E"/>
    <w:rsid w:val="002A6F76"/>
    <w:rsid w:val="002A71D7"/>
    <w:rsid w:val="002B096A"/>
    <w:rsid w:val="002B0D1F"/>
    <w:rsid w:val="002B0E57"/>
    <w:rsid w:val="002B0FCC"/>
    <w:rsid w:val="002B1B66"/>
    <w:rsid w:val="002B2361"/>
    <w:rsid w:val="002B346D"/>
    <w:rsid w:val="002B4FB7"/>
    <w:rsid w:val="002B51DB"/>
    <w:rsid w:val="002B5352"/>
    <w:rsid w:val="002B6A05"/>
    <w:rsid w:val="002B6F65"/>
    <w:rsid w:val="002B7EBA"/>
    <w:rsid w:val="002B7F64"/>
    <w:rsid w:val="002C18A9"/>
    <w:rsid w:val="002C2014"/>
    <w:rsid w:val="002C2B89"/>
    <w:rsid w:val="002C2C20"/>
    <w:rsid w:val="002C2D21"/>
    <w:rsid w:val="002C3397"/>
    <w:rsid w:val="002C35DD"/>
    <w:rsid w:val="002C3A7E"/>
    <w:rsid w:val="002C3E8E"/>
    <w:rsid w:val="002C482C"/>
    <w:rsid w:val="002C5699"/>
    <w:rsid w:val="002C599C"/>
    <w:rsid w:val="002C5F7A"/>
    <w:rsid w:val="002C663B"/>
    <w:rsid w:val="002C6B7C"/>
    <w:rsid w:val="002C7724"/>
    <w:rsid w:val="002D0D9D"/>
    <w:rsid w:val="002D15C4"/>
    <w:rsid w:val="002D1A8F"/>
    <w:rsid w:val="002D216A"/>
    <w:rsid w:val="002D280A"/>
    <w:rsid w:val="002D2D51"/>
    <w:rsid w:val="002D3097"/>
    <w:rsid w:val="002D3253"/>
    <w:rsid w:val="002D40F5"/>
    <w:rsid w:val="002D48EE"/>
    <w:rsid w:val="002D4C03"/>
    <w:rsid w:val="002D5018"/>
    <w:rsid w:val="002D61BE"/>
    <w:rsid w:val="002D64AD"/>
    <w:rsid w:val="002D66D5"/>
    <w:rsid w:val="002D6CCD"/>
    <w:rsid w:val="002D734F"/>
    <w:rsid w:val="002D7660"/>
    <w:rsid w:val="002D7FD2"/>
    <w:rsid w:val="002E0420"/>
    <w:rsid w:val="002E2137"/>
    <w:rsid w:val="002E2225"/>
    <w:rsid w:val="002E28A0"/>
    <w:rsid w:val="002E37D0"/>
    <w:rsid w:val="002E479D"/>
    <w:rsid w:val="002E496C"/>
    <w:rsid w:val="002E4E41"/>
    <w:rsid w:val="002E504E"/>
    <w:rsid w:val="002E5532"/>
    <w:rsid w:val="002E6258"/>
    <w:rsid w:val="002E62AB"/>
    <w:rsid w:val="002E70FD"/>
    <w:rsid w:val="002E74A8"/>
    <w:rsid w:val="002E7BBA"/>
    <w:rsid w:val="002F0756"/>
    <w:rsid w:val="002F076F"/>
    <w:rsid w:val="002F093B"/>
    <w:rsid w:val="002F15D1"/>
    <w:rsid w:val="002F1B91"/>
    <w:rsid w:val="002F2844"/>
    <w:rsid w:val="002F2EAF"/>
    <w:rsid w:val="002F2F9E"/>
    <w:rsid w:val="002F4E90"/>
    <w:rsid w:val="002F51E2"/>
    <w:rsid w:val="002F55DA"/>
    <w:rsid w:val="002F5E36"/>
    <w:rsid w:val="002F63CA"/>
    <w:rsid w:val="002F64D8"/>
    <w:rsid w:val="002F678A"/>
    <w:rsid w:val="002F705A"/>
    <w:rsid w:val="002F7788"/>
    <w:rsid w:val="003001E8"/>
    <w:rsid w:val="00300D14"/>
    <w:rsid w:val="003026CA"/>
    <w:rsid w:val="00302C54"/>
    <w:rsid w:val="00302CDB"/>
    <w:rsid w:val="003032E5"/>
    <w:rsid w:val="00303C65"/>
    <w:rsid w:val="0030471E"/>
    <w:rsid w:val="0030499D"/>
    <w:rsid w:val="00304DA0"/>
    <w:rsid w:val="00305047"/>
    <w:rsid w:val="0030511B"/>
    <w:rsid w:val="00305486"/>
    <w:rsid w:val="003058CD"/>
    <w:rsid w:val="003059E8"/>
    <w:rsid w:val="00305A36"/>
    <w:rsid w:val="00306243"/>
    <w:rsid w:val="00306721"/>
    <w:rsid w:val="0030672C"/>
    <w:rsid w:val="00310213"/>
    <w:rsid w:val="00310459"/>
    <w:rsid w:val="00311D16"/>
    <w:rsid w:val="003120DD"/>
    <w:rsid w:val="0031246A"/>
    <w:rsid w:val="00312507"/>
    <w:rsid w:val="003130C6"/>
    <w:rsid w:val="0031434E"/>
    <w:rsid w:val="003144E6"/>
    <w:rsid w:val="00314583"/>
    <w:rsid w:val="0031479C"/>
    <w:rsid w:val="00314BE3"/>
    <w:rsid w:val="00314BF8"/>
    <w:rsid w:val="00314DB8"/>
    <w:rsid w:val="00315EFD"/>
    <w:rsid w:val="0031660F"/>
    <w:rsid w:val="0031694C"/>
    <w:rsid w:val="00316C1B"/>
    <w:rsid w:val="00317C4D"/>
    <w:rsid w:val="00320289"/>
    <w:rsid w:val="0032156D"/>
    <w:rsid w:val="00321D1F"/>
    <w:rsid w:val="00321D3F"/>
    <w:rsid w:val="003223B2"/>
    <w:rsid w:val="0032240E"/>
    <w:rsid w:val="00322E42"/>
    <w:rsid w:val="003233C6"/>
    <w:rsid w:val="00323BBF"/>
    <w:rsid w:val="00323BEC"/>
    <w:rsid w:val="003250AB"/>
    <w:rsid w:val="00325DF6"/>
    <w:rsid w:val="00326649"/>
    <w:rsid w:val="00326972"/>
    <w:rsid w:val="00326D7C"/>
    <w:rsid w:val="00326FB9"/>
    <w:rsid w:val="003270B2"/>
    <w:rsid w:val="003275B7"/>
    <w:rsid w:val="00327C0E"/>
    <w:rsid w:val="00330391"/>
    <w:rsid w:val="00330A8C"/>
    <w:rsid w:val="00330F22"/>
    <w:rsid w:val="003310AB"/>
    <w:rsid w:val="00331431"/>
    <w:rsid w:val="00332079"/>
    <w:rsid w:val="003320E6"/>
    <w:rsid w:val="003322F2"/>
    <w:rsid w:val="00332E06"/>
    <w:rsid w:val="00332EE8"/>
    <w:rsid w:val="003332EA"/>
    <w:rsid w:val="00333415"/>
    <w:rsid w:val="003338DB"/>
    <w:rsid w:val="00333A93"/>
    <w:rsid w:val="00333EE8"/>
    <w:rsid w:val="00334B66"/>
    <w:rsid w:val="003358F3"/>
    <w:rsid w:val="003364FB"/>
    <w:rsid w:val="00337019"/>
    <w:rsid w:val="0034070D"/>
    <w:rsid w:val="00340BD4"/>
    <w:rsid w:val="00340D9B"/>
    <w:rsid w:val="00340E1B"/>
    <w:rsid w:val="003415E5"/>
    <w:rsid w:val="0034195F"/>
    <w:rsid w:val="0034266E"/>
    <w:rsid w:val="00343607"/>
    <w:rsid w:val="00344443"/>
    <w:rsid w:val="00344B39"/>
    <w:rsid w:val="00344EDC"/>
    <w:rsid w:val="003456C5"/>
    <w:rsid w:val="003456E1"/>
    <w:rsid w:val="00346756"/>
    <w:rsid w:val="00346807"/>
    <w:rsid w:val="0034692B"/>
    <w:rsid w:val="00346B62"/>
    <w:rsid w:val="00347684"/>
    <w:rsid w:val="00347C3E"/>
    <w:rsid w:val="00347CAF"/>
    <w:rsid w:val="00350AC5"/>
    <w:rsid w:val="00350DC2"/>
    <w:rsid w:val="00351005"/>
    <w:rsid w:val="00351B00"/>
    <w:rsid w:val="00351CF3"/>
    <w:rsid w:val="003520C2"/>
    <w:rsid w:val="003521D1"/>
    <w:rsid w:val="003523F2"/>
    <w:rsid w:val="00353105"/>
    <w:rsid w:val="003533B5"/>
    <w:rsid w:val="003540F8"/>
    <w:rsid w:val="003547C8"/>
    <w:rsid w:val="00356080"/>
    <w:rsid w:val="003565E9"/>
    <w:rsid w:val="00356765"/>
    <w:rsid w:val="00356CFB"/>
    <w:rsid w:val="0036066F"/>
    <w:rsid w:val="00362158"/>
    <w:rsid w:val="00362B65"/>
    <w:rsid w:val="00362ED2"/>
    <w:rsid w:val="00363B86"/>
    <w:rsid w:val="00363CDC"/>
    <w:rsid w:val="00363D3C"/>
    <w:rsid w:val="00364730"/>
    <w:rsid w:val="00365BA9"/>
    <w:rsid w:val="0036658D"/>
    <w:rsid w:val="00366C64"/>
    <w:rsid w:val="00366D38"/>
    <w:rsid w:val="003670D0"/>
    <w:rsid w:val="003675E1"/>
    <w:rsid w:val="00367600"/>
    <w:rsid w:val="00370FAC"/>
    <w:rsid w:val="00371374"/>
    <w:rsid w:val="0037166D"/>
    <w:rsid w:val="0037196C"/>
    <w:rsid w:val="00371B62"/>
    <w:rsid w:val="0037205D"/>
    <w:rsid w:val="00372523"/>
    <w:rsid w:val="003727C0"/>
    <w:rsid w:val="00372ED2"/>
    <w:rsid w:val="00373D29"/>
    <w:rsid w:val="00374668"/>
    <w:rsid w:val="0037467E"/>
    <w:rsid w:val="00374C27"/>
    <w:rsid w:val="00374C6D"/>
    <w:rsid w:val="00374E1A"/>
    <w:rsid w:val="003762AF"/>
    <w:rsid w:val="00376675"/>
    <w:rsid w:val="00376816"/>
    <w:rsid w:val="00376BA1"/>
    <w:rsid w:val="00376D0A"/>
    <w:rsid w:val="00377149"/>
    <w:rsid w:val="00377449"/>
    <w:rsid w:val="00381A3A"/>
    <w:rsid w:val="00381B46"/>
    <w:rsid w:val="003823DA"/>
    <w:rsid w:val="00383C1A"/>
    <w:rsid w:val="00385472"/>
    <w:rsid w:val="00385550"/>
    <w:rsid w:val="00386967"/>
    <w:rsid w:val="00386CEE"/>
    <w:rsid w:val="00387468"/>
    <w:rsid w:val="003874E0"/>
    <w:rsid w:val="003874E2"/>
    <w:rsid w:val="00387511"/>
    <w:rsid w:val="003902EA"/>
    <w:rsid w:val="00391044"/>
    <w:rsid w:val="0039195E"/>
    <w:rsid w:val="00391A19"/>
    <w:rsid w:val="00391F3D"/>
    <w:rsid w:val="00391FD8"/>
    <w:rsid w:val="00392006"/>
    <w:rsid w:val="00392BB1"/>
    <w:rsid w:val="0039535B"/>
    <w:rsid w:val="00395723"/>
    <w:rsid w:val="003959EA"/>
    <w:rsid w:val="003961A7"/>
    <w:rsid w:val="00396975"/>
    <w:rsid w:val="00397159"/>
    <w:rsid w:val="0039715B"/>
    <w:rsid w:val="00397CCC"/>
    <w:rsid w:val="003A0492"/>
    <w:rsid w:val="003A2D1F"/>
    <w:rsid w:val="003A3DD9"/>
    <w:rsid w:val="003A4014"/>
    <w:rsid w:val="003A51E3"/>
    <w:rsid w:val="003A6A73"/>
    <w:rsid w:val="003A7E69"/>
    <w:rsid w:val="003B02DD"/>
    <w:rsid w:val="003B0655"/>
    <w:rsid w:val="003B0983"/>
    <w:rsid w:val="003B0D45"/>
    <w:rsid w:val="003B180D"/>
    <w:rsid w:val="003B18F1"/>
    <w:rsid w:val="003B1A42"/>
    <w:rsid w:val="003B2DF5"/>
    <w:rsid w:val="003B37F8"/>
    <w:rsid w:val="003B3EC3"/>
    <w:rsid w:val="003B3FDA"/>
    <w:rsid w:val="003B4545"/>
    <w:rsid w:val="003B490C"/>
    <w:rsid w:val="003B4CFF"/>
    <w:rsid w:val="003B53DC"/>
    <w:rsid w:val="003B5863"/>
    <w:rsid w:val="003B5F75"/>
    <w:rsid w:val="003B7703"/>
    <w:rsid w:val="003B772F"/>
    <w:rsid w:val="003B7A33"/>
    <w:rsid w:val="003C0003"/>
    <w:rsid w:val="003C0712"/>
    <w:rsid w:val="003C080E"/>
    <w:rsid w:val="003C0AEF"/>
    <w:rsid w:val="003C0FD6"/>
    <w:rsid w:val="003C1D0E"/>
    <w:rsid w:val="003C1DD7"/>
    <w:rsid w:val="003C2092"/>
    <w:rsid w:val="003C39A1"/>
    <w:rsid w:val="003C3EBB"/>
    <w:rsid w:val="003C46AA"/>
    <w:rsid w:val="003C4E29"/>
    <w:rsid w:val="003C5E0A"/>
    <w:rsid w:val="003C6028"/>
    <w:rsid w:val="003C61DB"/>
    <w:rsid w:val="003C7C0E"/>
    <w:rsid w:val="003D0185"/>
    <w:rsid w:val="003D0242"/>
    <w:rsid w:val="003D0957"/>
    <w:rsid w:val="003D0D36"/>
    <w:rsid w:val="003D0E11"/>
    <w:rsid w:val="003D14F7"/>
    <w:rsid w:val="003D167D"/>
    <w:rsid w:val="003D17FC"/>
    <w:rsid w:val="003D2090"/>
    <w:rsid w:val="003D229D"/>
    <w:rsid w:val="003D2D02"/>
    <w:rsid w:val="003D31A5"/>
    <w:rsid w:val="003D35F0"/>
    <w:rsid w:val="003D4498"/>
    <w:rsid w:val="003D46D7"/>
    <w:rsid w:val="003D4827"/>
    <w:rsid w:val="003D4C89"/>
    <w:rsid w:val="003D4EB4"/>
    <w:rsid w:val="003D57D4"/>
    <w:rsid w:val="003D58F7"/>
    <w:rsid w:val="003D5D95"/>
    <w:rsid w:val="003D6BC3"/>
    <w:rsid w:val="003D7C13"/>
    <w:rsid w:val="003D7C33"/>
    <w:rsid w:val="003E0173"/>
    <w:rsid w:val="003E0781"/>
    <w:rsid w:val="003E10D3"/>
    <w:rsid w:val="003E20F8"/>
    <w:rsid w:val="003E25BB"/>
    <w:rsid w:val="003E34AA"/>
    <w:rsid w:val="003E39A5"/>
    <w:rsid w:val="003E3D80"/>
    <w:rsid w:val="003E5FA8"/>
    <w:rsid w:val="003E616A"/>
    <w:rsid w:val="003E6C86"/>
    <w:rsid w:val="003E6E3F"/>
    <w:rsid w:val="003F03C7"/>
    <w:rsid w:val="003F063B"/>
    <w:rsid w:val="003F0AA9"/>
    <w:rsid w:val="003F1060"/>
    <w:rsid w:val="003F20E7"/>
    <w:rsid w:val="003F3686"/>
    <w:rsid w:val="003F453E"/>
    <w:rsid w:val="003F4A16"/>
    <w:rsid w:val="003F4FAF"/>
    <w:rsid w:val="003F58A9"/>
    <w:rsid w:val="003F5B93"/>
    <w:rsid w:val="003F5D26"/>
    <w:rsid w:val="003F6137"/>
    <w:rsid w:val="003F7198"/>
    <w:rsid w:val="003F749D"/>
    <w:rsid w:val="003F7BAA"/>
    <w:rsid w:val="004003F7"/>
    <w:rsid w:val="00400407"/>
    <w:rsid w:val="004009F7"/>
    <w:rsid w:val="00400A7D"/>
    <w:rsid w:val="0040114B"/>
    <w:rsid w:val="00401407"/>
    <w:rsid w:val="00401852"/>
    <w:rsid w:val="00401C94"/>
    <w:rsid w:val="00401D5C"/>
    <w:rsid w:val="00402793"/>
    <w:rsid w:val="004034DE"/>
    <w:rsid w:val="0040490E"/>
    <w:rsid w:val="0040492D"/>
    <w:rsid w:val="004049CB"/>
    <w:rsid w:val="004049E3"/>
    <w:rsid w:val="0040642A"/>
    <w:rsid w:val="00406C0E"/>
    <w:rsid w:val="00406D06"/>
    <w:rsid w:val="004078CD"/>
    <w:rsid w:val="00411035"/>
    <w:rsid w:val="004116EC"/>
    <w:rsid w:val="00412008"/>
    <w:rsid w:val="004120F5"/>
    <w:rsid w:val="004125F6"/>
    <w:rsid w:val="00413FF4"/>
    <w:rsid w:val="00414AAC"/>
    <w:rsid w:val="004159CF"/>
    <w:rsid w:val="00416384"/>
    <w:rsid w:val="00416499"/>
    <w:rsid w:val="004167C2"/>
    <w:rsid w:val="00416835"/>
    <w:rsid w:val="00416877"/>
    <w:rsid w:val="00417221"/>
    <w:rsid w:val="00417701"/>
    <w:rsid w:val="004179DE"/>
    <w:rsid w:val="0042006C"/>
    <w:rsid w:val="00420309"/>
    <w:rsid w:val="00420E3E"/>
    <w:rsid w:val="00421014"/>
    <w:rsid w:val="00421107"/>
    <w:rsid w:val="004216C4"/>
    <w:rsid w:val="00421A37"/>
    <w:rsid w:val="00421A8A"/>
    <w:rsid w:val="004235F2"/>
    <w:rsid w:val="004237A5"/>
    <w:rsid w:val="004240A7"/>
    <w:rsid w:val="00424400"/>
    <w:rsid w:val="0042440E"/>
    <w:rsid w:val="004252FA"/>
    <w:rsid w:val="004255C6"/>
    <w:rsid w:val="00425FE0"/>
    <w:rsid w:val="00426222"/>
    <w:rsid w:val="00426231"/>
    <w:rsid w:val="00426578"/>
    <w:rsid w:val="00427062"/>
    <w:rsid w:val="00427870"/>
    <w:rsid w:val="00427F95"/>
    <w:rsid w:val="00430349"/>
    <w:rsid w:val="00430511"/>
    <w:rsid w:val="00430E8F"/>
    <w:rsid w:val="00430E95"/>
    <w:rsid w:val="0043177A"/>
    <w:rsid w:val="00431EE5"/>
    <w:rsid w:val="00432288"/>
    <w:rsid w:val="0043249C"/>
    <w:rsid w:val="00433341"/>
    <w:rsid w:val="004340A1"/>
    <w:rsid w:val="004342FD"/>
    <w:rsid w:val="004344B2"/>
    <w:rsid w:val="00434707"/>
    <w:rsid w:val="00434FB4"/>
    <w:rsid w:val="00435D1C"/>
    <w:rsid w:val="00435E30"/>
    <w:rsid w:val="00435FD4"/>
    <w:rsid w:val="004361A5"/>
    <w:rsid w:val="00436D4A"/>
    <w:rsid w:val="00436EED"/>
    <w:rsid w:val="00437090"/>
    <w:rsid w:val="0043733C"/>
    <w:rsid w:val="00437BF4"/>
    <w:rsid w:val="00437FE2"/>
    <w:rsid w:val="00443658"/>
    <w:rsid w:val="00443700"/>
    <w:rsid w:val="00445111"/>
    <w:rsid w:val="00445B3B"/>
    <w:rsid w:val="00445C2A"/>
    <w:rsid w:val="00445D51"/>
    <w:rsid w:val="00446F33"/>
    <w:rsid w:val="004471B2"/>
    <w:rsid w:val="0044744C"/>
    <w:rsid w:val="00447470"/>
    <w:rsid w:val="00450031"/>
    <w:rsid w:val="00450247"/>
    <w:rsid w:val="0045025D"/>
    <w:rsid w:val="0045076D"/>
    <w:rsid w:val="00451EA1"/>
    <w:rsid w:val="00452348"/>
    <w:rsid w:val="00452915"/>
    <w:rsid w:val="004529D1"/>
    <w:rsid w:val="00452D7D"/>
    <w:rsid w:val="00453A84"/>
    <w:rsid w:val="00453FDD"/>
    <w:rsid w:val="00455BD0"/>
    <w:rsid w:val="00456C21"/>
    <w:rsid w:val="00456D8F"/>
    <w:rsid w:val="004571B9"/>
    <w:rsid w:val="0045728E"/>
    <w:rsid w:val="0045737A"/>
    <w:rsid w:val="0045782C"/>
    <w:rsid w:val="0046042D"/>
    <w:rsid w:val="00460680"/>
    <w:rsid w:val="004609E7"/>
    <w:rsid w:val="004609E9"/>
    <w:rsid w:val="00460C99"/>
    <w:rsid w:val="00460D30"/>
    <w:rsid w:val="0046105F"/>
    <w:rsid w:val="0046144E"/>
    <w:rsid w:val="004617EA"/>
    <w:rsid w:val="004617FF"/>
    <w:rsid w:val="00461A65"/>
    <w:rsid w:val="00461FB3"/>
    <w:rsid w:val="004620DE"/>
    <w:rsid w:val="00462D7B"/>
    <w:rsid w:val="004631A6"/>
    <w:rsid w:val="00463A06"/>
    <w:rsid w:val="004644A7"/>
    <w:rsid w:val="004645DF"/>
    <w:rsid w:val="0046489D"/>
    <w:rsid w:val="0046640B"/>
    <w:rsid w:val="0046670B"/>
    <w:rsid w:val="00466CF4"/>
    <w:rsid w:val="00466F78"/>
    <w:rsid w:val="00467870"/>
    <w:rsid w:val="00467FC9"/>
    <w:rsid w:val="00470F95"/>
    <w:rsid w:val="00471E36"/>
    <w:rsid w:val="004720D8"/>
    <w:rsid w:val="0047220A"/>
    <w:rsid w:val="004728E8"/>
    <w:rsid w:val="00472DC9"/>
    <w:rsid w:val="00473BE8"/>
    <w:rsid w:val="00473EE1"/>
    <w:rsid w:val="00473F96"/>
    <w:rsid w:val="00474712"/>
    <w:rsid w:val="00474981"/>
    <w:rsid w:val="00474D3B"/>
    <w:rsid w:val="0047530C"/>
    <w:rsid w:val="0047665B"/>
    <w:rsid w:val="00476B2F"/>
    <w:rsid w:val="0047703F"/>
    <w:rsid w:val="004802A4"/>
    <w:rsid w:val="0048049F"/>
    <w:rsid w:val="0048073C"/>
    <w:rsid w:val="0048122C"/>
    <w:rsid w:val="00481954"/>
    <w:rsid w:val="00481C2A"/>
    <w:rsid w:val="00482D50"/>
    <w:rsid w:val="00482F42"/>
    <w:rsid w:val="00483450"/>
    <w:rsid w:val="0048482E"/>
    <w:rsid w:val="00484EEE"/>
    <w:rsid w:val="0048794A"/>
    <w:rsid w:val="00487B74"/>
    <w:rsid w:val="00487E02"/>
    <w:rsid w:val="00491DBF"/>
    <w:rsid w:val="004921E8"/>
    <w:rsid w:val="00492F87"/>
    <w:rsid w:val="0049360C"/>
    <w:rsid w:val="0049379A"/>
    <w:rsid w:val="00493E6F"/>
    <w:rsid w:val="004943FA"/>
    <w:rsid w:val="0049487C"/>
    <w:rsid w:val="00494CFB"/>
    <w:rsid w:val="004956BE"/>
    <w:rsid w:val="0049584F"/>
    <w:rsid w:val="004958E2"/>
    <w:rsid w:val="004977C9"/>
    <w:rsid w:val="004A10BE"/>
    <w:rsid w:val="004A13A8"/>
    <w:rsid w:val="004A14FB"/>
    <w:rsid w:val="004A26A9"/>
    <w:rsid w:val="004A2784"/>
    <w:rsid w:val="004A302A"/>
    <w:rsid w:val="004A37C3"/>
    <w:rsid w:val="004A3C75"/>
    <w:rsid w:val="004A3DE4"/>
    <w:rsid w:val="004A42C7"/>
    <w:rsid w:val="004A5083"/>
    <w:rsid w:val="004A5383"/>
    <w:rsid w:val="004A5745"/>
    <w:rsid w:val="004A57BD"/>
    <w:rsid w:val="004A59A7"/>
    <w:rsid w:val="004A76BE"/>
    <w:rsid w:val="004B0535"/>
    <w:rsid w:val="004B104A"/>
    <w:rsid w:val="004B12FF"/>
    <w:rsid w:val="004B1340"/>
    <w:rsid w:val="004B1766"/>
    <w:rsid w:val="004B1F46"/>
    <w:rsid w:val="004B2199"/>
    <w:rsid w:val="004B2577"/>
    <w:rsid w:val="004B2758"/>
    <w:rsid w:val="004B4474"/>
    <w:rsid w:val="004B57A7"/>
    <w:rsid w:val="004B619A"/>
    <w:rsid w:val="004B6334"/>
    <w:rsid w:val="004C0439"/>
    <w:rsid w:val="004C0504"/>
    <w:rsid w:val="004C06CB"/>
    <w:rsid w:val="004C12D6"/>
    <w:rsid w:val="004C1856"/>
    <w:rsid w:val="004C20C5"/>
    <w:rsid w:val="004C2209"/>
    <w:rsid w:val="004C2350"/>
    <w:rsid w:val="004C243D"/>
    <w:rsid w:val="004C2BA3"/>
    <w:rsid w:val="004C2E67"/>
    <w:rsid w:val="004C3C2D"/>
    <w:rsid w:val="004C4CA0"/>
    <w:rsid w:val="004C6190"/>
    <w:rsid w:val="004C67F3"/>
    <w:rsid w:val="004C6A8D"/>
    <w:rsid w:val="004C754D"/>
    <w:rsid w:val="004D16B8"/>
    <w:rsid w:val="004D28B7"/>
    <w:rsid w:val="004D3176"/>
    <w:rsid w:val="004D4B90"/>
    <w:rsid w:val="004D4C7C"/>
    <w:rsid w:val="004D5712"/>
    <w:rsid w:val="004D7A9B"/>
    <w:rsid w:val="004D7D48"/>
    <w:rsid w:val="004E03B5"/>
    <w:rsid w:val="004E0858"/>
    <w:rsid w:val="004E2054"/>
    <w:rsid w:val="004E2F0D"/>
    <w:rsid w:val="004E3C74"/>
    <w:rsid w:val="004E4271"/>
    <w:rsid w:val="004E5AD3"/>
    <w:rsid w:val="004E5E78"/>
    <w:rsid w:val="004E5EE4"/>
    <w:rsid w:val="004E61C4"/>
    <w:rsid w:val="004E6980"/>
    <w:rsid w:val="004E6FE2"/>
    <w:rsid w:val="004E7F73"/>
    <w:rsid w:val="004F0074"/>
    <w:rsid w:val="004F032A"/>
    <w:rsid w:val="004F1AD7"/>
    <w:rsid w:val="004F1BE8"/>
    <w:rsid w:val="004F24A0"/>
    <w:rsid w:val="004F31E1"/>
    <w:rsid w:val="004F476B"/>
    <w:rsid w:val="004F4E13"/>
    <w:rsid w:val="004F526E"/>
    <w:rsid w:val="004F57F8"/>
    <w:rsid w:val="004F633B"/>
    <w:rsid w:val="004F6473"/>
    <w:rsid w:val="0050018F"/>
    <w:rsid w:val="005006BE"/>
    <w:rsid w:val="00501026"/>
    <w:rsid w:val="00503A59"/>
    <w:rsid w:val="0050448F"/>
    <w:rsid w:val="0050450F"/>
    <w:rsid w:val="00504AD6"/>
    <w:rsid w:val="00504F1F"/>
    <w:rsid w:val="00505A20"/>
    <w:rsid w:val="00505C8A"/>
    <w:rsid w:val="00505EF0"/>
    <w:rsid w:val="0050661A"/>
    <w:rsid w:val="005071BF"/>
    <w:rsid w:val="00507540"/>
    <w:rsid w:val="00507CAE"/>
    <w:rsid w:val="00507D65"/>
    <w:rsid w:val="005100A6"/>
    <w:rsid w:val="00510105"/>
    <w:rsid w:val="00510261"/>
    <w:rsid w:val="005102B9"/>
    <w:rsid w:val="005104D9"/>
    <w:rsid w:val="00510639"/>
    <w:rsid w:val="005106A5"/>
    <w:rsid w:val="00510982"/>
    <w:rsid w:val="0051104C"/>
    <w:rsid w:val="00511BC3"/>
    <w:rsid w:val="00512641"/>
    <w:rsid w:val="0051277F"/>
    <w:rsid w:val="005137CA"/>
    <w:rsid w:val="005148BA"/>
    <w:rsid w:val="00514E58"/>
    <w:rsid w:val="005150D2"/>
    <w:rsid w:val="00515A25"/>
    <w:rsid w:val="00516565"/>
    <w:rsid w:val="00516DD9"/>
    <w:rsid w:val="00517157"/>
    <w:rsid w:val="00520C08"/>
    <w:rsid w:val="0052107B"/>
    <w:rsid w:val="005214BF"/>
    <w:rsid w:val="00522141"/>
    <w:rsid w:val="0052264C"/>
    <w:rsid w:val="00522D09"/>
    <w:rsid w:val="0052434C"/>
    <w:rsid w:val="005243DE"/>
    <w:rsid w:val="0052459E"/>
    <w:rsid w:val="00524798"/>
    <w:rsid w:val="00524C57"/>
    <w:rsid w:val="00524FDB"/>
    <w:rsid w:val="00525605"/>
    <w:rsid w:val="005259A8"/>
    <w:rsid w:val="00526132"/>
    <w:rsid w:val="00527567"/>
    <w:rsid w:val="00527F87"/>
    <w:rsid w:val="00530968"/>
    <w:rsid w:val="00530C51"/>
    <w:rsid w:val="00531617"/>
    <w:rsid w:val="00531892"/>
    <w:rsid w:val="005318AE"/>
    <w:rsid w:val="005325F4"/>
    <w:rsid w:val="005329A9"/>
    <w:rsid w:val="00533CCB"/>
    <w:rsid w:val="00533D38"/>
    <w:rsid w:val="00533D91"/>
    <w:rsid w:val="005344F3"/>
    <w:rsid w:val="00534529"/>
    <w:rsid w:val="00534562"/>
    <w:rsid w:val="005349B5"/>
    <w:rsid w:val="00534AB7"/>
    <w:rsid w:val="00534B27"/>
    <w:rsid w:val="0053656E"/>
    <w:rsid w:val="00536A90"/>
    <w:rsid w:val="00536CA3"/>
    <w:rsid w:val="0053720F"/>
    <w:rsid w:val="00537229"/>
    <w:rsid w:val="00537F36"/>
    <w:rsid w:val="00540A74"/>
    <w:rsid w:val="005413FB"/>
    <w:rsid w:val="00541480"/>
    <w:rsid w:val="0054153E"/>
    <w:rsid w:val="005423AD"/>
    <w:rsid w:val="005428E0"/>
    <w:rsid w:val="00542EF6"/>
    <w:rsid w:val="0054394F"/>
    <w:rsid w:val="00543CDE"/>
    <w:rsid w:val="00544FE3"/>
    <w:rsid w:val="00545C38"/>
    <w:rsid w:val="005470E7"/>
    <w:rsid w:val="00550132"/>
    <w:rsid w:val="0055079D"/>
    <w:rsid w:val="005518B9"/>
    <w:rsid w:val="00551B84"/>
    <w:rsid w:val="005520C8"/>
    <w:rsid w:val="005524CD"/>
    <w:rsid w:val="00552AF9"/>
    <w:rsid w:val="00552D57"/>
    <w:rsid w:val="00554781"/>
    <w:rsid w:val="00554DE3"/>
    <w:rsid w:val="00554E7A"/>
    <w:rsid w:val="00556082"/>
    <w:rsid w:val="00556604"/>
    <w:rsid w:val="00557210"/>
    <w:rsid w:val="0055782F"/>
    <w:rsid w:val="005579FC"/>
    <w:rsid w:val="00560477"/>
    <w:rsid w:val="005615F8"/>
    <w:rsid w:val="00564864"/>
    <w:rsid w:val="00564D71"/>
    <w:rsid w:val="00564EB3"/>
    <w:rsid w:val="00564ED3"/>
    <w:rsid w:val="00565870"/>
    <w:rsid w:val="005660B0"/>
    <w:rsid w:val="0056664D"/>
    <w:rsid w:val="00566DEB"/>
    <w:rsid w:val="0056727D"/>
    <w:rsid w:val="00567308"/>
    <w:rsid w:val="00567463"/>
    <w:rsid w:val="00567A4B"/>
    <w:rsid w:val="00567F79"/>
    <w:rsid w:val="005700E2"/>
    <w:rsid w:val="00570245"/>
    <w:rsid w:val="005717F0"/>
    <w:rsid w:val="00572688"/>
    <w:rsid w:val="00572B36"/>
    <w:rsid w:val="00572DB9"/>
    <w:rsid w:val="005740FF"/>
    <w:rsid w:val="00574150"/>
    <w:rsid w:val="00574D1D"/>
    <w:rsid w:val="00576D76"/>
    <w:rsid w:val="00577B4E"/>
    <w:rsid w:val="005807EA"/>
    <w:rsid w:val="00580E56"/>
    <w:rsid w:val="00583A1B"/>
    <w:rsid w:val="005840AF"/>
    <w:rsid w:val="0058494D"/>
    <w:rsid w:val="00585035"/>
    <w:rsid w:val="00585EFF"/>
    <w:rsid w:val="00586B1C"/>
    <w:rsid w:val="00586EF2"/>
    <w:rsid w:val="005907A3"/>
    <w:rsid w:val="00590CA0"/>
    <w:rsid w:val="005911F7"/>
    <w:rsid w:val="00591CE0"/>
    <w:rsid w:val="005925A6"/>
    <w:rsid w:val="00592E80"/>
    <w:rsid w:val="00593B39"/>
    <w:rsid w:val="00594520"/>
    <w:rsid w:val="00594757"/>
    <w:rsid w:val="00595027"/>
    <w:rsid w:val="00596429"/>
    <w:rsid w:val="005969D2"/>
    <w:rsid w:val="00597583"/>
    <w:rsid w:val="00597916"/>
    <w:rsid w:val="00597DF6"/>
    <w:rsid w:val="005A0C11"/>
    <w:rsid w:val="005A0E9F"/>
    <w:rsid w:val="005A115A"/>
    <w:rsid w:val="005A152C"/>
    <w:rsid w:val="005A19EC"/>
    <w:rsid w:val="005A2A3E"/>
    <w:rsid w:val="005A332F"/>
    <w:rsid w:val="005A39CE"/>
    <w:rsid w:val="005A3C50"/>
    <w:rsid w:val="005A41D3"/>
    <w:rsid w:val="005A4522"/>
    <w:rsid w:val="005A4D17"/>
    <w:rsid w:val="005A5C17"/>
    <w:rsid w:val="005A649F"/>
    <w:rsid w:val="005A6886"/>
    <w:rsid w:val="005A6E30"/>
    <w:rsid w:val="005A6F2B"/>
    <w:rsid w:val="005A7094"/>
    <w:rsid w:val="005B0E24"/>
    <w:rsid w:val="005B0F0F"/>
    <w:rsid w:val="005B10B7"/>
    <w:rsid w:val="005B1D9A"/>
    <w:rsid w:val="005B2083"/>
    <w:rsid w:val="005B235F"/>
    <w:rsid w:val="005B26D0"/>
    <w:rsid w:val="005B298B"/>
    <w:rsid w:val="005B3297"/>
    <w:rsid w:val="005B61A5"/>
    <w:rsid w:val="005B63DD"/>
    <w:rsid w:val="005B6A74"/>
    <w:rsid w:val="005B6DD7"/>
    <w:rsid w:val="005B7C01"/>
    <w:rsid w:val="005B7F9E"/>
    <w:rsid w:val="005C0403"/>
    <w:rsid w:val="005C087B"/>
    <w:rsid w:val="005C13E2"/>
    <w:rsid w:val="005C158A"/>
    <w:rsid w:val="005C17E1"/>
    <w:rsid w:val="005C18E1"/>
    <w:rsid w:val="005C1AA7"/>
    <w:rsid w:val="005C2288"/>
    <w:rsid w:val="005C252D"/>
    <w:rsid w:val="005C299F"/>
    <w:rsid w:val="005C2B04"/>
    <w:rsid w:val="005C2D5F"/>
    <w:rsid w:val="005C2E39"/>
    <w:rsid w:val="005C2E46"/>
    <w:rsid w:val="005C332C"/>
    <w:rsid w:val="005C3586"/>
    <w:rsid w:val="005C3ADF"/>
    <w:rsid w:val="005C3EAB"/>
    <w:rsid w:val="005C5C23"/>
    <w:rsid w:val="005C5CCA"/>
    <w:rsid w:val="005C6622"/>
    <w:rsid w:val="005C69D3"/>
    <w:rsid w:val="005C6E10"/>
    <w:rsid w:val="005C716A"/>
    <w:rsid w:val="005C7318"/>
    <w:rsid w:val="005D083A"/>
    <w:rsid w:val="005D0B05"/>
    <w:rsid w:val="005D292A"/>
    <w:rsid w:val="005D292B"/>
    <w:rsid w:val="005D2A01"/>
    <w:rsid w:val="005D2BFB"/>
    <w:rsid w:val="005D2FAC"/>
    <w:rsid w:val="005D3DFE"/>
    <w:rsid w:val="005D448E"/>
    <w:rsid w:val="005D4997"/>
    <w:rsid w:val="005D4D2B"/>
    <w:rsid w:val="005D5296"/>
    <w:rsid w:val="005D5924"/>
    <w:rsid w:val="005D699A"/>
    <w:rsid w:val="005D7023"/>
    <w:rsid w:val="005D79CF"/>
    <w:rsid w:val="005D7F9A"/>
    <w:rsid w:val="005E00AA"/>
    <w:rsid w:val="005E080B"/>
    <w:rsid w:val="005E0E59"/>
    <w:rsid w:val="005E0F55"/>
    <w:rsid w:val="005E1C2D"/>
    <w:rsid w:val="005E1E87"/>
    <w:rsid w:val="005E2010"/>
    <w:rsid w:val="005E23BC"/>
    <w:rsid w:val="005E3DFA"/>
    <w:rsid w:val="005E4238"/>
    <w:rsid w:val="005E4BDD"/>
    <w:rsid w:val="005E525E"/>
    <w:rsid w:val="005E58AD"/>
    <w:rsid w:val="005E68DC"/>
    <w:rsid w:val="005E6BE2"/>
    <w:rsid w:val="005E72BB"/>
    <w:rsid w:val="005E72E6"/>
    <w:rsid w:val="005E7641"/>
    <w:rsid w:val="005E77DE"/>
    <w:rsid w:val="005E7A37"/>
    <w:rsid w:val="005F085D"/>
    <w:rsid w:val="005F1537"/>
    <w:rsid w:val="005F1804"/>
    <w:rsid w:val="005F1B71"/>
    <w:rsid w:val="005F27B9"/>
    <w:rsid w:val="005F68F7"/>
    <w:rsid w:val="005F6FEF"/>
    <w:rsid w:val="005F7C24"/>
    <w:rsid w:val="006009BB"/>
    <w:rsid w:val="006027C2"/>
    <w:rsid w:val="00603AD8"/>
    <w:rsid w:val="00605485"/>
    <w:rsid w:val="00605663"/>
    <w:rsid w:val="00605701"/>
    <w:rsid w:val="0060587B"/>
    <w:rsid w:val="0060607C"/>
    <w:rsid w:val="006067A7"/>
    <w:rsid w:val="00607CDA"/>
    <w:rsid w:val="006100A9"/>
    <w:rsid w:val="00610C9A"/>
    <w:rsid w:val="0061176B"/>
    <w:rsid w:val="00611A62"/>
    <w:rsid w:val="00611DBA"/>
    <w:rsid w:val="0061204A"/>
    <w:rsid w:val="0061220B"/>
    <w:rsid w:val="0061281F"/>
    <w:rsid w:val="00613242"/>
    <w:rsid w:val="00613250"/>
    <w:rsid w:val="00613D99"/>
    <w:rsid w:val="00614242"/>
    <w:rsid w:val="00614764"/>
    <w:rsid w:val="00614902"/>
    <w:rsid w:val="00615A96"/>
    <w:rsid w:val="00616C7F"/>
    <w:rsid w:val="00616EA3"/>
    <w:rsid w:val="0061744B"/>
    <w:rsid w:val="0062008B"/>
    <w:rsid w:val="0062085E"/>
    <w:rsid w:val="00621054"/>
    <w:rsid w:val="00621F6B"/>
    <w:rsid w:val="006225C3"/>
    <w:rsid w:val="00622B16"/>
    <w:rsid w:val="00624812"/>
    <w:rsid w:val="006248A8"/>
    <w:rsid w:val="00624AB6"/>
    <w:rsid w:val="006258A3"/>
    <w:rsid w:val="00626D85"/>
    <w:rsid w:val="00626F38"/>
    <w:rsid w:val="00627189"/>
    <w:rsid w:val="006309EC"/>
    <w:rsid w:val="00630B9E"/>
    <w:rsid w:val="006312B4"/>
    <w:rsid w:val="006315D8"/>
    <w:rsid w:val="00631D5B"/>
    <w:rsid w:val="00632191"/>
    <w:rsid w:val="006324FA"/>
    <w:rsid w:val="00633C36"/>
    <w:rsid w:val="00633D47"/>
    <w:rsid w:val="00635BA0"/>
    <w:rsid w:val="00636A27"/>
    <w:rsid w:val="006400F5"/>
    <w:rsid w:val="0064055F"/>
    <w:rsid w:val="00641B5C"/>
    <w:rsid w:val="00641DAD"/>
    <w:rsid w:val="006422C3"/>
    <w:rsid w:val="00642330"/>
    <w:rsid w:val="00642637"/>
    <w:rsid w:val="006426B2"/>
    <w:rsid w:val="00643310"/>
    <w:rsid w:val="00644688"/>
    <w:rsid w:val="00645016"/>
    <w:rsid w:val="0064639B"/>
    <w:rsid w:val="006466B1"/>
    <w:rsid w:val="0064690E"/>
    <w:rsid w:val="0065001C"/>
    <w:rsid w:val="006501A5"/>
    <w:rsid w:val="0065055D"/>
    <w:rsid w:val="0065072A"/>
    <w:rsid w:val="00650853"/>
    <w:rsid w:val="00652A61"/>
    <w:rsid w:val="00653AD9"/>
    <w:rsid w:val="0065571D"/>
    <w:rsid w:val="00655DF2"/>
    <w:rsid w:val="00656133"/>
    <w:rsid w:val="006564A6"/>
    <w:rsid w:val="00656961"/>
    <w:rsid w:val="00656F41"/>
    <w:rsid w:val="0065704C"/>
    <w:rsid w:val="0065734D"/>
    <w:rsid w:val="006575D2"/>
    <w:rsid w:val="00657B88"/>
    <w:rsid w:val="00660166"/>
    <w:rsid w:val="00660646"/>
    <w:rsid w:val="00661C6F"/>
    <w:rsid w:val="00662D92"/>
    <w:rsid w:val="00662F61"/>
    <w:rsid w:val="00663D6B"/>
    <w:rsid w:val="0066519F"/>
    <w:rsid w:val="0066551E"/>
    <w:rsid w:val="00665AEE"/>
    <w:rsid w:val="00665B3A"/>
    <w:rsid w:val="00665D63"/>
    <w:rsid w:val="00666664"/>
    <w:rsid w:val="00667457"/>
    <w:rsid w:val="006675BB"/>
    <w:rsid w:val="006706FE"/>
    <w:rsid w:val="0067096D"/>
    <w:rsid w:val="00670EDE"/>
    <w:rsid w:val="0067257D"/>
    <w:rsid w:val="006725C6"/>
    <w:rsid w:val="006746F7"/>
    <w:rsid w:val="00674E8C"/>
    <w:rsid w:val="00675FC9"/>
    <w:rsid w:val="006770BE"/>
    <w:rsid w:val="0067797C"/>
    <w:rsid w:val="0068009A"/>
    <w:rsid w:val="00681045"/>
    <w:rsid w:val="006813D4"/>
    <w:rsid w:val="00681BE4"/>
    <w:rsid w:val="00682F06"/>
    <w:rsid w:val="00683204"/>
    <w:rsid w:val="006832C4"/>
    <w:rsid w:val="00683A49"/>
    <w:rsid w:val="0068469B"/>
    <w:rsid w:val="00684BE9"/>
    <w:rsid w:val="006851D6"/>
    <w:rsid w:val="00686BB0"/>
    <w:rsid w:val="00687C2F"/>
    <w:rsid w:val="00690A29"/>
    <w:rsid w:val="00690AA2"/>
    <w:rsid w:val="00690D25"/>
    <w:rsid w:val="00691962"/>
    <w:rsid w:val="00691C54"/>
    <w:rsid w:val="006927B7"/>
    <w:rsid w:val="0069351F"/>
    <w:rsid w:val="00693A00"/>
    <w:rsid w:val="00693CF7"/>
    <w:rsid w:val="00694CBB"/>
    <w:rsid w:val="006950FB"/>
    <w:rsid w:val="006953A7"/>
    <w:rsid w:val="006955D4"/>
    <w:rsid w:val="00695C01"/>
    <w:rsid w:val="00696386"/>
    <w:rsid w:val="00696A28"/>
    <w:rsid w:val="00696EE1"/>
    <w:rsid w:val="00697352"/>
    <w:rsid w:val="00697AD2"/>
    <w:rsid w:val="006A2031"/>
    <w:rsid w:val="006A35A1"/>
    <w:rsid w:val="006A3FB8"/>
    <w:rsid w:val="006A46BE"/>
    <w:rsid w:val="006A4852"/>
    <w:rsid w:val="006A54AD"/>
    <w:rsid w:val="006A54FF"/>
    <w:rsid w:val="006A598B"/>
    <w:rsid w:val="006A62D8"/>
    <w:rsid w:val="006A705C"/>
    <w:rsid w:val="006A760A"/>
    <w:rsid w:val="006A7CEC"/>
    <w:rsid w:val="006B00A5"/>
    <w:rsid w:val="006B0271"/>
    <w:rsid w:val="006B03FD"/>
    <w:rsid w:val="006B0637"/>
    <w:rsid w:val="006B114E"/>
    <w:rsid w:val="006B25FD"/>
    <w:rsid w:val="006B328A"/>
    <w:rsid w:val="006B54E6"/>
    <w:rsid w:val="006B574C"/>
    <w:rsid w:val="006B740A"/>
    <w:rsid w:val="006B794A"/>
    <w:rsid w:val="006C0391"/>
    <w:rsid w:val="006C119F"/>
    <w:rsid w:val="006C13D8"/>
    <w:rsid w:val="006C1947"/>
    <w:rsid w:val="006C1E94"/>
    <w:rsid w:val="006C31BB"/>
    <w:rsid w:val="006C3D8A"/>
    <w:rsid w:val="006C419D"/>
    <w:rsid w:val="006C48A3"/>
    <w:rsid w:val="006C4D2B"/>
    <w:rsid w:val="006C4F1E"/>
    <w:rsid w:val="006C55A0"/>
    <w:rsid w:val="006C5B45"/>
    <w:rsid w:val="006C64DC"/>
    <w:rsid w:val="006D0067"/>
    <w:rsid w:val="006D03CA"/>
    <w:rsid w:val="006D0A13"/>
    <w:rsid w:val="006D0E3B"/>
    <w:rsid w:val="006D28E6"/>
    <w:rsid w:val="006D3064"/>
    <w:rsid w:val="006D37FE"/>
    <w:rsid w:val="006D48BB"/>
    <w:rsid w:val="006D5107"/>
    <w:rsid w:val="006D5E68"/>
    <w:rsid w:val="006D5EE6"/>
    <w:rsid w:val="006D5EEA"/>
    <w:rsid w:val="006D6065"/>
    <w:rsid w:val="006D61D0"/>
    <w:rsid w:val="006D76D1"/>
    <w:rsid w:val="006E0122"/>
    <w:rsid w:val="006E0B74"/>
    <w:rsid w:val="006E19BC"/>
    <w:rsid w:val="006E1A29"/>
    <w:rsid w:val="006E1B11"/>
    <w:rsid w:val="006E1C2C"/>
    <w:rsid w:val="006E2C04"/>
    <w:rsid w:val="006E3A30"/>
    <w:rsid w:val="006E3C18"/>
    <w:rsid w:val="006E4451"/>
    <w:rsid w:val="006E5C8E"/>
    <w:rsid w:val="006E5E4B"/>
    <w:rsid w:val="006E6197"/>
    <w:rsid w:val="006F0860"/>
    <w:rsid w:val="006F0CD6"/>
    <w:rsid w:val="006F1199"/>
    <w:rsid w:val="006F13BD"/>
    <w:rsid w:val="006F1B56"/>
    <w:rsid w:val="006F2784"/>
    <w:rsid w:val="006F2A4B"/>
    <w:rsid w:val="006F300A"/>
    <w:rsid w:val="006F311E"/>
    <w:rsid w:val="006F4889"/>
    <w:rsid w:val="006F4ABF"/>
    <w:rsid w:val="006F4DD3"/>
    <w:rsid w:val="006F51D4"/>
    <w:rsid w:val="006F596D"/>
    <w:rsid w:val="006F5FD4"/>
    <w:rsid w:val="006F61AF"/>
    <w:rsid w:val="006F6AE0"/>
    <w:rsid w:val="006F6CC4"/>
    <w:rsid w:val="006F7EB1"/>
    <w:rsid w:val="00701EED"/>
    <w:rsid w:val="00701F07"/>
    <w:rsid w:val="00701F98"/>
    <w:rsid w:val="007022C1"/>
    <w:rsid w:val="007026DE"/>
    <w:rsid w:val="007032AC"/>
    <w:rsid w:val="007039FF"/>
    <w:rsid w:val="007041A0"/>
    <w:rsid w:val="007048C5"/>
    <w:rsid w:val="007048E9"/>
    <w:rsid w:val="00705333"/>
    <w:rsid w:val="00706591"/>
    <w:rsid w:val="00706635"/>
    <w:rsid w:val="007071E7"/>
    <w:rsid w:val="0070781D"/>
    <w:rsid w:val="00707EC6"/>
    <w:rsid w:val="0071061B"/>
    <w:rsid w:val="00710BD1"/>
    <w:rsid w:val="0071109F"/>
    <w:rsid w:val="00711273"/>
    <w:rsid w:val="007131C1"/>
    <w:rsid w:val="00713553"/>
    <w:rsid w:val="007146FF"/>
    <w:rsid w:val="007147AD"/>
    <w:rsid w:val="0071519B"/>
    <w:rsid w:val="007151EC"/>
    <w:rsid w:val="007152CA"/>
    <w:rsid w:val="007160A6"/>
    <w:rsid w:val="0071626C"/>
    <w:rsid w:val="00716656"/>
    <w:rsid w:val="00716AFD"/>
    <w:rsid w:val="00716FC3"/>
    <w:rsid w:val="00717118"/>
    <w:rsid w:val="007171C9"/>
    <w:rsid w:val="00720D2E"/>
    <w:rsid w:val="00721343"/>
    <w:rsid w:val="00721F65"/>
    <w:rsid w:val="00722335"/>
    <w:rsid w:val="00722485"/>
    <w:rsid w:val="00722F8A"/>
    <w:rsid w:val="00722FB7"/>
    <w:rsid w:val="007233B2"/>
    <w:rsid w:val="00724AE4"/>
    <w:rsid w:val="00724D6B"/>
    <w:rsid w:val="007269AA"/>
    <w:rsid w:val="00726F61"/>
    <w:rsid w:val="007303F9"/>
    <w:rsid w:val="00730987"/>
    <w:rsid w:val="00730D22"/>
    <w:rsid w:val="007318A3"/>
    <w:rsid w:val="00731C04"/>
    <w:rsid w:val="0073224F"/>
    <w:rsid w:val="00732314"/>
    <w:rsid w:val="00732E2F"/>
    <w:rsid w:val="00733001"/>
    <w:rsid w:val="00733068"/>
    <w:rsid w:val="007331BE"/>
    <w:rsid w:val="00733219"/>
    <w:rsid w:val="00733BAE"/>
    <w:rsid w:val="00733E3D"/>
    <w:rsid w:val="00733F91"/>
    <w:rsid w:val="007343BB"/>
    <w:rsid w:val="00734C9B"/>
    <w:rsid w:val="00735586"/>
    <w:rsid w:val="0073564D"/>
    <w:rsid w:val="0073684C"/>
    <w:rsid w:val="00737205"/>
    <w:rsid w:val="0073738B"/>
    <w:rsid w:val="00737449"/>
    <w:rsid w:val="00737E29"/>
    <w:rsid w:val="00740242"/>
    <w:rsid w:val="00740E0C"/>
    <w:rsid w:val="00740F1E"/>
    <w:rsid w:val="00741447"/>
    <w:rsid w:val="007415E9"/>
    <w:rsid w:val="00741815"/>
    <w:rsid w:val="007418A7"/>
    <w:rsid w:val="00741A25"/>
    <w:rsid w:val="007427D7"/>
    <w:rsid w:val="00743C8C"/>
    <w:rsid w:val="00745E73"/>
    <w:rsid w:val="0074612F"/>
    <w:rsid w:val="0074656B"/>
    <w:rsid w:val="007465BB"/>
    <w:rsid w:val="00746A15"/>
    <w:rsid w:val="00750191"/>
    <w:rsid w:val="0075131C"/>
    <w:rsid w:val="0075198C"/>
    <w:rsid w:val="007519AF"/>
    <w:rsid w:val="00751F76"/>
    <w:rsid w:val="00752EB0"/>
    <w:rsid w:val="00752F48"/>
    <w:rsid w:val="0075303F"/>
    <w:rsid w:val="0075362C"/>
    <w:rsid w:val="00754BA0"/>
    <w:rsid w:val="00754F20"/>
    <w:rsid w:val="007553D3"/>
    <w:rsid w:val="007559AA"/>
    <w:rsid w:val="00755E82"/>
    <w:rsid w:val="007564F7"/>
    <w:rsid w:val="00756B0A"/>
    <w:rsid w:val="00756B25"/>
    <w:rsid w:val="00756B56"/>
    <w:rsid w:val="007575B8"/>
    <w:rsid w:val="00757733"/>
    <w:rsid w:val="00757D9B"/>
    <w:rsid w:val="00757E73"/>
    <w:rsid w:val="00757FC0"/>
    <w:rsid w:val="007608D1"/>
    <w:rsid w:val="00761C8A"/>
    <w:rsid w:val="0076292C"/>
    <w:rsid w:val="00763CC2"/>
    <w:rsid w:val="00764D6E"/>
    <w:rsid w:val="007654E5"/>
    <w:rsid w:val="00766CF2"/>
    <w:rsid w:val="007672FE"/>
    <w:rsid w:val="0076766B"/>
    <w:rsid w:val="00767833"/>
    <w:rsid w:val="00767DE0"/>
    <w:rsid w:val="00767EF1"/>
    <w:rsid w:val="00770354"/>
    <w:rsid w:val="00770D14"/>
    <w:rsid w:val="00770F14"/>
    <w:rsid w:val="00771C98"/>
    <w:rsid w:val="00771FD0"/>
    <w:rsid w:val="00772AAD"/>
    <w:rsid w:val="007734F1"/>
    <w:rsid w:val="00773784"/>
    <w:rsid w:val="00774995"/>
    <w:rsid w:val="00774B65"/>
    <w:rsid w:val="00775D70"/>
    <w:rsid w:val="00776259"/>
    <w:rsid w:val="0077638E"/>
    <w:rsid w:val="00776590"/>
    <w:rsid w:val="00776802"/>
    <w:rsid w:val="00776E46"/>
    <w:rsid w:val="00777337"/>
    <w:rsid w:val="007779A0"/>
    <w:rsid w:val="0078068C"/>
    <w:rsid w:val="00781445"/>
    <w:rsid w:val="007816B8"/>
    <w:rsid w:val="00781D97"/>
    <w:rsid w:val="007821A2"/>
    <w:rsid w:val="00782875"/>
    <w:rsid w:val="00782A82"/>
    <w:rsid w:val="0078321C"/>
    <w:rsid w:val="00783FCE"/>
    <w:rsid w:val="0078572A"/>
    <w:rsid w:val="00786405"/>
    <w:rsid w:val="007864ED"/>
    <w:rsid w:val="0078740C"/>
    <w:rsid w:val="007900F0"/>
    <w:rsid w:val="007901E4"/>
    <w:rsid w:val="0079062D"/>
    <w:rsid w:val="00791537"/>
    <w:rsid w:val="00791B64"/>
    <w:rsid w:val="00791DDA"/>
    <w:rsid w:val="007926DF"/>
    <w:rsid w:val="00792886"/>
    <w:rsid w:val="0079343A"/>
    <w:rsid w:val="007934CA"/>
    <w:rsid w:val="00793AFF"/>
    <w:rsid w:val="00793D43"/>
    <w:rsid w:val="00793D99"/>
    <w:rsid w:val="00794CD9"/>
    <w:rsid w:val="007957E7"/>
    <w:rsid w:val="00795912"/>
    <w:rsid w:val="00795A85"/>
    <w:rsid w:val="00795B65"/>
    <w:rsid w:val="00795D8F"/>
    <w:rsid w:val="00796A89"/>
    <w:rsid w:val="007975CA"/>
    <w:rsid w:val="007A01AA"/>
    <w:rsid w:val="007A02A9"/>
    <w:rsid w:val="007A02C2"/>
    <w:rsid w:val="007A0803"/>
    <w:rsid w:val="007A0FF0"/>
    <w:rsid w:val="007A1301"/>
    <w:rsid w:val="007A1559"/>
    <w:rsid w:val="007A3697"/>
    <w:rsid w:val="007A39BB"/>
    <w:rsid w:val="007A3FFC"/>
    <w:rsid w:val="007A410D"/>
    <w:rsid w:val="007A4125"/>
    <w:rsid w:val="007A611C"/>
    <w:rsid w:val="007A6361"/>
    <w:rsid w:val="007A67E4"/>
    <w:rsid w:val="007A681A"/>
    <w:rsid w:val="007A6B70"/>
    <w:rsid w:val="007A6C19"/>
    <w:rsid w:val="007A6D5E"/>
    <w:rsid w:val="007A79EC"/>
    <w:rsid w:val="007A7B3B"/>
    <w:rsid w:val="007A7DAC"/>
    <w:rsid w:val="007B0718"/>
    <w:rsid w:val="007B1836"/>
    <w:rsid w:val="007B1C07"/>
    <w:rsid w:val="007B2131"/>
    <w:rsid w:val="007B2134"/>
    <w:rsid w:val="007B2180"/>
    <w:rsid w:val="007B2AEA"/>
    <w:rsid w:val="007B3041"/>
    <w:rsid w:val="007B33D8"/>
    <w:rsid w:val="007B3661"/>
    <w:rsid w:val="007B373C"/>
    <w:rsid w:val="007B526F"/>
    <w:rsid w:val="007B533C"/>
    <w:rsid w:val="007B6B42"/>
    <w:rsid w:val="007B6C37"/>
    <w:rsid w:val="007B6D86"/>
    <w:rsid w:val="007B7C4A"/>
    <w:rsid w:val="007B7C6E"/>
    <w:rsid w:val="007C0EB2"/>
    <w:rsid w:val="007C106C"/>
    <w:rsid w:val="007C18A0"/>
    <w:rsid w:val="007C1AF7"/>
    <w:rsid w:val="007C1D16"/>
    <w:rsid w:val="007C216B"/>
    <w:rsid w:val="007C438E"/>
    <w:rsid w:val="007C43A1"/>
    <w:rsid w:val="007C48F9"/>
    <w:rsid w:val="007C503A"/>
    <w:rsid w:val="007C6131"/>
    <w:rsid w:val="007C6F2A"/>
    <w:rsid w:val="007C7707"/>
    <w:rsid w:val="007D080E"/>
    <w:rsid w:val="007D1214"/>
    <w:rsid w:val="007D1597"/>
    <w:rsid w:val="007D4C8E"/>
    <w:rsid w:val="007D4DB9"/>
    <w:rsid w:val="007D608D"/>
    <w:rsid w:val="007D61DF"/>
    <w:rsid w:val="007D6312"/>
    <w:rsid w:val="007D6394"/>
    <w:rsid w:val="007D656A"/>
    <w:rsid w:val="007E016A"/>
    <w:rsid w:val="007E0CA4"/>
    <w:rsid w:val="007E1647"/>
    <w:rsid w:val="007E16ED"/>
    <w:rsid w:val="007E26F5"/>
    <w:rsid w:val="007E2A74"/>
    <w:rsid w:val="007E2F9F"/>
    <w:rsid w:val="007E3D3C"/>
    <w:rsid w:val="007E409C"/>
    <w:rsid w:val="007E4700"/>
    <w:rsid w:val="007E4F11"/>
    <w:rsid w:val="007E57FB"/>
    <w:rsid w:val="007E60C4"/>
    <w:rsid w:val="007E69A3"/>
    <w:rsid w:val="007E7288"/>
    <w:rsid w:val="007E7D72"/>
    <w:rsid w:val="007E7F9B"/>
    <w:rsid w:val="007E7FA1"/>
    <w:rsid w:val="007F011F"/>
    <w:rsid w:val="007F0440"/>
    <w:rsid w:val="007F09D8"/>
    <w:rsid w:val="007F0E73"/>
    <w:rsid w:val="007F128E"/>
    <w:rsid w:val="007F1BE3"/>
    <w:rsid w:val="007F2B2A"/>
    <w:rsid w:val="007F37B0"/>
    <w:rsid w:val="007F3D63"/>
    <w:rsid w:val="007F40E8"/>
    <w:rsid w:val="007F4316"/>
    <w:rsid w:val="007F4395"/>
    <w:rsid w:val="007F4563"/>
    <w:rsid w:val="007F4C92"/>
    <w:rsid w:val="007F4CC7"/>
    <w:rsid w:val="007F5F72"/>
    <w:rsid w:val="007F6A78"/>
    <w:rsid w:val="007F75E0"/>
    <w:rsid w:val="008007AC"/>
    <w:rsid w:val="00801591"/>
    <w:rsid w:val="0080169B"/>
    <w:rsid w:val="00803A1D"/>
    <w:rsid w:val="00803D65"/>
    <w:rsid w:val="00803D94"/>
    <w:rsid w:val="008042E8"/>
    <w:rsid w:val="008047BC"/>
    <w:rsid w:val="00804D0F"/>
    <w:rsid w:val="00804D25"/>
    <w:rsid w:val="00804F83"/>
    <w:rsid w:val="008050EB"/>
    <w:rsid w:val="00805264"/>
    <w:rsid w:val="00805995"/>
    <w:rsid w:val="00806019"/>
    <w:rsid w:val="008070EC"/>
    <w:rsid w:val="0080722E"/>
    <w:rsid w:val="0081075D"/>
    <w:rsid w:val="00811388"/>
    <w:rsid w:val="0081177A"/>
    <w:rsid w:val="00811940"/>
    <w:rsid w:val="008119D8"/>
    <w:rsid w:val="00811D78"/>
    <w:rsid w:val="0081370A"/>
    <w:rsid w:val="008138EE"/>
    <w:rsid w:val="00814A1D"/>
    <w:rsid w:val="00814FBB"/>
    <w:rsid w:val="008154BF"/>
    <w:rsid w:val="008156D8"/>
    <w:rsid w:val="008158B8"/>
    <w:rsid w:val="00815E81"/>
    <w:rsid w:val="008161C8"/>
    <w:rsid w:val="00816277"/>
    <w:rsid w:val="0081657F"/>
    <w:rsid w:val="00817F7F"/>
    <w:rsid w:val="00820136"/>
    <w:rsid w:val="008218F6"/>
    <w:rsid w:val="00821DB0"/>
    <w:rsid w:val="00822753"/>
    <w:rsid w:val="00823232"/>
    <w:rsid w:val="008239EB"/>
    <w:rsid w:val="00823B34"/>
    <w:rsid w:val="00824C95"/>
    <w:rsid w:val="008250A4"/>
    <w:rsid w:val="0082586E"/>
    <w:rsid w:val="00826547"/>
    <w:rsid w:val="00826BD4"/>
    <w:rsid w:val="00826E08"/>
    <w:rsid w:val="0082711E"/>
    <w:rsid w:val="0082734E"/>
    <w:rsid w:val="0082780E"/>
    <w:rsid w:val="00827E3A"/>
    <w:rsid w:val="00830963"/>
    <w:rsid w:val="00831FE4"/>
    <w:rsid w:val="0083206F"/>
    <w:rsid w:val="0083254F"/>
    <w:rsid w:val="00832619"/>
    <w:rsid w:val="008326B0"/>
    <w:rsid w:val="00832857"/>
    <w:rsid w:val="00832ABD"/>
    <w:rsid w:val="008334B7"/>
    <w:rsid w:val="008335A3"/>
    <w:rsid w:val="008339FA"/>
    <w:rsid w:val="00834115"/>
    <w:rsid w:val="00834362"/>
    <w:rsid w:val="00835679"/>
    <w:rsid w:val="0083586E"/>
    <w:rsid w:val="00835BD7"/>
    <w:rsid w:val="00836444"/>
    <w:rsid w:val="00836CF2"/>
    <w:rsid w:val="0083740D"/>
    <w:rsid w:val="00837478"/>
    <w:rsid w:val="0084024B"/>
    <w:rsid w:val="00840B33"/>
    <w:rsid w:val="00841B81"/>
    <w:rsid w:val="00841FA5"/>
    <w:rsid w:val="00842489"/>
    <w:rsid w:val="00842A8A"/>
    <w:rsid w:val="0084340D"/>
    <w:rsid w:val="0084362E"/>
    <w:rsid w:val="008441BE"/>
    <w:rsid w:val="0084435B"/>
    <w:rsid w:val="00844385"/>
    <w:rsid w:val="0084460D"/>
    <w:rsid w:val="0084551D"/>
    <w:rsid w:val="00845DFD"/>
    <w:rsid w:val="00845F8C"/>
    <w:rsid w:val="008463F8"/>
    <w:rsid w:val="00846CD4"/>
    <w:rsid w:val="00846D41"/>
    <w:rsid w:val="008471F7"/>
    <w:rsid w:val="008504BC"/>
    <w:rsid w:val="00850BAE"/>
    <w:rsid w:val="0085152B"/>
    <w:rsid w:val="008534BC"/>
    <w:rsid w:val="008537C6"/>
    <w:rsid w:val="00853B30"/>
    <w:rsid w:val="00853E2F"/>
    <w:rsid w:val="00854E5E"/>
    <w:rsid w:val="00854E7A"/>
    <w:rsid w:val="008550F1"/>
    <w:rsid w:val="008553BC"/>
    <w:rsid w:val="008561BD"/>
    <w:rsid w:val="0085648F"/>
    <w:rsid w:val="0085685A"/>
    <w:rsid w:val="00856B49"/>
    <w:rsid w:val="00856EA8"/>
    <w:rsid w:val="00857424"/>
    <w:rsid w:val="008606D9"/>
    <w:rsid w:val="0086126A"/>
    <w:rsid w:val="008629E3"/>
    <w:rsid w:val="00862D0C"/>
    <w:rsid w:val="00862F47"/>
    <w:rsid w:val="00862F66"/>
    <w:rsid w:val="00863E3D"/>
    <w:rsid w:val="00864350"/>
    <w:rsid w:val="008651E9"/>
    <w:rsid w:val="008655F6"/>
    <w:rsid w:val="00865986"/>
    <w:rsid w:val="00865A90"/>
    <w:rsid w:val="008667CC"/>
    <w:rsid w:val="0086724B"/>
    <w:rsid w:val="008672D8"/>
    <w:rsid w:val="00867A62"/>
    <w:rsid w:val="008707FF"/>
    <w:rsid w:val="00870F00"/>
    <w:rsid w:val="008712F9"/>
    <w:rsid w:val="00871538"/>
    <w:rsid w:val="00872916"/>
    <w:rsid w:val="00872D00"/>
    <w:rsid w:val="0087300C"/>
    <w:rsid w:val="00873387"/>
    <w:rsid w:val="00873B37"/>
    <w:rsid w:val="008748C3"/>
    <w:rsid w:val="0087508A"/>
    <w:rsid w:val="00875FC0"/>
    <w:rsid w:val="008764D2"/>
    <w:rsid w:val="00877367"/>
    <w:rsid w:val="00877FEA"/>
    <w:rsid w:val="0088037D"/>
    <w:rsid w:val="00880A79"/>
    <w:rsid w:val="00882055"/>
    <w:rsid w:val="00882633"/>
    <w:rsid w:val="00883011"/>
    <w:rsid w:val="008834F2"/>
    <w:rsid w:val="00883A1B"/>
    <w:rsid w:val="00883EDD"/>
    <w:rsid w:val="0088404D"/>
    <w:rsid w:val="008841E0"/>
    <w:rsid w:val="00884299"/>
    <w:rsid w:val="00884FF1"/>
    <w:rsid w:val="0088522D"/>
    <w:rsid w:val="00885E07"/>
    <w:rsid w:val="00885FDA"/>
    <w:rsid w:val="008869E3"/>
    <w:rsid w:val="00890855"/>
    <w:rsid w:val="00890B1E"/>
    <w:rsid w:val="008918C3"/>
    <w:rsid w:val="0089312B"/>
    <w:rsid w:val="00896237"/>
    <w:rsid w:val="0089677D"/>
    <w:rsid w:val="008A04AF"/>
    <w:rsid w:val="008A0EDC"/>
    <w:rsid w:val="008A1524"/>
    <w:rsid w:val="008A164C"/>
    <w:rsid w:val="008A2FC7"/>
    <w:rsid w:val="008A3001"/>
    <w:rsid w:val="008A4940"/>
    <w:rsid w:val="008A5149"/>
    <w:rsid w:val="008A6C24"/>
    <w:rsid w:val="008B1E97"/>
    <w:rsid w:val="008B2DCC"/>
    <w:rsid w:val="008B2F65"/>
    <w:rsid w:val="008B3C2D"/>
    <w:rsid w:val="008B3EC5"/>
    <w:rsid w:val="008B493A"/>
    <w:rsid w:val="008B4B5D"/>
    <w:rsid w:val="008B53BB"/>
    <w:rsid w:val="008B564D"/>
    <w:rsid w:val="008B5D06"/>
    <w:rsid w:val="008B600B"/>
    <w:rsid w:val="008B637B"/>
    <w:rsid w:val="008B6F88"/>
    <w:rsid w:val="008B732D"/>
    <w:rsid w:val="008C0825"/>
    <w:rsid w:val="008C0A38"/>
    <w:rsid w:val="008C1B73"/>
    <w:rsid w:val="008C1C50"/>
    <w:rsid w:val="008C21F8"/>
    <w:rsid w:val="008C35CE"/>
    <w:rsid w:val="008C3834"/>
    <w:rsid w:val="008C3945"/>
    <w:rsid w:val="008C4BB3"/>
    <w:rsid w:val="008C4BE6"/>
    <w:rsid w:val="008C51D2"/>
    <w:rsid w:val="008C5D57"/>
    <w:rsid w:val="008C5FC5"/>
    <w:rsid w:val="008C60B7"/>
    <w:rsid w:val="008C64C3"/>
    <w:rsid w:val="008C6586"/>
    <w:rsid w:val="008D037F"/>
    <w:rsid w:val="008D0EAE"/>
    <w:rsid w:val="008D0FA2"/>
    <w:rsid w:val="008D13AA"/>
    <w:rsid w:val="008D17B6"/>
    <w:rsid w:val="008D2448"/>
    <w:rsid w:val="008D250F"/>
    <w:rsid w:val="008D3FB5"/>
    <w:rsid w:val="008D6107"/>
    <w:rsid w:val="008D65C3"/>
    <w:rsid w:val="008E007F"/>
    <w:rsid w:val="008E040A"/>
    <w:rsid w:val="008E0DF5"/>
    <w:rsid w:val="008E1027"/>
    <w:rsid w:val="008E1BC8"/>
    <w:rsid w:val="008E254D"/>
    <w:rsid w:val="008E2A39"/>
    <w:rsid w:val="008E2A81"/>
    <w:rsid w:val="008E3ABD"/>
    <w:rsid w:val="008E41F7"/>
    <w:rsid w:val="008E4A60"/>
    <w:rsid w:val="008E65DA"/>
    <w:rsid w:val="008E7DEE"/>
    <w:rsid w:val="008E7F9F"/>
    <w:rsid w:val="008F0AE6"/>
    <w:rsid w:val="008F11B2"/>
    <w:rsid w:val="008F16DF"/>
    <w:rsid w:val="008F2439"/>
    <w:rsid w:val="008F2BC0"/>
    <w:rsid w:val="008F2EA4"/>
    <w:rsid w:val="008F38BB"/>
    <w:rsid w:val="008F3CFF"/>
    <w:rsid w:val="008F4854"/>
    <w:rsid w:val="008F4AFF"/>
    <w:rsid w:val="008F4E85"/>
    <w:rsid w:val="008F4F60"/>
    <w:rsid w:val="008F533D"/>
    <w:rsid w:val="008F7363"/>
    <w:rsid w:val="008F7A6E"/>
    <w:rsid w:val="00900108"/>
    <w:rsid w:val="009001DC"/>
    <w:rsid w:val="0090169A"/>
    <w:rsid w:val="009016DE"/>
    <w:rsid w:val="00901C09"/>
    <w:rsid w:val="00901E12"/>
    <w:rsid w:val="009020FC"/>
    <w:rsid w:val="00902266"/>
    <w:rsid w:val="00902357"/>
    <w:rsid w:val="009025E9"/>
    <w:rsid w:val="00902AFC"/>
    <w:rsid w:val="0090353B"/>
    <w:rsid w:val="00903CBE"/>
    <w:rsid w:val="00903F04"/>
    <w:rsid w:val="00903F3E"/>
    <w:rsid w:val="009045B9"/>
    <w:rsid w:val="00905459"/>
    <w:rsid w:val="00905D58"/>
    <w:rsid w:val="00906098"/>
    <w:rsid w:val="009060D7"/>
    <w:rsid w:val="00906C5C"/>
    <w:rsid w:val="00906E73"/>
    <w:rsid w:val="00906F7A"/>
    <w:rsid w:val="0090795C"/>
    <w:rsid w:val="00907FAE"/>
    <w:rsid w:val="00911998"/>
    <w:rsid w:val="00911ACD"/>
    <w:rsid w:val="00911FB7"/>
    <w:rsid w:val="009121AB"/>
    <w:rsid w:val="009128F5"/>
    <w:rsid w:val="009130F3"/>
    <w:rsid w:val="0091337D"/>
    <w:rsid w:val="009139FD"/>
    <w:rsid w:val="00913DFE"/>
    <w:rsid w:val="00913E7F"/>
    <w:rsid w:val="00914AC9"/>
    <w:rsid w:val="00915058"/>
    <w:rsid w:val="00916310"/>
    <w:rsid w:val="00916877"/>
    <w:rsid w:val="009172E0"/>
    <w:rsid w:val="00920C2A"/>
    <w:rsid w:val="00921027"/>
    <w:rsid w:val="00921A24"/>
    <w:rsid w:val="0092248D"/>
    <w:rsid w:val="0092258D"/>
    <w:rsid w:val="009225BE"/>
    <w:rsid w:val="00923DA7"/>
    <w:rsid w:val="0092401F"/>
    <w:rsid w:val="00924724"/>
    <w:rsid w:val="00924827"/>
    <w:rsid w:val="00924E2B"/>
    <w:rsid w:val="00925498"/>
    <w:rsid w:val="0092589B"/>
    <w:rsid w:val="00925BE3"/>
    <w:rsid w:val="00925E18"/>
    <w:rsid w:val="00926DF2"/>
    <w:rsid w:val="00926F60"/>
    <w:rsid w:val="009277FB"/>
    <w:rsid w:val="009300BF"/>
    <w:rsid w:val="009307A7"/>
    <w:rsid w:val="00931155"/>
    <w:rsid w:val="00932D8F"/>
    <w:rsid w:val="0093300F"/>
    <w:rsid w:val="0093363D"/>
    <w:rsid w:val="0093409B"/>
    <w:rsid w:val="009345C6"/>
    <w:rsid w:val="00935584"/>
    <w:rsid w:val="00935B2B"/>
    <w:rsid w:val="0093626D"/>
    <w:rsid w:val="0093630A"/>
    <w:rsid w:val="00936688"/>
    <w:rsid w:val="0093750A"/>
    <w:rsid w:val="009375B3"/>
    <w:rsid w:val="00937886"/>
    <w:rsid w:val="00937F64"/>
    <w:rsid w:val="00940847"/>
    <w:rsid w:val="009432B7"/>
    <w:rsid w:val="0094401B"/>
    <w:rsid w:val="0094421C"/>
    <w:rsid w:val="009447D5"/>
    <w:rsid w:val="00945FC9"/>
    <w:rsid w:val="0094602D"/>
    <w:rsid w:val="00946084"/>
    <w:rsid w:val="00946B99"/>
    <w:rsid w:val="00947043"/>
    <w:rsid w:val="009472AC"/>
    <w:rsid w:val="00947733"/>
    <w:rsid w:val="0095037D"/>
    <w:rsid w:val="0095045F"/>
    <w:rsid w:val="00950F13"/>
    <w:rsid w:val="00950F56"/>
    <w:rsid w:val="0095147F"/>
    <w:rsid w:val="00951734"/>
    <w:rsid w:val="00951749"/>
    <w:rsid w:val="0095182B"/>
    <w:rsid w:val="00951B67"/>
    <w:rsid w:val="00953E2D"/>
    <w:rsid w:val="00954311"/>
    <w:rsid w:val="009545A4"/>
    <w:rsid w:val="009545FB"/>
    <w:rsid w:val="00954EE1"/>
    <w:rsid w:val="0095528E"/>
    <w:rsid w:val="00957C65"/>
    <w:rsid w:val="00957E31"/>
    <w:rsid w:val="00957EEB"/>
    <w:rsid w:val="009602E9"/>
    <w:rsid w:val="00960A02"/>
    <w:rsid w:val="00961A94"/>
    <w:rsid w:val="00961B9E"/>
    <w:rsid w:val="00961BAF"/>
    <w:rsid w:val="00961F99"/>
    <w:rsid w:val="00962485"/>
    <w:rsid w:val="009627D8"/>
    <w:rsid w:val="009634CC"/>
    <w:rsid w:val="00963593"/>
    <w:rsid w:val="00963B06"/>
    <w:rsid w:val="00963B54"/>
    <w:rsid w:val="00964A1E"/>
    <w:rsid w:val="00965A0B"/>
    <w:rsid w:val="00965CC6"/>
    <w:rsid w:val="009665F2"/>
    <w:rsid w:val="009676BC"/>
    <w:rsid w:val="00970006"/>
    <w:rsid w:val="00970B5B"/>
    <w:rsid w:val="0097155B"/>
    <w:rsid w:val="00971689"/>
    <w:rsid w:val="00972183"/>
    <w:rsid w:val="00972B5F"/>
    <w:rsid w:val="009736B0"/>
    <w:rsid w:val="00973E9E"/>
    <w:rsid w:val="00974111"/>
    <w:rsid w:val="00974944"/>
    <w:rsid w:val="00974ABB"/>
    <w:rsid w:val="009755B7"/>
    <w:rsid w:val="009757F6"/>
    <w:rsid w:val="00975867"/>
    <w:rsid w:val="0097590C"/>
    <w:rsid w:val="009759C8"/>
    <w:rsid w:val="00975FBD"/>
    <w:rsid w:val="00976637"/>
    <w:rsid w:val="00976CDA"/>
    <w:rsid w:val="009771BB"/>
    <w:rsid w:val="009773F4"/>
    <w:rsid w:val="00977483"/>
    <w:rsid w:val="00977DE4"/>
    <w:rsid w:val="009800E9"/>
    <w:rsid w:val="0098060C"/>
    <w:rsid w:val="00980856"/>
    <w:rsid w:val="00980E95"/>
    <w:rsid w:val="009816F7"/>
    <w:rsid w:val="009818B1"/>
    <w:rsid w:val="00981F8A"/>
    <w:rsid w:val="009824AC"/>
    <w:rsid w:val="00982D4D"/>
    <w:rsid w:val="0098302B"/>
    <w:rsid w:val="00984227"/>
    <w:rsid w:val="009842AA"/>
    <w:rsid w:val="0098453C"/>
    <w:rsid w:val="0098661A"/>
    <w:rsid w:val="00986748"/>
    <w:rsid w:val="00986BD3"/>
    <w:rsid w:val="00986DD3"/>
    <w:rsid w:val="009872AD"/>
    <w:rsid w:val="00987A58"/>
    <w:rsid w:val="009909E8"/>
    <w:rsid w:val="00990DD4"/>
    <w:rsid w:val="00990DF7"/>
    <w:rsid w:val="00991549"/>
    <w:rsid w:val="009915FB"/>
    <w:rsid w:val="00991F68"/>
    <w:rsid w:val="009925F3"/>
    <w:rsid w:val="0099289D"/>
    <w:rsid w:val="00992D87"/>
    <w:rsid w:val="00993B6A"/>
    <w:rsid w:val="00993D6E"/>
    <w:rsid w:val="00993F1B"/>
    <w:rsid w:val="009946F5"/>
    <w:rsid w:val="00994718"/>
    <w:rsid w:val="009954B2"/>
    <w:rsid w:val="00995D7A"/>
    <w:rsid w:val="00995E00"/>
    <w:rsid w:val="009962A0"/>
    <w:rsid w:val="009963F9"/>
    <w:rsid w:val="0099657D"/>
    <w:rsid w:val="00997029"/>
    <w:rsid w:val="009971E5"/>
    <w:rsid w:val="009971F5"/>
    <w:rsid w:val="009979AE"/>
    <w:rsid w:val="009A071B"/>
    <w:rsid w:val="009A07B8"/>
    <w:rsid w:val="009A088F"/>
    <w:rsid w:val="009A097F"/>
    <w:rsid w:val="009A17DB"/>
    <w:rsid w:val="009A1936"/>
    <w:rsid w:val="009A1CC5"/>
    <w:rsid w:val="009A238B"/>
    <w:rsid w:val="009A2C8E"/>
    <w:rsid w:val="009A3210"/>
    <w:rsid w:val="009A3A6A"/>
    <w:rsid w:val="009A426A"/>
    <w:rsid w:val="009A47EA"/>
    <w:rsid w:val="009A5B5F"/>
    <w:rsid w:val="009A5DC5"/>
    <w:rsid w:val="009A62D4"/>
    <w:rsid w:val="009A77D9"/>
    <w:rsid w:val="009A7D77"/>
    <w:rsid w:val="009B1276"/>
    <w:rsid w:val="009B1AD0"/>
    <w:rsid w:val="009B2011"/>
    <w:rsid w:val="009B2B1C"/>
    <w:rsid w:val="009B44B8"/>
    <w:rsid w:val="009B47D0"/>
    <w:rsid w:val="009B4A85"/>
    <w:rsid w:val="009B57E2"/>
    <w:rsid w:val="009B590F"/>
    <w:rsid w:val="009B6F2A"/>
    <w:rsid w:val="009B6F45"/>
    <w:rsid w:val="009B716A"/>
    <w:rsid w:val="009B7323"/>
    <w:rsid w:val="009B77A3"/>
    <w:rsid w:val="009B7CF1"/>
    <w:rsid w:val="009C0573"/>
    <w:rsid w:val="009C06BA"/>
    <w:rsid w:val="009C0ADD"/>
    <w:rsid w:val="009C0D59"/>
    <w:rsid w:val="009C1002"/>
    <w:rsid w:val="009C1416"/>
    <w:rsid w:val="009C1EED"/>
    <w:rsid w:val="009C23A7"/>
    <w:rsid w:val="009C3E31"/>
    <w:rsid w:val="009C4015"/>
    <w:rsid w:val="009C4E7B"/>
    <w:rsid w:val="009C5DA1"/>
    <w:rsid w:val="009C5F2F"/>
    <w:rsid w:val="009C6B96"/>
    <w:rsid w:val="009C7797"/>
    <w:rsid w:val="009C7B94"/>
    <w:rsid w:val="009D071E"/>
    <w:rsid w:val="009D09C9"/>
    <w:rsid w:val="009D1CB9"/>
    <w:rsid w:val="009D2115"/>
    <w:rsid w:val="009D37D4"/>
    <w:rsid w:val="009D3EC0"/>
    <w:rsid w:val="009D3ED8"/>
    <w:rsid w:val="009D4513"/>
    <w:rsid w:val="009D5749"/>
    <w:rsid w:val="009D5820"/>
    <w:rsid w:val="009D690B"/>
    <w:rsid w:val="009D7270"/>
    <w:rsid w:val="009D74D7"/>
    <w:rsid w:val="009D78B5"/>
    <w:rsid w:val="009E004D"/>
    <w:rsid w:val="009E0DAE"/>
    <w:rsid w:val="009E1DDF"/>
    <w:rsid w:val="009E23C6"/>
    <w:rsid w:val="009E243E"/>
    <w:rsid w:val="009E344D"/>
    <w:rsid w:val="009E38ED"/>
    <w:rsid w:val="009E3B9B"/>
    <w:rsid w:val="009E4E70"/>
    <w:rsid w:val="009E546C"/>
    <w:rsid w:val="009E5653"/>
    <w:rsid w:val="009E669E"/>
    <w:rsid w:val="009E6989"/>
    <w:rsid w:val="009E7011"/>
    <w:rsid w:val="009E77F1"/>
    <w:rsid w:val="009E79B8"/>
    <w:rsid w:val="009F02A4"/>
    <w:rsid w:val="009F0D00"/>
    <w:rsid w:val="009F153C"/>
    <w:rsid w:val="009F2306"/>
    <w:rsid w:val="009F25FA"/>
    <w:rsid w:val="009F276B"/>
    <w:rsid w:val="009F2B40"/>
    <w:rsid w:val="009F2B7B"/>
    <w:rsid w:val="009F31E4"/>
    <w:rsid w:val="009F3668"/>
    <w:rsid w:val="009F43DE"/>
    <w:rsid w:val="009F493D"/>
    <w:rsid w:val="009F54FF"/>
    <w:rsid w:val="009F73F7"/>
    <w:rsid w:val="00A000EF"/>
    <w:rsid w:val="00A011DB"/>
    <w:rsid w:val="00A01636"/>
    <w:rsid w:val="00A01C23"/>
    <w:rsid w:val="00A01F47"/>
    <w:rsid w:val="00A02110"/>
    <w:rsid w:val="00A03AD0"/>
    <w:rsid w:val="00A04B6A"/>
    <w:rsid w:val="00A04C88"/>
    <w:rsid w:val="00A05AAF"/>
    <w:rsid w:val="00A1122C"/>
    <w:rsid w:val="00A11BCA"/>
    <w:rsid w:val="00A11DB7"/>
    <w:rsid w:val="00A1235E"/>
    <w:rsid w:val="00A127B2"/>
    <w:rsid w:val="00A12A0F"/>
    <w:rsid w:val="00A12C81"/>
    <w:rsid w:val="00A1357E"/>
    <w:rsid w:val="00A13F70"/>
    <w:rsid w:val="00A147D2"/>
    <w:rsid w:val="00A14AC3"/>
    <w:rsid w:val="00A14B12"/>
    <w:rsid w:val="00A14E9F"/>
    <w:rsid w:val="00A1560E"/>
    <w:rsid w:val="00A15904"/>
    <w:rsid w:val="00A15EB8"/>
    <w:rsid w:val="00A166B7"/>
    <w:rsid w:val="00A1701C"/>
    <w:rsid w:val="00A200BA"/>
    <w:rsid w:val="00A2065E"/>
    <w:rsid w:val="00A20EAF"/>
    <w:rsid w:val="00A21064"/>
    <w:rsid w:val="00A21381"/>
    <w:rsid w:val="00A21ED8"/>
    <w:rsid w:val="00A22E84"/>
    <w:rsid w:val="00A23123"/>
    <w:rsid w:val="00A2325D"/>
    <w:rsid w:val="00A237F8"/>
    <w:rsid w:val="00A246B7"/>
    <w:rsid w:val="00A24EC6"/>
    <w:rsid w:val="00A25963"/>
    <w:rsid w:val="00A25BED"/>
    <w:rsid w:val="00A264FE"/>
    <w:rsid w:val="00A26CC2"/>
    <w:rsid w:val="00A27BE5"/>
    <w:rsid w:val="00A30881"/>
    <w:rsid w:val="00A309C3"/>
    <w:rsid w:val="00A30A90"/>
    <w:rsid w:val="00A30DCD"/>
    <w:rsid w:val="00A3110E"/>
    <w:rsid w:val="00A32AD9"/>
    <w:rsid w:val="00A3389E"/>
    <w:rsid w:val="00A33D6F"/>
    <w:rsid w:val="00A3442C"/>
    <w:rsid w:val="00A355E5"/>
    <w:rsid w:val="00A357F9"/>
    <w:rsid w:val="00A358B8"/>
    <w:rsid w:val="00A36119"/>
    <w:rsid w:val="00A371BF"/>
    <w:rsid w:val="00A375BB"/>
    <w:rsid w:val="00A40A53"/>
    <w:rsid w:val="00A40B7F"/>
    <w:rsid w:val="00A40CDD"/>
    <w:rsid w:val="00A41B73"/>
    <w:rsid w:val="00A41D1B"/>
    <w:rsid w:val="00A42586"/>
    <w:rsid w:val="00A4283E"/>
    <w:rsid w:val="00A42CAE"/>
    <w:rsid w:val="00A435FB"/>
    <w:rsid w:val="00A43B5B"/>
    <w:rsid w:val="00A43DD1"/>
    <w:rsid w:val="00A443B9"/>
    <w:rsid w:val="00A44D8F"/>
    <w:rsid w:val="00A44DE7"/>
    <w:rsid w:val="00A45094"/>
    <w:rsid w:val="00A4540B"/>
    <w:rsid w:val="00A45D80"/>
    <w:rsid w:val="00A460F9"/>
    <w:rsid w:val="00A46521"/>
    <w:rsid w:val="00A46B4C"/>
    <w:rsid w:val="00A47A33"/>
    <w:rsid w:val="00A47E58"/>
    <w:rsid w:val="00A504D3"/>
    <w:rsid w:val="00A50556"/>
    <w:rsid w:val="00A5069B"/>
    <w:rsid w:val="00A50870"/>
    <w:rsid w:val="00A508EF"/>
    <w:rsid w:val="00A51088"/>
    <w:rsid w:val="00A51305"/>
    <w:rsid w:val="00A514E3"/>
    <w:rsid w:val="00A51D1E"/>
    <w:rsid w:val="00A52566"/>
    <w:rsid w:val="00A52DC6"/>
    <w:rsid w:val="00A53924"/>
    <w:rsid w:val="00A556E0"/>
    <w:rsid w:val="00A5637F"/>
    <w:rsid w:val="00A5768A"/>
    <w:rsid w:val="00A606A5"/>
    <w:rsid w:val="00A60A58"/>
    <w:rsid w:val="00A61012"/>
    <w:rsid w:val="00A6112A"/>
    <w:rsid w:val="00A61B06"/>
    <w:rsid w:val="00A61EF0"/>
    <w:rsid w:val="00A62C55"/>
    <w:rsid w:val="00A64897"/>
    <w:rsid w:val="00A64A6B"/>
    <w:rsid w:val="00A64B7E"/>
    <w:rsid w:val="00A650CC"/>
    <w:rsid w:val="00A6550E"/>
    <w:rsid w:val="00A65B78"/>
    <w:rsid w:val="00A65D46"/>
    <w:rsid w:val="00A65DCA"/>
    <w:rsid w:val="00A65FD1"/>
    <w:rsid w:val="00A66DB4"/>
    <w:rsid w:val="00A713ED"/>
    <w:rsid w:val="00A71487"/>
    <w:rsid w:val="00A71864"/>
    <w:rsid w:val="00A7285C"/>
    <w:rsid w:val="00A72F3B"/>
    <w:rsid w:val="00A72F99"/>
    <w:rsid w:val="00A74818"/>
    <w:rsid w:val="00A75FC3"/>
    <w:rsid w:val="00A766DF"/>
    <w:rsid w:val="00A76C2B"/>
    <w:rsid w:val="00A80B5C"/>
    <w:rsid w:val="00A833A2"/>
    <w:rsid w:val="00A83C73"/>
    <w:rsid w:val="00A84532"/>
    <w:rsid w:val="00A85B5C"/>
    <w:rsid w:val="00A85BAB"/>
    <w:rsid w:val="00A85F04"/>
    <w:rsid w:val="00A86765"/>
    <w:rsid w:val="00A86F75"/>
    <w:rsid w:val="00A87E75"/>
    <w:rsid w:val="00A905F7"/>
    <w:rsid w:val="00A90C7B"/>
    <w:rsid w:val="00A90CA2"/>
    <w:rsid w:val="00A9193F"/>
    <w:rsid w:val="00A921E0"/>
    <w:rsid w:val="00A9259E"/>
    <w:rsid w:val="00A93EF6"/>
    <w:rsid w:val="00A94C5C"/>
    <w:rsid w:val="00A95324"/>
    <w:rsid w:val="00A96187"/>
    <w:rsid w:val="00A96A92"/>
    <w:rsid w:val="00A97644"/>
    <w:rsid w:val="00A977D5"/>
    <w:rsid w:val="00A97E0A"/>
    <w:rsid w:val="00AA028A"/>
    <w:rsid w:val="00AA0797"/>
    <w:rsid w:val="00AA0D05"/>
    <w:rsid w:val="00AA10AF"/>
    <w:rsid w:val="00AA1587"/>
    <w:rsid w:val="00AA29BA"/>
    <w:rsid w:val="00AA2D7A"/>
    <w:rsid w:val="00AA3793"/>
    <w:rsid w:val="00AA3898"/>
    <w:rsid w:val="00AA45BA"/>
    <w:rsid w:val="00AA4740"/>
    <w:rsid w:val="00AA590E"/>
    <w:rsid w:val="00AA5CCD"/>
    <w:rsid w:val="00AA60A8"/>
    <w:rsid w:val="00AA6B46"/>
    <w:rsid w:val="00AA7D6C"/>
    <w:rsid w:val="00AA7E33"/>
    <w:rsid w:val="00AB070F"/>
    <w:rsid w:val="00AB076D"/>
    <w:rsid w:val="00AB0D55"/>
    <w:rsid w:val="00AB0E61"/>
    <w:rsid w:val="00AB0F28"/>
    <w:rsid w:val="00AB1DD3"/>
    <w:rsid w:val="00AB2BC2"/>
    <w:rsid w:val="00AB2FF2"/>
    <w:rsid w:val="00AB3351"/>
    <w:rsid w:val="00AB33B3"/>
    <w:rsid w:val="00AB3818"/>
    <w:rsid w:val="00AB3B49"/>
    <w:rsid w:val="00AB3CB2"/>
    <w:rsid w:val="00AB3DAC"/>
    <w:rsid w:val="00AB5B7A"/>
    <w:rsid w:val="00AB5DA7"/>
    <w:rsid w:val="00AB5E5B"/>
    <w:rsid w:val="00AB71B4"/>
    <w:rsid w:val="00AB760D"/>
    <w:rsid w:val="00AB7C06"/>
    <w:rsid w:val="00AB7EDE"/>
    <w:rsid w:val="00AC0C25"/>
    <w:rsid w:val="00AC12F7"/>
    <w:rsid w:val="00AC13D2"/>
    <w:rsid w:val="00AC18EC"/>
    <w:rsid w:val="00AC24A0"/>
    <w:rsid w:val="00AC281D"/>
    <w:rsid w:val="00AC3834"/>
    <w:rsid w:val="00AC40BF"/>
    <w:rsid w:val="00AC4105"/>
    <w:rsid w:val="00AC4DC9"/>
    <w:rsid w:val="00AC544D"/>
    <w:rsid w:val="00AC5AB9"/>
    <w:rsid w:val="00AC6EFD"/>
    <w:rsid w:val="00AD0529"/>
    <w:rsid w:val="00AD0974"/>
    <w:rsid w:val="00AD0FEF"/>
    <w:rsid w:val="00AD152D"/>
    <w:rsid w:val="00AD1CFC"/>
    <w:rsid w:val="00AD303E"/>
    <w:rsid w:val="00AD3599"/>
    <w:rsid w:val="00AD53D7"/>
    <w:rsid w:val="00AD5ADB"/>
    <w:rsid w:val="00AD64A5"/>
    <w:rsid w:val="00AD793D"/>
    <w:rsid w:val="00AD7F36"/>
    <w:rsid w:val="00AE0C6B"/>
    <w:rsid w:val="00AE0DA3"/>
    <w:rsid w:val="00AE0FCD"/>
    <w:rsid w:val="00AE1965"/>
    <w:rsid w:val="00AE1A09"/>
    <w:rsid w:val="00AE1E0E"/>
    <w:rsid w:val="00AE295F"/>
    <w:rsid w:val="00AE2EBD"/>
    <w:rsid w:val="00AE349A"/>
    <w:rsid w:val="00AE361E"/>
    <w:rsid w:val="00AE44EC"/>
    <w:rsid w:val="00AE4F60"/>
    <w:rsid w:val="00AE5092"/>
    <w:rsid w:val="00AE57CD"/>
    <w:rsid w:val="00AE5FD4"/>
    <w:rsid w:val="00AE6670"/>
    <w:rsid w:val="00AE6DA7"/>
    <w:rsid w:val="00AE73B9"/>
    <w:rsid w:val="00AE7925"/>
    <w:rsid w:val="00AF0ACD"/>
    <w:rsid w:val="00AF1F82"/>
    <w:rsid w:val="00AF20B1"/>
    <w:rsid w:val="00AF26D9"/>
    <w:rsid w:val="00AF28F2"/>
    <w:rsid w:val="00AF2A3D"/>
    <w:rsid w:val="00AF3C5B"/>
    <w:rsid w:val="00AF3F8B"/>
    <w:rsid w:val="00AF5349"/>
    <w:rsid w:val="00AF79EB"/>
    <w:rsid w:val="00AF7BC6"/>
    <w:rsid w:val="00B00C2F"/>
    <w:rsid w:val="00B00ED4"/>
    <w:rsid w:val="00B00F2E"/>
    <w:rsid w:val="00B010DD"/>
    <w:rsid w:val="00B01575"/>
    <w:rsid w:val="00B015AE"/>
    <w:rsid w:val="00B0187B"/>
    <w:rsid w:val="00B01D59"/>
    <w:rsid w:val="00B01FA1"/>
    <w:rsid w:val="00B0299E"/>
    <w:rsid w:val="00B03395"/>
    <w:rsid w:val="00B04278"/>
    <w:rsid w:val="00B042A2"/>
    <w:rsid w:val="00B04E91"/>
    <w:rsid w:val="00B05793"/>
    <w:rsid w:val="00B0589E"/>
    <w:rsid w:val="00B0610E"/>
    <w:rsid w:val="00B069CB"/>
    <w:rsid w:val="00B06A29"/>
    <w:rsid w:val="00B101EA"/>
    <w:rsid w:val="00B10313"/>
    <w:rsid w:val="00B108CC"/>
    <w:rsid w:val="00B109E7"/>
    <w:rsid w:val="00B10A95"/>
    <w:rsid w:val="00B10ACD"/>
    <w:rsid w:val="00B10B92"/>
    <w:rsid w:val="00B1171F"/>
    <w:rsid w:val="00B11E89"/>
    <w:rsid w:val="00B124F8"/>
    <w:rsid w:val="00B1282C"/>
    <w:rsid w:val="00B14033"/>
    <w:rsid w:val="00B14357"/>
    <w:rsid w:val="00B14E3A"/>
    <w:rsid w:val="00B14EC7"/>
    <w:rsid w:val="00B1559F"/>
    <w:rsid w:val="00B1575D"/>
    <w:rsid w:val="00B157D0"/>
    <w:rsid w:val="00B1763C"/>
    <w:rsid w:val="00B17E12"/>
    <w:rsid w:val="00B17E6F"/>
    <w:rsid w:val="00B202AB"/>
    <w:rsid w:val="00B2055A"/>
    <w:rsid w:val="00B20748"/>
    <w:rsid w:val="00B227A3"/>
    <w:rsid w:val="00B22880"/>
    <w:rsid w:val="00B22892"/>
    <w:rsid w:val="00B2327E"/>
    <w:rsid w:val="00B23443"/>
    <w:rsid w:val="00B23C75"/>
    <w:rsid w:val="00B23F43"/>
    <w:rsid w:val="00B241B8"/>
    <w:rsid w:val="00B2580F"/>
    <w:rsid w:val="00B269B8"/>
    <w:rsid w:val="00B26C11"/>
    <w:rsid w:val="00B27FE8"/>
    <w:rsid w:val="00B30E87"/>
    <w:rsid w:val="00B30FB9"/>
    <w:rsid w:val="00B3164E"/>
    <w:rsid w:val="00B3168C"/>
    <w:rsid w:val="00B32F95"/>
    <w:rsid w:val="00B3491B"/>
    <w:rsid w:val="00B3511F"/>
    <w:rsid w:val="00B3590F"/>
    <w:rsid w:val="00B359AC"/>
    <w:rsid w:val="00B35ED1"/>
    <w:rsid w:val="00B360C5"/>
    <w:rsid w:val="00B370A6"/>
    <w:rsid w:val="00B37C68"/>
    <w:rsid w:val="00B40195"/>
    <w:rsid w:val="00B40F13"/>
    <w:rsid w:val="00B431AB"/>
    <w:rsid w:val="00B43A15"/>
    <w:rsid w:val="00B441D9"/>
    <w:rsid w:val="00B4481C"/>
    <w:rsid w:val="00B44869"/>
    <w:rsid w:val="00B44CCE"/>
    <w:rsid w:val="00B45224"/>
    <w:rsid w:val="00B45ECE"/>
    <w:rsid w:val="00B45F55"/>
    <w:rsid w:val="00B45F8E"/>
    <w:rsid w:val="00B45FE3"/>
    <w:rsid w:val="00B47136"/>
    <w:rsid w:val="00B47B3D"/>
    <w:rsid w:val="00B47C68"/>
    <w:rsid w:val="00B503F8"/>
    <w:rsid w:val="00B50C00"/>
    <w:rsid w:val="00B510B9"/>
    <w:rsid w:val="00B51999"/>
    <w:rsid w:val="00B5224B"/>
    <w:rsid w:val="00B527B4"/>
    <w:rsid w:val="00B528E9"/>
    <w:rsid w:val="00B529BE"/>
    <w:rsid w:val="00B5381C"/>
    <w:rsid w:val="00B53BD7"/>
    <w:rsid w:val="00B53F9B"/>
    <w:rsid w:val="00B5427E"/>
    <w:rsid w:val="00B5443B"/>
    <w:rsid w:val="00B546FB"/>
    <w:rsid w:val="00B54A1F"/>
    <w:rsid w:val="00B55EC3"/>
    <w:rsid w:val="00B5627D"/>
    <w:rsid w:val="00B56A9D"/>
    <w:rsid w:val="00B57ACD"/>
    <w:rsid w:val="00B57C65"/>
    <w:rsid w:val="00B57EDB"/>
    <w:rsid w:val="00B57F56"/>
    <w:rsid w:val="00B60370"/>
    <w:rsid w:val="00B612EB"/>
    <w:rsid w:val="00B61718"/>
    <w:rsid w:val="00B61734"/>
    <w:rsid w:val="00B624C2"/>
    <w:rsid w:val="00B649A3"/>
    <w:rsid w:val="00B64E3A"/>
    <w:rsid w:val="00B65054"/>
    <w:rsid w:val="00B6571A"/>
    <w:rsid w:val="00B65D05"/>
    <w:rsid w:val="00B65D5A"/>
    <w:rsid w:val="00B6639F"/>
    <w:rsid w:val="00B66500"/>
    <w:rsid w:val="00B66FD4"/>
    <w:rsid w:val="00B67508"/>
    <w:rsid w:val="00B716DA"/>
    <w:rsid w:val="00B721E9"/>
    <w:rsid w:val="00B72802"/>
    <w:rsid w:val="00B72F3B"/>
    <w:rsid w:val="00B73B57"/>
    <w:rsid w:val="00B747ED"/>
    <w:rsid w:val="00B7480A"/>
    <w:rsid w:val="00B75400"/>
    <w:rsid w:val="00B75848"/>
    <w:rsid w:val="00B762BC"/>
    <w:rsid w:val="00B76787"/>
    <w:rsid w:val="00B76BE5"/>
    <w:rsid w:val="00B77022"/>
    <w:rsid w:val="00B770C7"/>
    <w:rsid w:val="00B80AE4"/>
    <w:rsid w:val="00B81ADC"/>
    <w:rsid w:val="00B81CF7"/>
    <w:rsid w:val="00B82066"/>
    <w:rsid w:val="00B82167"/>
    <w:rsid w:val="00B8282F"/>
    <w:rsid w:val="00B828D4"/>
    <w:rsid w:val="00B82A7C"/>
    <w:rsid w:val="00B83428"/>
    <w:rsid w:val="00B84D5C"/>
    <w:rsid w:val="00B84F39"/>
    <w:rsid w:val="00B8651D"/>
    <w:rsid w:val="00B8668D"/>
    <w:rsid w:val="00B870C5"/>
    <w:rsid w:val="00B90091"/>
    <w:rsid w:val="00B902A7"/>
    <w:rsid w:val="00B909C8"/>
    <w:rsid w:val="00B90FD6"/>
    <w:rsid w:val="00B91EFA"/>
    <w:rsid w:val="00B924B3"/>
    <w:rsid w:val="00B92A50"/>
    <w:rsid w:val="00B92A54"/>
    <w:rsid w:val="00B934F3"/>
    <w:rsid w:val="00B938FC"/>
    <w:rsid w:val="00B949EF"/>
    <w:rsid w:val="00B94B91"/>
    <w:rsid w:val="00B95250"/>
    <w:rsid w:val="00B95343"/>
    <w:rsid w:val="00B958E7"/>
    <w:rsid w:val="00B95CD0"/>
    <w:rsid w:val="00B9613D"/>
    <w:rsid w:val="00B966DD"/>
    <w:rsid w:val="00B96775"/>
    <w:rsid w:val="00B9750C"/>
    <w:rsid w:val="00B97689"/>
    <w:rsid w:val="00BA050F"/>
    <w:rsid w:val="00BA09B5"/>
    <w:rsid w:val="00BA0B73"/>
    <w:rsid w:val="00BA0DAB"/>
    <w:rsid w:val="00BA0E8F"/>
    <w:rsid w:val="00BA1C24"/>
    <w:rsid w:val="00BA2201"/>
    <w:rsid w:val="00BA505D"/>
    <w:rsid w:val="00BA571D"/>
    <w:rsid w:val="00BA5DE1"/>
    <w:rsid w:val="00BA5EC7"/>
    <w:rsid w:val="00BA67E3"/>
    <w:rsid w:val="00BA6E15"/>
    <w:rsid w:val="00BA6F84"/>
    <w:rsid w:val="00BA706E"/>
    <w:rsid w:val="00BA7650"/>
    <w:rsid w:val="00BB0D00"/>
    <w:rsid w:val="00BB1166"/>
    <w:rsid w:val="00BB13F8"/>
    <w:rsid w:val="00BB1F70"/>
    <w:rsid w:val="00BB31D4"/>
    <w:rsid w:val="00BB368D"/>
    <w:rsid w:val="00BB37E1"/>
    <w:rsid w:val="00BB3B93"/>
    <w:rsid w:val="00BB42D8"/>
    <w:rsid w:val="00BB4EA0"/>
    <w:rsid w:val="00BB5F7D"/>
    <w:rsid w:val="00BB6860"/>
    <w:rsid w:val="00BC027E"/>
    <w:rsid w:val="00BC0CED"/>
    <w:rsid w:val="00BC1E10"/>
    <w:rsid w:val="00BC2B11"/>
    <w:rsid w:val="00BC3339"/>
    <w:rsid w:val="00BC3639"/>
    <w:rsid w:val="00BC3A3B"/>
    <w:rsid w:val="00BC3AC1"/>
    <w:rsid w:val="00BC3D67"/>
    <w:rsid w:val="00BC46DB"/>
    <w:rsid w:val="00BC500D"/>
    <w:rsid w:val="00BC6501"/>
    <w:rsid w:val="00BC6617"/>
    <w:rsid w:val="00BC75F8"/>
    <w:rsid w:val="00BC7825"/>
    <w:rsid w:val="00BC7C62"/>
    <w:rsid w:val="00BD02DF"/>
    <w:rsid w:val="00BD0544"/>
    <w:rsid w:val="00BD0647"/>
    <w:rsid w:val="00BD11B1"/>
    <w:rsid w:val="00BD1290"/>
    <w:rsid w:val="00BD1A8F"/>
    <w:rsid w:val="00BD2513"/>
    <w:rsid w:val="00BD26C4"/>
    <w:rsid w:val="00BD274C"/>
    <w:rsid w:val="00BD29EB"/>
    <w:rsid w:val="00BD2A39"/>
    <w:rsid w:val="00BD3083"/>
    <w:rsid w:val="00BD417B"/>
    <w:rsid w:val="00BD54E0"/>
    <w:rsid w:val="00BD62B7"/>
    <w:rsid w:val="00BD682E"/>
    <w:rsid w:val="00BD6CF3"/>
    <w:rsid w:val="00BD7950"/>
    <w:rsid w:val="00BE0033"/>
    <w:rsid w:val="00BE10E3"/>
    <w:rsid w:val="00BE2DE0"/>
    <w:rsid w:val="00BE2F50"/>
    <w:rsid w:val="00BE3020"/>
    <w:rsid w:val="00BE39A4"/>
    <w:rsid w:val="00BE4662"/>
    <w:rsid w:val="00BE479C"/>
    <w:rsid w:val="00BE5E4D"/>
    <w:rsid w:val="00BE65C3"/>
    <w:rsid w:val="00BE674F"/>
    <w:rsid w:val="00BE7058"/>
    <w:rsid w:val="00BF06FC"/>
    <w:rsid w:val="00BF0AA3"/>
    <w:rsid w:val="00BF0C37"/>
    <w:rsid w:val="00BF181D"/>
    <w:rsid w:val="00BF262A"/>
    <w:rsid w:val="00BF26C8"/>
    <w:rsid w:val="00BF2BD5"/>
    <w:rsid w:val="00BF2D27"/>
    <w:rsid w:val="00BF2EAD"/>
    <w:rsid w:val="00BF3AA2"/>
    <w:rsid w:val="00BF3AC1"/>
    <w:rsid w:val="00BF435C"/>
    <w:rsid w:val="00BF44D3"/>
    <w:rsid w:val="00BF4840"/>
    <w:rsid w:val="00BF4DA4"/>
    <w:rsid w:val="00BF5646"/>
    <w:rsid w:val="00BF5CFF"/>
    <w:rsid w:val="00BF6328"/>
    <w:rsid w:val="00C002E4"/>
    <w:rsid w:val="00C01481"/>
    <w:rsid w:val="00C016E4"/>
    <w:rsid w:val="00C018AB"/>
    <w:rsid w:val="00C01DD0"/>
    <w:rsid w:val="00C02E49"/>
    <w:rsid w:val="00C03EEF"/>
    <w:rsid w:val="00C04096"/>
    <w:rsid w:val="00C05C1B"/>
    <w:rsid w:val="00C06EBF"/>
    <w:rsid w:val="00C073E8"/>
    <w:rsid w:val="00C075AA"/>
    <w:rsid w:val="00C07985"/>
    <w:rsid w:val="00C104D0"/>
    <w:rsid w:val="00C10B9F"/>
    <w:rsid w:val="00C10D43"/>
    <w:rsid w:val="00C110C2"/>
    <w:rsid w:val="00C11245"/>
    <w:rsid w:val="00C11988"/>
    <w:rsid w:val="00C11E0F"/>
    <w:rsid w:val="00C123E8"/>
    <w:rsid w:val="00C12451"/>
    <w:rsid w:val="00C128BD"/>
    <w:rsid w:val="00C12E1C"/>
    <w:rsid w:val="00C1305E"/>
    <w:rsid w:val="00C1339F"/>
    <w:rsid w:val="00C13F95"/>
    <w:rsid w:val="00C14D1B"/>
    <w:rsid w:val="00C14E4A"/>
    <w:rsid w:val="00C15F3C"/>
    <w:rsid w:val="00C168AB"/>
    <w:rsid w:val="00C16CD1"/>
    <w:rsid w:val="00C213EA"/>
    <w:rsid w:val="00C21AA1"/>
    <w:rsid w:val="00C21FD2"/>
    <w:rsid w:val="00C2302C"/>
    <w:rsid w:val="00C23492"/>
    <w:rsid w:val="00C246CD"/>
    <w:rsid w:val="00C24BC7"/>
    <w:rsid w:val="00C251F3"/>
    <w:rsid w:val="00C252EC"/>
    <w:rsid w:val="00C25614"/>
    <w:rsid w:val="00C25987"/>
    <w:rsid w:val="00C259A7"/>
    <w:rsid w:val="00C25E65"/>
    <w:rsid w:val="00C25EFE"/>
    <w:rsid w:val="00C278CF"/>
    <w:rsid w:val="00C320A2"/>
    <w:rsid w:val="00C32827"/>
    <w:rsid w:val="00C32E92"/>
    <w:rsid w:val="00C3311D"/>
    <w:rsid w:val="00C348A2"/>
    <w:rsid w:val="00C34BAE"/>
    <w:rsid w:val="00C35096"/>
    <w:rsid w:val="00C358DA"/>
    <w:rsid w:val="00C35FD6"/>
    <w:rsid w:val="00C36CD5"/>
    <w:rsid w:val="00C373DC"/>
    <w:rsid w:val="00C3751E"/>
    <w:rsid w:val="00C37690"/>
    <w:rsid w:val="00C37B4A"/>
    <w:rsid w:val="00C4012E"/>
    <w:rsid w:val="00C402C8"/>
    <w:rsid w:val="00C405C1"/>
    <w:rsid w:val="00C41940"/>
    <w:rsid w:val="00C419B6"/>
    <w:rsid w:val="00C41BEA"/>
    <w:rsid w:val="00C420A5"/>
    <w:rsid w:val="00C429B3"/>
    <w:rsid w:val="00C43D9F"/>
    <w:rsid w:val="00C458C4"/>
    <w:rsid w:val="00C46370"/>
    <w:rsid w:val="00C46C76"/>
    <w:rsid w:val="00C47E05"/>
    <w:rsid w:val="00C5039F"/>
    <w:rsid w:val="00C509F4"/>
    <w:rsid w:val="00C509FB"/>
    <w:rsid w:val="00C50B2C"/>
    <w:rsid w:val="00C51A2E"/>
    <w:rsid w:val="00C52CE6"/>
    <w:rsid w:val="00C5305E"/>
    <w:rsid w:val="00C549CA"/>
    <w:rsid w:val="00C54A49"/>
    <w:rsid w:val="00C54D9E"/>
    <w:rsid w:val="00C54E5D"/>
    <w:rsid w:val="00C552D2"/>
    <w:rsid w:val="00C5555B"/>
    <w:rsid w:val="00C56722"/>
    <w:rsid w:val="00C57679"/>
    <w:rsid w:val="00C576C3"/>
    <w:rsid w:val="00C57CAD"/>
    <w:rsid w:val="00C6087D"/>
    <w:rsid w:val="00C61099"/>
    <w:rsid w:val="00C611B7"/>
    <w:rsid w:val="00C61EFF"/>
    <w:rsid w:val="00C6309D"/>
    <w:rsid w:val="00C6353D"/>
    <w:rsid w:val="00C64C1A"/>
    <w:rsid w:val="00C65718"/>
    <w:rsid w:val="00C65AC1"/>
    <w:rsid w:val="00C66D54"/>
    <w:rsid w:val="00C702B7"/>
    <w:rsid w:val="00C72611"/>
    <w:rsid w:val="00C72616"/>
    <w:rsid w:val="00C729BB"/>
    <w:rsid w:val="00C72E69"/>
    <w:rsid w:val="00C73FFE"/>
    <w:rsid w:val="00C7408A"/>
    <w:rsid w:val="00C74249"/>
    <w:rsid w:val="00C747B4"/>
    <w:rsid w:val="00C7518D"/>
    <w:rsid w:val="00C75CC7"/>
    <w:rsid w:val="00C760F5"/>
    <w:rsid w:val="00C77708"/>
    <w:rsid w:val="00C80B54"/>
    <w:rsid w:val="00C80F2D"/>
    <w:rsid w:val="00C80FBE"/>
    <w:rsid w:val="00C812F6"/>
    <w:rsid w:val="00C81C0B"/>
    <w:rsid w:val="00C8295F"/>
    <w:rsid w:val="00C83570"/>
    <w:rsid w:val="00C856C6"/>
    <w:rsid w:val="00C85D48"/>
    <w:rsid w:val="00C86823"/>
    <w:rsid w:val="00C87A0C"/>
    <w:rsid w:val="00C87DD6"/>
    <w:rsid w:val="00C90557"/>
    <w:rsid w:val="00C90C6E"/>
    <w:rsid w:val="00C90FF2"/>
    <w:rsid w:val="00C9122B"/>
    <w:rsid w:val="00C91648"/>
    <w:rsid w:val="00C92727"/>
    <w:rsid w:val="00C929D8"/>
    <w:rsid w:val="00C92FBA"/>
    <w:rsid w:val="00C943A6"/>
    <w:rsid w:val="00C94644"/>
    <w:rsid w:val="00C9559D"/>
    <w:rsid w:val="00C95F53"/>
    <w:rsid w:val="00C97A3B"/>
    <w:rsid w:val="00CA0580"/>
    <w:rsid w:val="00CA0BE2"/>
    <w:rsid w:val="00CA0DD8"/>
    <w:rsid w:val="00CA14F5"/>
    <w:rsid w:val="00CA2862"/>
    <w:rsid w:val="00CA30E6"/>
    <w:rsid w:val="00CA310B"/>
    <w:rsid w:val="00CA3B5A"/>
    <w:rsid w:val="00CA3C5A"/>
    <w:rsid w:val="00CA3D85"/>
    <w:rsid w:val="00CA438E"/>
    <w:rsid w:val="00CA440E"/>
    <w:rsid w:val="00CA453E"/>
    <w:rsid w:val="00CA4853"/>
    <w:rsid w:val="00CA4CED"/>
    <w:rsid w:val="00CA5602"/>
    <w:rsid w:val="00CA5FCB"/>
    <w:rsid w:val="00CA6FCE"/>
    <w:rsid w:val="00CA72B6"/>
    <w:rsid w:val="00CA76D6"/>
    <w:rsid w:val="00CA792D"/>
    <w:rsid w:val="00CB0D25"/>
    <w:rsid w:val="00CB2070"/>
    <w:rsid w:val="00CB2755"/>
    <w:rsid w:val="00CB2B9B"/>
    <w:rsid w:val="00CB2EE2"/>
    <w:rsid w:val="00CB34A2"/>
    <w:rsid w:val="00CB4321"/>
    <w:rsid w:val="00CB5023"/>
    <w:rsid w:val="00CB56EF"/>
    <w:rsid w:val="00CB5C8A"/>
    <w:rsid w:val="00CB6A0D"/>
    <w:rsid w:val="00CB6E85"/>
    <w:rsid w:val="00CB7069"/>
    <w:rsid w:val="00CB72B9"/>
    <w:rsid w:val="00CB7737"/>
    <w:rsid w:val="00CB7F6F"/>
    <w:rsid w:val="00CC00A0"/>
    <w:rsid w:val="00CC0119"/>
    <w:rsid w:val="00CC0CB1"/>
    <w:rsid w:val="00CC19BD"/>
    <w:rsid w:val="00CC19BF"/>
    <w:rsid w:val="00CC1F47"/>
    <w:rsid w:val="00CC238B"/>
    <w:rsid w:val="00CC456C"/>
    <w:rsid w:val="00CC4B3E"/>
    <w:rsid w:val="00CC4DB7"/>
    <w:rsid w:val="00CC4EB7"/>
    <w:rsid w:val="00CC5BF4"/>
    <w:rsid w:val="00CC6005"/>
    <w:rsid w:val="00CC6208"/>
    <w:rsid w:val="00CC7EB8"/>
    <w:rsid w:val="00CD01B3"/>
    <w:rsid w:val="00CD033C"/>
    <w:rsid w:val="00CD22F4"/>
    <w:rsid w:val="00CD234F"/>
    <w:rsid w:val="00CD3ED1"/>
    <w:rsid w:val="00CD4D41"/>
    <w:rsid w:val="00CD56E8"/>
    <w:rsid w:val="00CD5E34"/>
    <w:rsid w:val="00CD6054"/>
    <w:rsid w:val="00CD6F2E"/>
    <w:rsid w:val="00CD74F8"/>
    <w:rsid w:val="00CD7F40"/>
    <w:rsid w:val="00CE008F"/>
    <w:rsid w:val="00CE0231"/>
    <w:rsid w:val="00CE08BC"/>
    <w:rsid w:val="00CE1017"/>
    <w:rsid w:val="00CE14E8"/>
    <w:rsid w:val="00CE1E4F"/>
    <w:rsid w:val="00CE1E7F"/>
    <w:rsid w:val="00CE2387"/>
    <w:rsid w:val="00CE23D1"/>
    <w:rsid w:val="00CE2989"/>
    <w:rsid w:val="00CE30F2"/>
    <w:rsid w:val="00CE5D79"/>
    <w:rsid w:val="00CE63D3"/>
    <w:rsid w:val="00CE7A4D"/>
    <w:rsid w:val="00CE7B8A"/>
    <w:rsid w:val="00CE7C8D"/>
    <w:rsid w:val="00CE7EE2"/>
    <w:rsid w:val="00CF066C"/>
    <w:rsid w:val="00CF0D09"/>
    <w:rsid w:val="00CF1271"/>
    <w:rsid w:val="00CF1492"/>
    <w:rsid w:val="00CF1B49"/>
    <w:rsid w:val="00CF2D87"/>
    <w:rsid w:val="00CF34B4"/>
    <w:rsid w:val="00CF3BB1"/>
    <w:rsid w:val="00CF3FCF"/>
    <w:rsid w:val="00CF508F"/>
    <w:rsid w:val="00CF5102"/>
    <w:rsid w:val="00CF582B"/>
    <w:rsid w:val="00CF6883"/>
    <w:rsid w:val="00CF6A60"/>
    <w:rsid w:val="00CF6BD8"/>
    <w:rsid w:val="00CF7169"/>
    <w:rsid w:val="00D008A4"/>
    <w:rsid w:val="00D00A8F"/>
    <w:rsid w:val="00D02195"/>
    <w:rsid w:val="00D03168"/>
    <w:rsid w:val="00D0366F"/>
    <w:rsid w:val="00D04FBD"/>
    <w:rsid w:val="00D057B2"/>
    <w:rsid w:val="00D062B2"/>
    <w:rsid w:val="00D0702D"/>
    <w:rsid w:val="00D07A3B"/>
    <w:rsid w:val="00D10088"/>
    <w:rsid w:val="00D1015C"/>
    <w:rsid w:val="00D10C9B"/>
    <w:rsid w:val="00D11029"/>
    <w:rsid w:val="00D116A3"/>
    <w:rsid w:val="00D11875"/>
    <w:rsid w:val="00D11EEA"/>
    <w:rsid w:val="00D12F27"/>
    <w:rsid w:val="00D133F1"/>
    <w:rsid w:val="00D138F9"/>
    <w:rsid w:val="00D140F5"/>
    <w:rsid w:val="00D14767"/>
    <w:rsid w:val="00D14966"/>
    <w:rsid w:val="00D14C45"/>
    <w:rsid w:val="00D157A2"/>
    <w:rsid w:val="00D1615E"/>
    <w:rsid w:val="00D178AF"/>
    <w:rsid w:val="00D17D48"/>
    <w:rsid w:val="00D17F1B"/>
    <w:rsid w:val="00D17F43"/>
    <w:rsid w:val="00D202AC"/>
    <w:rsid w:val="00D2137C"/>
    <w:rsid w:val="00D21AF4"/>
    <w:rsid w:val="00D21F1F"/>
    <w:rsid w:val="00D23734"/>
    <w:rsid w:val="00D23B9B"/>
    <w:rsid w:val="00D24089"/>
    <w:rsid w:val="00D2415B"/>
    <w:rsid w:val="00D2493D"/>
    <w:rsid w:val="00D24ED2"/>
    <w:rsid w:val="00D25370"/>
    <w:rsid w:val="00D27718"/>
    <w:rsid w:val="00D2777A"/>
    <w:rsid w:val="00D31946"/>
    <w:rsid w:val="00D3204D"/>
    <w:rsid w:val="00D339F0"/>
    <w:rsid w:val="00D33C1F"/>
    <w:rsid w:val="00D344FF"/>
    <w:rsid w:val="00D34A4E"/>
    <w:rsid w:val="00D34A53"/>
    <w:rsid w:val="00D35261"/>
    <w:rsid w:val="00D35546"/>
    <w:rsid w:val="00D35BF3"/>
    <w:rsid w:val="00D36227"/>
    <w:rsid w:val="00D37111"/>
    <w:rsid w:val="00D37890"/>
    <w:rsid w:val="00D400CD"/>
    <w:rsid w:val="00D40BF1"/>
    <w:rsid w:val="00D40D6A"/>
    <w:rsid w:val="00D416F6"/>
    <w:rsid w:val="00D41981"/>
    <w:rsid w:val="00D42A85"/>
    <w:rsid w:val="00D43245"/>
    <w:rsid w:val="00D43813"/>
    <w:rsid w:val="00D438A5"/>
    <w:rsid w:val="00D43B93"/>
    <w:rsid w:val="00D43D65"/>
    <w:rsid w:val="00D43DE4"/>
    <w:rsid w:val="00D440BF"/>
    <w:rsid w:val="00D463FF"/>
    <w:rsid w:val="00D46D66"/>
    <w:rsid w:val="00D47AC0"/>
    <w:rsid w:val="00D47BF8"/>
    <w:rsid w:val="00D50567"/>
    <w:rsid w:val="00D51E1A"/>
    <w:rsid w:val="00D52291"/>
    <w:rsid w:val="00D522D5"/>
    <w:rsid w:val="00D52C0E"/>
    <w:rsid w:val="00D53064"/>
    <w:rsid w:val="00D54508"/>
    <w:rsid w:val="00D54834"/>
    <w:rsid w:val="00D55434"/>
    <w:rsid w:val="00D558B3"/>
    <w:rsid w:val="00D55B31"/>
    <w:rsid w:val="00D55ED2"/>
    <w:rsid w:val="00D56169"/>
    <w:rsid w:val="00D56376"/>
    <w:rsid w:val="00D56BFD"/>
    <w:rsid w:val="00D56C8A"/>
    <w:rsid w:val="00D57192"/>
    <w:rsid w:val="00D57AF2"/>
    <w:rsid w:val="00D6063B"/>
    <w:rsid w:val="00D606BB"/>
    <w:rsid w:val="00D60AFE"/>
    <w:rsid w:val="00D6114E"/>
    <w:rsid w:val="00D61B12"/>
    <w:rsid w:val="00D61D08"/>
    <w:rsid w:val="00D61E9B"/>
    <w:rsid w:val="00D62399"/>
    <w:rsid w:val="00D62BFD"/>
    <w:rsid w:val="00D62C63"/>
    <w:rsid w:val="00D64043"/>
    <w:rsid w:val="00D64AC4"/>
    <w:rsid w:val="00D65194"/>
    <w:rsid w:val="00D6584B"/>
    <w:rsid w:val="00D65CA1"/>
    <w:rsid w:val="00D66931"/>
    <w:rsid w:val="00D66C69"/>
    <w:rsid w:val="00D67472"/>
    <w:rsid w:val="00D70F30"/>
    <w:rsid w:val="00D71B4B"/>
    <w:rsid w:val="00D71D8E"/>
    <w:rsid w:val="00D71E66"/>
    <w:rsid w:val="00D71E68"/>
    <w:rsid w:val="00D726E4"/>
    <w:rsid w:val="00D7285B"/>
    <w:rsid w:val="00D72BB2"/>
    <w:rsid w:val="00D73069"/>
    <w:rsid w:val="00D738C5"/>
    <w:rsid w:val="00D73C04"/>
    <w:rsid w:val="00D73EB8"/>
    <w:rsid w:val="00D73FE7"/>
    <w:rsid w:val="00D742A6"/>
    <w:rsid w:val="00D74314"/>
    <w:rsid w:val="00D746E4"/>
    <w:rsid w:val="00D74E8D"/>
    <w:rsid w:val="00D75AE0"/>
    <w:rsid w:val="00D75E81"/>
    <w:rsid w:val="00D75FD1"/>
    <w:rsid w:val="00D80101"/>
    <w:rsid w:val="00D80E6E"/>
    <w:rsid w:val="00D81496"/>
    <w:rsid w:val="00D823FD"/>
    <w:rsid w:val="00D82913"/>
    <w:rsid w:val="00D837B0"/>
    <w:rsid w:val="00D83C0F"/>
    <w:rsid w:val="00D83F06"/>
    <w:rsid w:val="00D83F8C"/>
    <w:rsid w:val="00D845D2"/>
    <w:rsid w:val="00D868E7"/>
    <w:rsid w:val="00D86AAB"/>
    <w:rsid w:val="00D878D8"/>
    <w:rsid w:val="00D90793"/>
    <w:rsid w:val="00D90D72"/>
    <w:rsid w:val="00D91AC8"/>
    <w:rsid w:val="00D927FC"/>
    <w:rsid w:val="00D92E8C"/>
    <w:rsid w:val="00D93D92"/>
    <w:rsid w:val="00D93ECE"/>
    <w:rsid w:val="00D94D8D"/>
    <w:rsid w:val="00D94E5E"/>
    <w:rsid w:val="00D9508D"/>
    <w:rsid w:val="00D95266"/>
    <w:rsid w:val="00D95840"/>
    <w:rsid w:val="00D961FE"/>
    <w:rsid w:val="00D96641"/>
    <w:rsid w:val="00D9726C"/>
    <w:rsid w:val="00D9747B"/>
    <w:rsid w:val="00D97BC9"/>
    <w:rsid w:val="00DA1123"/>
    <w:rsid w:val="00DA131B"/>
    <w:rsid w:val="00DA1659"/>
    <w:rsid w:val="00DA18DA"/>
    <w:rsid w:val="00DA211B"/>
    <w:rsid w:val="00DA3E91"/>
    <w:rsid w:val="00DA3F5C"/>
    <w:rsid w:val="00DA447E"/>
    <w:rsid w:val="00DA479A"/>
    <w:rsid w:val="00DA529E"/>
    <w:rsid w:val="00DA5AC4"/>
    <w:rsid w:val="00DA5D17"/>
    <w:rsid w:val="00DA6783"/>
    <w:rsid w:val="00DA6A0C"/>
    <w:rsid w:val="00DA6B06"/>
    <w:rsid w:val="00DA738E"/>
    <w:rsid w:val="00DA7CDF"/>
    <w:rsid w:val="00DB05A7"/>
    <w:rsid w:val="00DB0BEE"/>
    <w:rsid w:val="00DB0EDB"/>
    <w:rsid w:val="00DB3932"/>
    <w:rsid w:val="00DB4C73"/>
    <w:rsid w:val="00DB4CFC"/>
    <w:rsid w:val="00DB51C9"/>
    <w:rsid w:val="00DB5BE3"/>
    <w:rsid w:val="00DB5C9E"/>
    <w:rsid w:val="00DB6CC2"/>
    <w:rsid w:val="00DB6CE1"/>
    <w:rsid w:val="00DC02C5"/>
    <w:rsid w:val="00DC093C"/>
    <w:rsid w:val="00DC099A"/>
    <w:rsid w:val="00DC0A7E"/>
    <w:rsid w:val="00DC0B48"/>
    <w:rsid w:val="00DC0CD9"/>
    <w:rsid w:val="00DC1B68"/>
    <w:rsid w:val="00DC33BD"/>
    <w:rsid w:val="00DC3AD2"/>
    <w:rsid w:val="00DC4BD2"/>
    <w:rsid w:val="00DC54BA"/>
    <w:rsid w:val="00DC5A89"/>
    <w:rsid w:val="00DC5C2D"/>
    <w:rsid w:val="00DC650B"/>
    <w:rsid w:val="00DC7ED2"/>
    <w:rsid w:val="00DD03AA"/>
    <w:rsid w:val="00DD07B5"/>
    <w:rsid w:val="00DD0B4D"/>
    <w:rsid w:val="00DD1253"/>
    <w:rsid w:val="00DD1342"/>
    <w:rsid w:val="00DD1DA1"/>
    <w:rsid w:val="00DD25E3"/>
    <w:rsid w:val="00DD2B6F"/>
    <w:rsid w:val="00DD3AB6"/>
    <w:rsid w:val="00DD4087"/>
    <w:rsid w:val="00DD4448"/>
    <w:rsid w:val="00DD49A3"/>
    <w:rsid w:val="00DD4CD1"/>
    <w:rsid w:val="00DD5053"/>
    <w:rsid w:val="00DD51D1"/>
    <w:rsid w:val="00DD5412"/>
    <w:rsid w:val="00DD5AD6"/>
    <w:rsid w:val="00DD5DCF"/>
    <w:rsid w:val="00DD62BD"/>
    <w:rsid w:val="00DD65BD"/>
    <w:rsid w:val="00DD7807"/>
    <w:rsid w:val="00DE07FF"/>
    <w:rsid w:val="00DE0999"/>
    <w:rsid w:val="00DE15C5"/>
    <w:rsid w:val="00DE18E2"/>
    <w:rsid w:val="00DE1BB5"/>
    <w:rsid w:val="00DE2272"/>
    <w:rsid w:val="00DE262D"/>
    <w:rsid w:val="00DE280C"/>
    <w:rsid w:val="00DE2DE4"/>
    <w:rsid w:val="00DE2EE3"/>
    <w:rsid w:val="00DE3580"/>
    <w:rsid w:val="00DE3A02"/>
    <w:rsid w:val="00DE3ABF"/>
    <w:rsid w:val="00DE4453"/>
    <w:rsid w:val="00DE5969"/>
    <w:rsid w:val="00DE5D1F"/>
    <w:rsid w:val="00DE5D4F"/>
    <w:rsid w:val="00DE6454"/>
    <w:rsid w:val="00DE6456"/>
    <w:rsid w:val="00DE6F5C"/>
    <w:rsid w:val="00DF0F2A"/>
    <w:rsid w:val="00DF1864"/>
    <w:rsid w:val="00DF1C44"/>
    <w:rsid w:val="00DF28D6"/>
    <w:rsid w:val="00DF361D"/>
    <w:rsid w:val="00DF37EA"/>
    <w:rsid w:val="00DF3E43"/>
    <w:rsid w:val="00DF41AF"/>
    <w:rsid w:val="00DF4258"/>
    <w:rsid w:val="00DF42CF"/>
    <w:rsid w:val="00DF4554"/>
    <w:rsid w:val="00DF5A5F"/>
    <w:rsid w:val="00DF616E"/>
    <w:rsid w:val="00DF641B"/>
    <w:rsid w:val="00DF64A4"/>
    <w:rsid w:val="00DF6E9B"/>
    <w:rsid w:val="00DF6EE2"/>
    <w:rsid w:val="00DF7347"/>
    <w:rsid w:val="00DF791E"/>
    <w:rsid w:val="00E00638"/>
    <w:rsid w:val="00E01039"/>
    <w:rsid w:val="00E0114B"/>
    <w:rsid w:val="00E01BA7"/>
    <w:rsid w:val="00E0370A"/>
    <w:rsid w:val="00E03768"/>
    <w:rsid w:val="00E04BF4"/>
    <w:rsid w:val="00E053FD"/>
    <w:rsid w:val="00E058DC"/>
    <w:rsid w:val="00E05EEE"/>
    <w:rsid w:val="00E063C9"/>
    <w:rsid w:val="00E06BE7"/>
    <w:rsid w:val="00E06CA3"/>
    <w:rsid w:val="00E07A5B"/>
    <w:rsid w:val="00E10115"/>
    <w:rsid w:val="00E113F2"/>
    <w:rsid w:val="00E115F1"/>
    <w:rsid w:val="00E11C5A"/>
    <w:rsid w:val="00E12555"/>
    <w:rsid w:val="00E127CE"/>
    <w:rsid w:val="00E12BE6"/>
    <w:rsid w:val="00E13391"/>
    <w:rsid w:val="00E13BA5"/>
    <w:rsid w:val="00E1451D"/>
    <w:rsid w:val="00E15B3E"/>
    <w:rsid w:val="00E15C99"/>
    <w:rsid w:val="00E15DFF"/>
    <w:rsid w:val="00E15F53"/>
    <w:rsid w:val="00E16C4A"/>
    <w:rsid w:val="00E17567"/>
    <w:rsid w:val="00E17BF1"/>
    <w:rsid w:val="00E17C23"/>
    <w:rsid w:val="00E17FEB"/>
    <w:rsid w:val="00E2019D"/>
    <w:rsid w:val="00E205EA"/>
    <w:rsid w:val="00E210F6"/>
    <w:rsid w:val="00E21592"/>
    <w:rsid w:val="00E21C45"/>
    <w:rsid w:val="00E248F0"/>
    <w:rsid w:val="00E254F6"/>
    <w:rsid w:val="00E25ADB"/>
    <w:rsid w:val="00E26163"/>
    <w:rsid w:val="00E266B4"/>
    <w:rsid w:val="00E26D6D"/>
    <w:rsid w:val="00E27479"/>
    <w:rsid w:val="00E27B34"/>
    <w:rsid w:val="00E27D16"/>
    <w:rsid w:val="00E3088C"/>
    <w:rsid w:val="00E31860"/>
    <w:rsid w:val="00E337AE"/>
    <w:rsid w:val="00E33FE3"/>
    <w:rsid w:val="00E3456E"/>
    <w:rsid w:val="00E34C0A"/>
    <w:rsid w:val="00E35854"/>
    <w:rsid w:val="00E369FF"/>
    <w:rsid w:val="00E36A9C"/>
    <w:rsid w:val="00E36BCA"/>
    <w:rsid w:val="00E36D15"/>
    <w:rsid w:val="00E37AE5"/>
    <w:rsid w:val="00E37C11"/>
    <w:rsid w:val="00E40676"/>
    <w:rsid w:val="00E40C13"/>
    <w:rsid w:val="00E421EF"/>
    <w:rsid w:val="00E42B5E"/>
    <w:rsid w:val="00E42E30"/>
    <w:rsid w:val="00E42E72"/>
    <w:rsid w:val="00E44C1B"/>
    <w:rsid w:val="00E457EF"/>
    <w:rsid w:val="00E4636B"/>
    <w:rsid w:val="00E467D3"/>
    <w:rsid w:val="00E47325"/>
    <w:rsid w:val="00E50B9D"/>
    <w:rsid w:val="00E510A4"/>
    <w:rsid w:val="00E51746"/>
    <w:rsid w:val="00E52B90"/>
    <w:rsid w:val="00E533DC"/>
    <w:rsid w:val="00E53734"/>
    <w:rsid w:val="00E537B1"/>
    <w:rsid w:val="00E5450A"/>
    <w:rsid w:val="00E54543"/>
    <w:rsid w:val="00E55B3D"/>
    <w:rsid w:val="00E56269"/>
    <w:rsid w:val="00E5740B"/>
    <w:rsid w:val="00E57706"/>
    <w:rsid w:val="00E57DC7"/>
    <w:rsid w:val="00E608A7"/>
    <w:rsid w:val="00E609F5"/>
    <w:rsid w:val="00E619AD"/>
    <w:rsid w:val="00E61B51"/>
    <w:rsid w:val="00E61C92"/>
    <w:rsid w:val="00E61DD1"/>
    <w:rsid w:val="00E62E19"/>
    <w:rsid w:val="00E632B3"/>
    <w:rsid w:val="00E63E1D"/>
    <w:rsid w:val="00E646C4"/>
    <w:rsid w:val="00E64AE3"/>
    <w:rsid w:val="00E64B4B"/>
    <w:rsid w:val="00E64E65"/>
    <w:rsid w:val="00E64EF0"/>
    <w:rsid w:val="00E65373"/>
    <w:rsid w:val="00E655B1"/>
    <w:rsid w:val="00E665B4"/>
    <w:rsid w:val="00E66C29"/>
    <w:rsid w:val="00E677CE"/>
    <w:rsid w:val="00E705BA"/>
    <w:rsid w:val="00E70CC0"/>
    <w:rsid w:val="00E711F2"/>
    <w:rsid w:val="00E719BB"/>
    <w:rsid w:val="00E71A7F"/>
    <w:rsid w:val="00E72A19"/>
    <w:rsid w:val="00E72A53"/>
    <w:rsid w:val="00E7383F"/>
    <w:rsid w:val="00E74699"/>
    <w:rsid w:val="00E761BA"/>
    <w:rsid w:val="00E7766E"/>
    <w:rsid w:val="00E77B6D"/>
    <w:rsid w:val="00E77CF7"/>
    <w:rsid w:val="00E8038C"/>
    <w:rsid w:val="00E808C2"/>
    <w:rsid w:val="00E81109"/>
    <w:rsid w:val="00E8141F"/>
    <w:rsid w:val="00E81571"/>
    <w:rsid w:val="00E81612"/>
    <w:rsid w:val="00E823BA"/>
    <w:rsid w:val="00E82FE5"/>
    <w:rsid w:val="00E83D4F"/>
    <w:rsid w:val="00E83E0C"/>
    <w:rsid w:val="00E856EE"/>
    <w:rsid w:val="00E85BCF"/>
    <w:rsid w:val="00E860E6"/>
    <w:rsid w:val="00E86CA3"/>
    <w:rsid w:val="00E90673"/>
    <w:rsid w:val="00E91756"/>
    <w:rsid w:val="00E91CE9"/>
    <w:rsid w:val="00E91D26"/>
    <w:rsid w:val="00E91DCE"/>
    <w:rsid w:val="00E92179"/>
    <w:rsid w:val="00E9302C"/>
    <w:rsid w:val="00E93268"/>
    <w:rsid w:val="00E936E1"/>
    <w:rsid w:val="00E946A4"/>
    <w:rsid w:val="00E947F3"/>
    <w:rsid w:val="00E94B7D"/>
    <w:rsid w:val="00E974C2"/>
    <w:rsid w:val="00E9754D"/>
    <w:rsid w:val="00EA0706"/>
    <w:rsid w:val="00EA15A3"/>
    <w:rsid w:val="00EA2370"/>
    <w:rsid w:val="00EA23DA"/>
    <w:rsid w:val="00EA2940"/>
    <w:rsid w:val="00EA2A12"/>
    <w:rsid w:val="00EA5644"/>
    <w:rsid w:val="00EA5A13"/>
    <w:rsid w:val="00EA5EF9"/>
    <w:rsid w:val="00EB014E"/>
    <w:rsid w:val="00EB11D5"/>
    <w:rsid w:val="00EB151B"/>
    <w:rsid w:val="00EB19CC"/>
    <w:rsid w:val="00EB27AC"/>
    <w:rsid w:val="00EB3502"/>
    <w:rsid w:val="00EB397E"/>
    <w:rsid w:val="00EB3B40"/>
    <w:rsid w:val="00EB3EBA"/>
    <w:rsid w:val="00EB4A90"/>
    <w:rsid w:val="00EB5083"/>
    <w:rsid w:val="00EB60AE"/>
    <w:rsid w:val="00EB6705"/>
    <w:rsid w:val="00EB72A2"/>
    <w:rsid w:val="00EB75C2"/>
    <w:rsid w:val="00EB7BAA"/>
    <w:rsid w:val="00EC01BE"/>
    <w:rsid w:val="00EC10DF"/>
    <w:rsid w:val="00EC1A14"/>
    <w:rsid w:val="00EC2258"/>
    <w:rsid w:val="00EC2617"/>
    <w:rsid w:val="00EC2C56"/>
    <w:rsid w:val="00EC42ED"/>
    <w:rsid w:val="00EC4F34"/>
    <w:rsid w:val="00EC5C2A"/>
    <w:rsid w:val="00EC5E55"/>
    <w:rsid w:val="00EC7102"/>
    <w:rsid w:val="00EC7D4E"/>
    <w:rsid w:val="00ED0B0E"/>
    <w:rsid w:val="00ED1842"/>
    <w:rsid w:val="00ED18F2"/>
    <w:rsid w:val="00ED3257"/>
    <w:rsid w:val="00ED384A"/>
    <w:rsid w:val="00ED3A0F"/>
    <w:rsid w:val="00ED3A18"/>
    <w:rsid w:val="00ED4EAA"/>
    <w:rsid w:val="00ED50D9"/>
    <w:rsid w:val="00ED52A0"/>
    <w:rsid w:val="00ED67FB"/>
    <w:rsid w:val="00ED6C50"/>
    <w:rsid w:val="00ED6D77"/>
    <w:rsid w:val="00ED7870"/>
    <w:rsid w:val="00ED7AC4"/>
    <w:rsid w:val="00ED7C1A"/>
    <w:rsid w:val="00ED7C34"/>
    <w:rsid w:val="00EE011B"/>
    <w:rsid w:val="00EE02E6"/>
    <w:rsid w:val="00EE0998"/>
    <w:rsid w:val="00EE0A3B"/>
    <w:rsid w:val="00EE15DF"/>
    <w:rsid w:val="00EE2429"/>
    <w:rsid w:val="00EE367C"/>
    <w:rsid w:val="00EE4052"/>
    <w:rsid w:val="00EE48A7"/>
    <w:rsid w:val="00EE4AB7"/>
    <w:rsid w:val="00EE50FF"/>
    <w:rsid w:val="00EE567F"/>
    <w:rsid w:val="00EE5A02"/>
    <w:rsid w:val="00EE6656"/>
    <w:rsid w:val="00EE6C7D"/>
    <w:rsid w:val="00EE6FDC"/>
    <w:rsid w:val="00EE75F8"/>
    <w:rsid w:val="00EF0B7C"/>
    <w:rsid w:val="00EF0DEE"/>
    <w:rsid w:val="00EF139C"/>
    <w:rsid w:val="00EF1505"/>
    <w:rsid w:val="00EF1FB7"/>
    <w:rsid w:val="00EF2338"/>
    <w:rsid w:val="00EF2BF5"/>
    <w:rsid w:val="00EF2CD2"/>
    <w:rsid w:val="00EF2FA2"/>
    <w:rsid w:val="00EF3B5E"/>
    <w:rsid w:val="00EF3EA1"/>
    <w:rsid w:val="00EF3FD0"/>
    <w:rsid w:val="00EF66DC"/>
    <w:rsid w:val="00EF6C64"/>
    <w:rsid w:val="00EF6FCC"/>
    <w:rsid w:val="00F01019"/>
    <w:rsid w:val="00F025B0"/>
    <w:rsid w:val="00F026B5"/>
    <w:rsid w:val="00F029BB"/>
    <w:rsid w:val="00F0333D"/>
    <w:rsid w:val="00F03798"/>
    <w:rsid w:val="00F03A76"/>
    <w:rsid w:val="00F03B01"/>
    <w:rsid w:val="00F03B05"/>
    <w:rsid w:val="00F0431B"/>
    <w:rsid w:val="00F04D14"/>
    <w:rsid w:val="00F05140"/>
    <w:rsid w:val="00F05430"/>
    <w:rsid w:val="00F05699"/>
    <w:rsid w:val="00F058F1"/>
    <w:rsid w:val="00F05C40"/>
    <w:rsid w:val="00F0723A"/>
    <w:rsid w:val="00F07818"/>
    <w:rsid w:val="00F078E4"/>
    <w:rsid w:val="00F07BDB"/>
    <w:rsid w:val="00F105A8"/>
    <w:rsid w:val="00F10764"/>
    <w:rsid w:val="00F10E04"/>
    <w:rsid w:val="00F11662"/>
    <w:rsid w:val="00F124E3"/>
    <w:rsid w:val="00F13099"/>
    <w:rsid w:val="00F13372"/>
    <w:rsid w:val="00F1372F"/>
    <w:rsid w:val="00F13D1A"/>
    <w:rsid w:val="00F14032"/>
    <w:rsid w:val="00F1428A"/>
    <w:rsid w:val="00F14971"/>
    <w:rsid w:val="00F15725"/>
    <w:rsid w:val="00F15C00"/>
    <w:rsid w:val="00F15F92"/>
    <w:rsid w:val="00F160EB"/>
    <w:rsid w:val="00F16CCA"/>
    <w:rsid w:val="00F16DCC"/>
    <w:rsid w:val="00F1786D"/>
    <w:rsid w:val="00F17A6D"/>
    <w:rsid w:val="00F20406"/>
    <w:rsid w:val="00F20628"/>
    <w:rsid w:val="00F20B22"/>
    <w:rsid w:val="00F2153E"/>
    <w:rsid w:val="00F21A02"/>
    <w:rsid w:val="00F22596"/>
    <w:rsid w:val="00F22733"/>
    <w:rsid w:val="00F228B6"/>
    <w:rsid w:val="00F22E0C"/>
    <w:rsid w:val="00F22E80"/>
    <w:rsid w:val="00F22FB5"/>
    <w:rsid w:val="00F2323C"/>
    <w:rsid w:val="00F23457"/>
    <w:rsid w:val="00F25447"/>
    <w:rsid w:val="00F256DE"/>
    <w:rsid w:val="00F25D82"/>
    <w:rsid w:val="00F25E05"/>
    <w:rsid w:val="00F27266"/>
    <w:rsid w:val="00F272F6"/>
    <w:rsid w:val="00F27A23"/>
    <w:rsid w:val="00F27AD3"/>
    <w:rsid w:val="00F30C17"/>
    <w:rsid w:val="00F30D04"/>
    <w:rsid w:val="00F31422"/>
    <w:rsid w:val="00F32157"/>
    <w:rsid w:val="00F32B5B"/>
    <w:rsid w:val="00F32CC0"/>
    <w:rsid w:val="00F33A57"/>
    <w:rsid w:val="00F33F95"/>
    <w:rsid w:val="00F341B1"/>
    <w:rsid w:val="00F34CAE"/>
    <w:rsid w:val="00F34D8D"/>
    <w:rsid w:val="00F34E56"/>
    <w:rsid w:val="00F35322"/>
    <w:rsid w:val="00F35700"/>
    <w:rsid w:val="00F358CA"/>
    <w:rsid w:val="00F36EA9"/>
    <w:rsid w:val="00F37246"/>
    <w:rsid w:val="00F376F0"/>
    <w:rsid w:val="00F37D5B"/>
    <w:rsid w:val="00F40BC1"/>
    <w:rsid w:val="00F40BCF"/>
    <w:rsid w:val="00F41027"/>
    <w:rsid w:val="00F435F1"/>
    <w:rsid w:val="00F43C57"/>
    <w:rsid w:val="00F43E24"/>
    <w:rsid w:val="00F44687"/>
    <w:rsid w:val="00F4495C"/>
    <w:rsid w:val="00F44CD7"/>
    <w:rsid w:val="00F45077"/>
    <w:rsid w:val="00F4518A"/>
    <w:rsid w:val="00F45CA0"/>
    <w:rsid w:val="00F45E44"/>
    <w:rsid w:val="00F4642A"/>
    <w:rsid w:val="00F46722"/>
    <w:rsid w:val="00F46F60"/>
    <w:rsid w:val="00F47948"/>
    <w:rsid w:val="00F47DB7"/>
    <w:rsid w:val="00F519F1"/>
    <w:rsid w:val="00F51E4F"/>
    <w:rsid w:val="00F52004"/>
    <w:rsid w:val="00F52C15"/>
    <w:rsid w:val="00F52C2C"/>
    <w:rsid w:val="00F52CDA"/>
    <w:rsid w:val="00F5398D"/>
    <w:rsid w:val="00F53A9E"/>
    <w:rsid w:val="00F551E3"/>
    <w:rsid w:val="00F5520B"/>
    <w:rsid w:val="00F55DBB"/>
    <w:rsid w:val="00F56ECF"/>
    <w:rsid w:val="00F5783A"/>
    <w:rsid w:val="00F57981"/>
    <w:rsid w:val="00F606B5"/>
    <w:rsid w:val="00F62E0A"/>
    <w:rsid w:val="00F6375A"/>
    <w:rsid w:val="00F63C93"/>
    <w:rsid w:val="00F6416E"/>
    <w:rsid w:val="00F65006"/>
    <w:rsid w:val="00F661D0"/>
    <w:rsid w:val="00F6626F"/>
    <w:rsid w:val="00F665F0"/>
    <w:rsid w:val="00F668F5"/>
    <w:rsid w:val="00F67DB9"/>
    <w:rsid w:val="00F7064B"/>
    <w:rsid w:val="00F70F43"/>
    <w:rsid w:val="00F7193D"/>
    <w:rsid w:val="00F72F17"/>
    <w:rsid w:val="00F731CF"/>
    <w:rsid w:val="00F73B26"/>
    <w:rsid w:val="00F73E9E"/>
    <w:rsid w:val="00F74462"/>
    <w:rsid w:val="00F7590B"/>
    <w:rsid w:val="00F75C62"/>
    <w:rsid w:val="00F7631B"/>
    <w:rsid w:val="00F76ACC"/>
    <w:rsid w:val="00F77503"/>
    <w:rsid w:val="00F77CEA"/>
    <w:rsid w:val="00F77FBB"/>
    <w:rsid w:val="00F80103"/>
    <w:rsid w:val="00F807C6"/>
    <w:rsid w:val="00F80B33"/>
    <w:rsid w:val="00F82056"/>
    <w:rsid w:val="00F82C4F"/>
    <w:rsid w:val="00F83FBB"/>
    <w:rsid w:val="00F8403D"/>
    <w:rsid w:val="00F8468F"/>
    <w:rsid w:val="00F854A1"/>
    <w:rsid w:val="00F86486"/>
    <w:rsid w:val="00F86750"/>
    <w:rsid w:val="00F867BA"/>
    <w:rsid w:val="00F878EC"/>
    <w:rsid w:val="00F879FB"/>
    <w:rsid w:val="00F87A33"/>
    <w:rsid w:val="00F90C7F"/>
    <w:rsid w:val="00F9105E"/>
    <w:rsid w:val="00F91184"/>
    <w:rsid w:val="00F9216D"/>
    <w:rsid w:val="00F92200"/>
    <w:rsid w:val="00F9250B"/>
    <w:rsid w:val="00F95BDB"/>
    <w:rsid w:val="00F96132"/>
    <w:rsid w:val="00F966B8"/>
    <w:rsid w:val="00F967D7"/>
    <w:rsid w:val="00F96E2A"/>
    <w:rsid w:val="00FA0108"/>
    <w:rsid w:val="00FA0E23"/>
    <w:rsid w:val="00FA1283"/>
    <w:rsid w:val="00FA1603"/>
    <w:rsid w:val="00FA1AD8"/>
    <w:rsid w:val="00FA241B"/>
    <w:rsid w:val="00FA39CC"/>
    <w:rsid w:val="00FA3AA7"/>
    <w:rsid w:val="00FA3DBB"/>
    <w:rsid w:val="00FA3EB5"/>
    <w:rsid w:val="00FA4152"/>
    <w:rsid w:val="00FA4338"/>
    <w:rsid w:val="00FA4531"/>
    <w:rsid w:val="00FA48BC"/>
    <w:rsid w:val="00FA4AFD"/>
    <w:rsid w:val="00FA5078"/>
    <w:rsid w:val="00FA507C"/>
    <w:rsid w:val="00FA5B80"/>
    <w:rsid w:val="00FA5F4F"/>
    <w:rsid w:val="00FA6116"/>
    <w:rsid w:val="00FA704B"/>
    <w:rsid w:val="00FA73FB"/>
    <w:rsid w:val="00FA77C1"/>
    <w:rsid w:val="00FB059C"/>
    <w:rsid w:val="00FB06A6"/>
    <w:rsid w:val="00FB1B7F"/>
    <w:rsid w:val="00FB28DD"/>
    <w:rsid w:val="00FB3241"/>
    <w:rsid w:val="00FB330C"/>
    <w:rsid w:val="00FB3E23"/>
    <w:rsid w:val="00FB3EAB"/>
    <w:rsid w:val="00FB5310"/>
    <w:rsid w:val="00FB57CD"/>
    <w:rsid w:val="00FB5E1B"/>
    <w:rsid w:val="00FB5E8E"/>
    <w:rsid w:val="00FB680C"/>
    <w:rsid w:val="00FB7590"/>
    <w:rsid w:val="00FB774D"/>
    <w:rsid w:val="00FB79C0"/>
    <w:rsid w:val="00FB7F8D"/>
    <w:rsid w:val="00FC0365"/>
    <w:rsid w:val="00FC0722"/>
    <w:rsid w:val="00FC1167"/>
    <w:rsid w:val="00FC20D9"/>
    <w:rsid w:val="00FC40AD"/>
    <w:rsid w:val="00FC43B0"/>
    <w:rsid w:val="00FC45D2"/>
    <w:rsid w:val="00FC53AE"/>
    <w:rsid w:val="00FC56C9"/>
    <w:rsid w:val="00FC6023"/>
    <w:rsid w:val="00FC667A"/>
    <w:rsid w:val="00FC6AA1"/>
    <w:rsid w:val="00FC6B0A"/>
    <w:rsid w:val="00FC7484"/>
    <w:rsid w:val="00FC7C58"/>
    <w:rsid w:val="00FC7DDF"/>
    <w:rsid w:val="00FD0139"/>
    <w:rsid w:val="00FD07F8"/>
    <w:rsid w:val="00FD0D8E"/>
    <w:rsid w:val="00FD11B8"/>
    <w:rsid w:val="00FD1969"/>
    <w:rsid w:val="00FD204B"/>
    <w:rsid w:val="00FD2CEF"/>
    <w:rsid w:val="00FD2FDD"/>
    <w:rsid w:val="00FE001F"/>
    <w:rsid w:val="00FE02B7"/>
    <w:rsid w:val="00FE0B9D"/>
    <w:rsid w:val="00FE1689"/>
    <w:rsid w:val="00FE172A"/>
    <w:rsid w:val="00FE179F"/>
    <w:rsid w:val="00FE1924"/>
    <w:rsid w:val="00FE1B02"/>
    <w:rsid w:val="00FE31CC"/>
    <w:rsid w:val="00FE3356"/>
    <w:rsid w:val="00FE3814"/>
    <w:rsid w:val="00FE41D2"/>
    <w:rsid w:val="00FE4228"/>
    <w:rsid w:val="00FE459A"/>
    <w:rsid w:val="00FE4744"/>
    <w:rsid w:val="00FE510F"/>
    <w:rsid w:val="00FE5768"/>
    <w:rsid w:val="00FE58F8"/>
    <w:rsid w:val="00FE5B95"/>
    <w:rsid w:val="00FE5E2D"/>
    <w:rsid w:val="00FE61D5"/>
    <w:rsid w:val="00FE6BFF"/>
    <w:rsid w:val="00FE6E77"/>
    <w:rsid w:val="00FE77A1"/>
    <w:rsid w:val="00FE7915"/>
    <w:rsid w:val="00FE7938"/>
    <w:rsid w:val="00FF04BE"/>
    <w:rsid w:val="00FF0609"/>
    <w:rsid w:val="00FF0761"/>
    <w:rsid w:val="00FF0DE5"/>
    <w:rsid w:val="00FF13F9"/>
    <w:rsid w:val="00FF1EF3"/>
    <w:rsid w:val="00FF2DE7"/>
    <w:rsid w:val="00FF34A7"/>
    <w:rsid w:val="00FF405F"/>
    <w:rsid w:val="00FF4233"/>
    <w:rsid w:val="00FF4981"/>
    <w:rsid w:val="00FF71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1A5F"/>
    <w:rPr>
      <w:rFonts w:ascii="Arial" w:hAnsi="Arial" w:cs="Arial"/>
      <w:lang w:eastAsia="en-US"/>
    </w:rPr>
  </w:style>
  <w:style w:type="paragraph" w:styleId="Antrat1">
    <w:name w:val="heading 1"/>
    <w:basedOn w:val="prastasis"/>
    <w:next w:val="prastasis"/>
    <w:link w:val="Antrat1Diagrama"/>
    <w:uiPriority w:val="9"/>
    <w:qFormat/>
    <w:rsid w:val="00C32E92"/>
    <w:pPr>
      <w:keepNext/>
      <w:outlineLvl w:val="0"/>
    </w:pPr>
    <w:rPr>
      <w:rFonts w:ascii="Times New Roman" w:hAnsi="Times New Roman" w:cs="Times New Roman"/>
      <w:b/>
      <w:bCs/>
      <w:kern w:val="32"/>
      <w:sz w:val="24"/>
      <w:szCs w:val="32"/>
      <w:lang w:val="x-none"/>
    </w:rPr>
  </w:style>
  <w:style w:type="paragraph" w:styleId="Antrat2">
    <w:name w:val="heading 2"/>
    <w:basedOn w:val="prastasis"/>
    <w:next w:val="prastasis"/>
    <w:link w:val="Antrat2Diagrama"/>
    <w:uiPriority w:val="9"/>
    <w:unhideWhenUsed/>
    <w:qFormat/>
    <w:rsid w:val="00C32E92"/>
    <w:pPr>
      <w:keepNext/>
      <w:jc w:val="both"/>
      <w:outlineLvl w:val="1"/>
    </w:pPr>
    <w:rPr>
      <w:rFonts w:ascii="Times New Roman" w:hAnsi="Times New Roman" w:cs="Times New Roman"/>
      <w:b/>
      <w:bCs/>
      <w:iCs/>
      <w:sz w:val="24"/>
      <w:szCs w:val="28"/>
      <w:lang w:val="x-none"/>
    </w:rPr>
  </w:style>
  <w:style w:type="paragraph" w:styleId="Antrat3">
    <w:name w:val="heading 3"/>
    <w:basedOn w:val="prastasis"/>
    <w:next w:val="prastasis"/>
    <w:link w:val="Antrat3Diagrama"/>
    <w:uiPriority w:val="9"/>
    <w:unhideWhenUsed/>
    <w:qFormat/>
    <w:rsid w:val="00C32E92"/>
    <w:pPr>
      <w:keepNext/>
      <w:jc w:val="both"/>
      <w:outlineLvl w:val="2"/>
    </w:pPr>
    <w:rPr>
      <w:rFonts w:ascii="Times New Roman" w:hAnsi="Times New Roman" w:cs="Times New Roman"/>
      <w:b/>
      <w:bCs/>
      <w:sz w:val="24"/>
      <w:szCs w:val="26"/>
      <w:lang w:val="x-none"/>
    </w:rPr>
  </w:style>
  <w:style w:type="paragraph" w:styleId="Antrat4">
    <w:name w:val="heading 4"/>
    <w:basedOn w:val="prastasis"/>
    <w:next w:val="prastasis"/>
    <w:link w:val="Antrat4Diagrama"/>
    <w:uiPriority w:val="9"/>
    <w:unhideWhenUsed/>
    <w:qFormat/>
    <w:rsid w:val="00C32E92"/>
    <w:pPr>
      <w:keepNext/>
      <w:jc w:val="both"/>
      <w:outlineLvl w:val="3"/>
    </w:pPr>
    <w:rPr>
      <w:rFonts w:ascii="Times New Roman" w:hAnsi="Times New Roman" w:cs="Times New Roman"/>
      <w:b/>
      <w:bCs/>
      <w:sz w:val="24"/>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DE2272"/>
    <w:rPr>
      <w:rFonts w:ascii="Tahoma" w:hAnsi="Tahoma" w:cs="Times New Roman"/>
      <w:sz w:val="16"/>
      <w:szCs w:val="16"/>
    </w:rPr>
  </w:style>
  <w:style w:type="character" w:customStyle="1" w:styleId="DebesliotekstasDiagrama">
    <w:name w:val="Debesėlio tekstas Diagrama"/>
    <w:link w:val="Debesliotekstas"/>
    <w:uiPriority w:val="99"/>
    <w:locked/>
    <w:rsid w:val="00DE2272"/>
    <w:rPr>
      <w:rFonts w:ascii="Tahoma" w:hAnsi="Tahoma" w:cs="Tahoma"/>
      <w:sz w:val="16"/>
      <w:szCs w:val="16"/>
    </w:rPr>
  </w:style>
  <w:style w:type="character" w:styleId="Vietosrezervavimoenklotekstas">
    <w:name w:val="Placeholder Text"/>
    <w:rsid w:val="00DE2272"/>
    <w:rPr>
      <w:rFonts w:cs="Times New Roman"/>
      <w:color w:val="808080"/>
    </w:rPr>
  </w:style>
  <w:style w:type="paragraph" w:styleId="Antrats">
    <w:name w:val="header"/>
    <w:basedOn w:val="prastasis"/>
    <w:link w:val="AntratsDiagrama"/>
    <w:uiPriority w:val="99"/>
    <w:rsid w:val="002F076F"/>
    <w:pPr>
      <w:tabs>
        <w:tab w:val="center" w:pos="4819"/>
        <w:tab w:val="right" w:pos="9638"/>
      </w:tabs>
    </w:pPr>
  </w:style>
  <w:style w:type="paragraph" w:styleId="Porat">
    <w:name w:val="footer"/>
    <w:basedOn w:val="prastasis"/>
    <w:link w:val="PoratDiagrama"/>
    <w:uiPriority w:val="99"/>
    <w:rsid w:val="002F076F"/>
    <w:pPr>
      <w:tabs>
        <w:tab w:val="center" w:pos="4819"/>
        <w:tab w:val="right" w:pos="9638"/>
      </w:tabs>
    </w:pPr>
  </w:style>
  <w:style w:type="character" w:styleId="Puslapionumeris">
    <w:name w:val="page number"/>
    <w:basedOn w:val="Numatytasispastraiposriftas"/>
    <w:rsid w:val="002F076F"/>
  </w:style>
  <w:style w:type="table" w:styleId="Lentelstinklelis">
    <w:name w:val="Table Grid"/>
    <w:basedOn w:val="prastojilentel"/>
    <w:uiPriority w:val="39"/>
    <w:rsid w:val="00A21ED8"/>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rsid w:val="00363D3C"/>
    <w:pPr>
      <w:spacing w:before="100" w:beforeAutospacing="1" w:after="100" w:afterAutospacing="1"/>
    </w:pPr>
    <w:rPr>
      <w:rFonts w:ascii="Times New Roman" w:hAnsi="Times New Roman" w:cs="Times New Roman"/>
      <w:sz w:val="24"/>
      <w:szCs w:val="24"/>
      <w:lang w:eastAsia="lt-LT"/>
    </w:rPr>
  </w:style>
  <w:style w:type="character" w:styleId="Komentaronuoroda">
    <w:name w:val="annotation reference"/>
    <w:uiPriority w:val="99"/>
    <w:rsid w:val="00974ABB"/>
    <w:rPr>
      <w:sz w:val="16"/>
      <w:szCs w:val="16"/>
    </w:rPr>
  </w:style>
  <w:style w:type="paragraph" w:styleId="Komentarotekstas">
    <w:name w:val="annotation text"/>
    <w:basedOn w:val="prastasis"/>
    <w:link w:val="KomentarotekstasDiagrama"/>
    <w:uiPriority w:val="99"/>
    <w:rsid w:val="00974ABB"/>
    <w:rPr>
      <w:rFonts w:cs="Times New Roman"/>
    </w:rPr>
  </w:style>
  <w:style w:type="character" w:customStyle="1" w:styleId="KomentarotekstasDiagrama">
    <w:name w:val="Komentaro tekstas Diagrama"/>
    <w:link w:val="Komentarotekstas"/>
    <w:uiPriority w:val="99"/>
    <w:rsid w:val="00974ABB"/>
    <w:rPr>
      <w:rFonts w:ascii="Arial" w:hAnsi="Arial" w:cs="Arial"/>
      <w:lang w:eastAsia="en-US"/>
    </w:rPr>
  </w:style>
  <w:style w:type="paragraph" w:styleId="Komentarotema">
    <w:name w:val="annotation subject"/>
    <w:basedOn w:val="Komentarotekstas"/>
    <w:next w:val="Komentarotekstas"/>
    <w:link w:val="KomentarotemaDiagrama"/>
    <w:uiPriority w:val="99"/>
    <w:rsid w:val="00974ABB"/>
    <w:rPr>
      <w:b/>
      <w:bCs/>
    </w:rPr>
  </w:style>
  <w:style w:type="character" w:customStyle="1" w:styleId="KomentarotemaDiagrama">
    <w:name w:val="Komentaro tema Diagrama"/>
    <w:link w:val="Komentarotema"/>
    <w:uiPriority w:val="99"/>
    <w:rsid w:val="00974ABB"/>
    <w:rPr>
      <w:rFonts w:ascii="Arial" w:hAnsi="Arial" w:cs="Arial"/>
      <w:b/>
      <w:bCs/>
      <w:lang w:eastAsia="en-US"/>
    </w:rPr>
  </w:style>
  <w:style w:type="paragraph" w:customStyle="1" w:styleId="Default">
    <w:name w:val="Default"/>
    <w:rsid w:val="00A61012"/>
    <w:pPr>
      <w:autoSpaceDE w:val="0"/>
      <w:autoSpaceDN w:val="0"/>
      <w:adjustRightInd w:val="0"/>
      <w:spacing w:after="120"/>
    </w:pPr>
    <w:rPr>
      <w:color w:val="000000"/>
      <w:sz w:val="24"/>
      <w:szCs w:val="24"/>
    </w:rPr>
  </w:style>
  <w:style w:type="character" w:customStyle="1" w:styleId="hps">
    <w:name w:val="hps"/>
    <w:rsid w:val="000346C2"/>
  </w:style>
  <w:style w:type="paragraph" w:styleId="Pataisymai">
    <w:name w:val="Revision"/>
    <w:hidden/>
    <w:uiPriority w:val="99"/>
    <w:semiHidden/>
    <w:rsid w:val="000346C2"/>
    <w:pPr>
      <w:spacing w:after="120"/>
    </w:pPr>
    <w:rPr>
      <w:rFonts w:ascii="Arial" w:hAnsi="Arial" w:cs="Arial"/>
      <w:lang w:eastAsia="en-US"/>
    </w:rPr>
  </w:style>
  <w:style w:type="character" w:styleId="Hipersaitas">
    <w:name w:val="Hyperlink"/>
    <w:uiPriority w:val="99"/>
    <w:rsid w:val="00A1122C"/>
    <w:rPr>
      <w:color w:val="0000FF"/>
      <w:u w:val="single"/>
    </w:rPr>
  </w:style>
  <w:style w:type="paragraph" w:customStyle="1" w:styleId="Stilius1">
    <w:name w:val="Stilius1"/>
    <w:link w:val="Stilius1Char"/>
    <w:qFormat/>
    <w:rsid w:val="00AC281D"/>
    <w:pPr>
      <w:spacing w:before="200" w:line="300" w:lineRule="exact"/>
      <w:ind w:left="851"/>
      <w:jc w:val="both"/>
    </w:pPr>
    <w:rPr>
      <w:rFonts w:ascii="Arial" w:hAnsi="Arial" w:cs="Arial"/>
      <w:lang w:eastAsia="en-US"/>
    </w:rPr>
  </w:style>
  <w:style w:type="character" w:customStyle="1" w:styleId="Stilius1Char">
    <w:name w:val="Stilius1 Char"/>
    <w:link w:val="Stilius1"/>
    <w:rsid w:val="00AC281D"/>
    <w:rPr>
      <w:rFonts w:ascii="Arial" w:hAnsi="Arial" w:cs="Arial"/>
      <w:lang w:eastAsia="en-US" w:bidi="ar-SA"/>
    </w:rPr>
  </w:style>
  <w:style w:type="table" w:styleId="viesussraas3parykinimas">
    <w:name w:val="Light List Accent 3"/>
    <w:basedOn w:val="prastojilentel"/>
    <w:uiPriority w:val="61"/>
    <w:rsid w:val="009A5B5F"/>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Sraopastraipa">
    <w:name w:val="List Paragraph"/>
    <w:basedOn w:val="prastasis"/>
    <w:uiPriority w:val="34"/>
    <w:qFormat/>
    <w:rsid w:val="00A26CC2"/>
    <w:pPr>
      <w:ind w:left="720"/>
      <w:contextualSpacing/>
    </w:pPr>
  </w:style>
  <w:style w:type="paragraph" w:customStyle="1" w:styleId="Heading">
    <w:name w:val="Heading"/>
    <w:next w:val="Pagrindinistekstas"/>
    <w:rsid w:val="00452D7D"/>
    <w:pPr>
      <w:keepNext/>
      <w:widowControl w:val="0"/>
      <w:suppressAutoHyphens/>
      <w:spacing w:before="240" w:after="120"/>
      <w:jc w:val="center"/>
    </w:pPr>
    <w:rPr>
      <w:rFonts w:eastAsia="Andale Sans UI" w:cs="Tahoma"/>
      <w:b/>
      <w:caps/>
      <w:sz w:val="24"/>
      <w:szCs w:val="28"/>
      <w:lang w:val="en-US" w:eastAsia="en-US" w:bidi="en-US"/>
    </w:rPr>
  </w:style>
  <w:style w:type="paragraph" w:styleId="prastasistinklapis">
    <w:name w:val="Normal (Web)"/>
    <w:basedOn w:val="prastasis"/>
    <w:uiPriority w:val="99"/>
    <w:unhideWhenUsed/>
    <w:rsid w:val="00452D7D"/>
    <w:pPr>
      <w:spacing w:before="103" w:after="103"/>
    </w:pPr>
    <w:rPr>
      <w:rFonts w:ascii="Times New Roman" w:hAnsi="Times New Roman" w:cs="Times New Roman"/>
      <w:sz w:val="24"/>
      <w:szCs w:val="24"/>
      <w:lang w:eastAsia="lt-LT"/>
    </w:rPr>
  </w:style>
  <w:style w:type="paragraph" w:styleId="Pagrindinistekstas">
    <w:name w:val="Body Text"/>
    <w:basedOn w:val="prastasis"/>
    <w:link w:val="PagrindinistekstasDiagrama"/>
    <w:uiPriority w:val="99"/>
    <w:semiHidden/>
    <w:unhideWhenUsed/>
    <w:rsid w:val="00452D7D"/>
  </w:style>
  <w:style w:type="character" w:customStyle="1" w:styleId="PagrindinistekstasDiagrama">
    <w:name w:val="Pagrindinis tekstas Diagrama"/>
    <w:link w:val="Pagrindinistekstas"/>
    <w:uiPriority w:val="99"/>
    <w:semiHidden/>
    <w:rsid w:val="00452D7D"/>
    <w:rPr>
      <w:rFonts w:ascii="Arial" w:hAnsi="Arial" w:cs="Arial"/>
      <w:lang w:eastAsia="en-US"/>
    </w:rPr>
  </w:style>
  <w:style w:type="character" w:customStyle="1" w:styleId="AntratsDiagrama">
    <w:name w:val="Antraštės Diagrama"/>
    <w:link w:val="Antrats"/>
    <w:uiPriority w:val="99"/>
    <w:rsid w:val="005259A8"/>
    <w:rPr>
      <w:rFonts w:ascii="Arial" w:hAnsi="Arial" w:cs="Arial"/>
      <w:lang w:eastAsia="en-US"/>
    </w:rPr>
  </w:style>
  <w:style w:type="character" w:styleId="Emfaz">
    <w:name w:val="Emphasis"/>
    <w:qFormat/>
    <w:rsid w:val="008651E9"/>
    <w:rPr>
      <w:i/>
      <w:iCs/>
    </w:rPr>
  </w:style>
  <w:style w:type="paragraph" w:styleId="Puslapioinaostekstas">
    <w:name w:val="footnote text"/>
    <w:basedOn w:val="prastasis"/>
    <w:link w:val="PuslapioinaostekstasDiagrama"/>
    <w:uiPriority w:val="99"/>
    <w:unhideWhenUsed/>
    <w:rsid w:val="001170A2"/>
  </w:style>
  <w:style w:type="character" w:customStyle="1" w:styleId="PuslapioinaostekstasDiagrama">
    <w:name w:val="Puslapio išnašos tekstas Diagrama"/>
    <w:link w:val="Puslapioinaostekstas"/>
    <w:uiPriority w:val="99"/>
    <w:rsid w:val="001170A2"/>
    <w:rPr>
      <w:rFonts w:ascii="Arial" w:hAnsi="Arial" w:cs="Arial"/>
      <w:lang w:eastAsia="en-US"/>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unhideWhenUsed/>
    <w:qFormat/>
    <w:rsid w:val="001170A2"/>
    <w:rPr>
      <w:vertAlign w:val="superscript"/>
    </w:rPr>
  </w:style>
  <w:style w:type="paragraph" w:customStyle="1" w:styleId="TableParagraph">
    <w:name w:val="Table Paragraph"/>
    <w:basedOn w:val="prastasis"/>
    <w:uiPriority w:val="1"/>
    <w:qFormat/>
    <w:rsid w:val="00B61734"/>
    <w:pPr>
      <w:widowControl w:val="0"/>
    </w:pPr>
    <w:rPr>
      <w:rFonts w:ascii="Times New Roman" w:hAnsi="Times New Roman" w:cs="Times New Roman"/>
      <w:sz w:val="22"/>
      <w:szCs w:val="22"/>
      <w:lang w:val="en-US"/>
    </w:rPr>
  </w:style>
  <w:style w:type="character" w:styleId="Perirtashipersaitas">
    <w:name w:val="FollowedHyperlink"/>
    <w:semiHidden/>
    <w:unhideWhenUsed/>
    <w:rsid w:val="00A52566"/>
    <w:rPr>
      <w:color w:val="800080"/>
      <w:u w:val="single"/>
    </w:rPr>
  </w:style>
  <w:style w:type="table" w:customStyle="1" w:styleId="Lentelstinklelis1">
    <w:name w:val="Lentelės tinklelis1"/>
    <w:basedOn w:val="prastojilentel"/>
    <w:next w:val="Lentelstinklelis"/>
    <w:uiPriority w:val="59"/>
    <w:rsid w:val="003D0E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BB4E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prastasis"/>
    <w:rsid w:val="00B124F8"/>
    <w:pPr>
      <w:tabs>
        <w:tab w:val="left" w:pos="2160"/>
      </w:tabs>
      <w:spacing w:after="240"/>
      <w:ind w:left="1077"/>
      <w:jc w:val="both"/>
    </w:pPr>
    <w:rPr>
      <w:rFonts w:ascii="Times New Roman" w:hAnsi="Times New Roman" w:cs="Times New Roman"/>
      <w:sz w:val="24"/>
      <w:lang w:val="en-GB"/>
    </w:rPr>
  </w:style>
  <w:style w:type="character" w:customStyle="1" w:styleId="Antrat1Diagrama">
    <w:name w:val="Antraštė 1 Diagrama"/>
    <w:basedOn w:val="Numatytasispastraiposriftas"/>
    <w:link w:val="Antrat1"/>
    <w:uiPriority w:val="9"/>
    <w:rsid w:val="00C32E92"/>
    <w:rPr>
      <w:b/>
      <w:bCs/>
      <w:kern w:val="32"/>
      <w:sz w:val="24"/>
      <w:szCs w:val="32"/>
      <w:lang w:val="x-none" w:eastAsia="en-US"/>
    </w:rPr>
  </w:style>
  <w:style w:type="character" w:customStyle="1" w:styleId="Antrat2Diagrama">
    <w:name w:val="Antraštė 2 Diagrama"/>
    <w:basedOn w:val="Numatytasispastraiposriftas"/>
    <w:link w:val="Antrat2"/>
    <w:uiPriority w:val="9"/>
    <w:rsid w:val="00C32E92"/>
    <w:rPr>
      <w:b/>
      <w:bCs/>
      <w:iCs/>
      <w:sz w:val="24"/>
      <w:szCs w:val="28"/>
      <w:lang w:val="x-none" w:eastAsia="en-US"/>
    </w:rPr>
  </w:style>
  <w:style w:type="character" w:customStyle="1" w:styleId="Antrat3Diagrama">
    <w:name w:val="Antraštė 3 Diagrama"/>
    <w:basedOn w:val="Numatytasispastraiposriftas"/>
    <w:link w:val="Antrat3"/>
    <w:uiPriority w:val="9"/>
    <w:rsid w:val="00C32E92"/>
    <w:rPr>
      <w:b/>
      <w:bCs/>
      <w:sz w:val="24"/>
      <w:szCs w:val="26"/>
      <w:lang w:val="x-none" w:eastAsia="en-US"/>
    </w:rPr>
  </w:style>
  <w:style w:type="character" w:customStyle="1" w:styleId="Antrat4Diagrama">
    <w:name w:val="Antraštė 4 Diagrama"/>
    <w:basedOn w:val="Numatytasispastraiposriftas"/>
    <w:link w:val="Antrat4"/>
    <w:uiPriority w:val="9"/>
    <w:rsid w:val="00C32E92"/>
    <w:rPr>
      <w:b/>
      <w:bCs/>
      <w:sz w:val="24"/>
      <w:szCs w:val="28"/>
      <w:lang w:val="x-none" w:eastAsia="en-US"/>
    </w:rPr>
  </w:style>
  <w:style w:type="numbering" w:customStyle="1" w:styleId="Sraonra1">
    <w:name w:val="Sąrašo nėra1"/>
    <w:next w:val="Sraonra"/>
    <w:uiPriority w:val="99"/>
    <w:semiHidden/>
    <w:unhideWhenUsed/>
    <w:rsid w:val="00C32E92"/>
  </w:style>
  <w:style w:type="table" w:customStyle="1" w:styleId="Lentelstinklelis3">
    <w:name w:val="Lentelės tinklelis3"/>
    <w:basedOn w:val="prastojilentel"/>
    <w:next w:val="Lentelstinklelis"/>
    <w:uiPriority w:val="59"/>
    <w:rsid w:val="00C32E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prastasis"/>
    <w:rsid w:val="00C32E92"/>
    <w:pPr>
      <w:spacing w:after="160" w:line="240" w:lineRule="exact"/>
    </w:pPr>
    <w:rPr>
      <w:rFonts w:ascii="Tahoma" w:hAnsi="Tahoma" w:cs="Times New Roman"/>
      <w:lang w:val="en-US"/>
    </w:rPr>
  </w:style>
  <w:style w:type="character" w:customStyle="1" w:styleId="PoratDiagrama">
    <w:name w:val="Poraštė Diagrama"/>
    <w:link w:val="Porat"/>
    <w:uiPriority w:val="99"/>
    <w:rsid w:val="00C32E92"/>
    <w:rPr>
      <w:rFonts w:ascii="Arial" w:hAnsi="Arial" w:cs="Arial"/>
      <w:lang w:eastAsia="en-US"/>
    </w:rPr>
  </w:style>
  <w:style w:type="paragraph" w:styleId="Betarp">
    <w:name w:val="No Spacing"/>
    <w:uiPriority w:val="1"/>
    <w:qFormat/>
    <w:rsid w:val="00C32E92"/>
    <w:rPr>
      <w:rFonts w:ascii="Calibri" w:eastAsia="Calibri" w:hAnsi="Calibri"/>
      <w:sz w:val="22"/>
      <w:szCs w:val="22"/>
      <w:lang w:eastAsia="en-US"/>
    </w:rPr>
  </w:style>
  <w:style w:type="character" w:customStyle="1" w:styleId="apple-converted-space">
    <w:name w:val="apple-converted-space"/>
    <w:rsid w:val="00C32E92"/>
  </w:style>
  <w:style w:type="paragraph" w:styleId="Paprastasistekstas">
    <w:name w:val="Plain Text"/>
    <w:basedOn w:val="prastasis"/>
    <w:link w:val="PaprastasistekstasDiagrama"/>
    <w:uiPriority w:val="99"/>
    <w:unhideWhenUsed/>
    <w:rsid w:val="00C32E92"/>
    <w:rPr>
      <w:rFonts w:ascii="Calibri" w:eastAsia="Calibri" w:hAnsi="Calibri" w:cs="Times New Roman"/>
      <w:sz w:val="22"/>
      <w:szCs w:val="21"/>
      <w:lang w:eastAsia="x-none"/>
    </w:rPr>
  </w:style>
  <w:style w:type="character" w:customStyle="1" w:styleId="PaprastasistekstasDiagrama">
    <w:name w:val="Paprastasis tekstas Diagrama"/>
    <w:basedOn w:val="Numatytasispastraiposriftas"/>
    <w:link w:val="Paprastasistekstas"/>
    <w:uiPriority w:val="99"/>
    <w:rsid w:val="00C32E92"/>
    <w:rPr>
      <w:rFonts w:ascii="Calibri" w:eastAsia="Calibri" w:hAnsi="Calibri"/>
      <w:sz w:val="22"/>
      <w:szCs w:val="21"/>
      <w:lang w:eastAsia="x-none"/>
    </w:rPr>
  </w:style>
  <w:style w:type="paragraph" w:styleId="Turinioantrat">
    <w:name w:val="TOC Heading"/>
    <w:basedOn w:val="Antrat1"/>
    <w:next w:val="prastasis"/>
    <w:uiPriority w:val="39"/>
    <w:semiHidden/>
    <w:unhideWhenUsed/>
    <w:qFormat/>
    <w:rsid w:val="00C32E92"/>
    <w:pPr>
      <w:keepLines/>
      <w:spacing w:before="480" w:line="276" w:lineRule="auto"/>
      <w:outlineLvl w:val="9"/>
    </w:pPr>
    <w:rPr>
      <w:rFonts w:ascii="Cambria" w:hAnsi="Cambria"/>
      <w:color w:val="365F91"/>
      <w:kern w:val="0"/>
      <w:sz w:val="28"/>
      <w:szCs w:val="28"/>
      <w:lang w:eastAsia="lt-LT"/>
    </w:rPr>
  </w:style>
  <w:style w:type="paragraph" w:styleId="Turinys1">
    <w:name w:val="toc 1"/>
    <w:basedOn w:val="prastasis"/>
    <w:next w:val="prastasis"/>
    <w:autoRedefine/>
    <w:uiPriority w:val="39"/>
    <w:unhideWhenUsed/>
    <w:rsid w:val="00C32E92"/>
    <w:pPr>
      <w:tabs>
        <w:tab w:val="right" w:leader="dot" w:pos="9628"/>
      </w:tabs>
      <w:spacing w:after="120"/>
      <w:jc w:val="both"/>
    </w:pPr>
    <w:rPr>
      <w:rFonts w:ascii="Times New Roman" w:eastAsia="Calibri" w:hAnsi="Times New Roman" w:cs="Times New Roman"/>
      <w:sz w:val="28"/>
      <w:szCs w:val="28"/>
    </w:rPr>
  </w:style>
  <w:style w:type="paragraph" w:styleId="Turinys2">
    <w:name w:val="toc 2"/>
    <w:basedOn w:val="prastasis"/>
    <w:next w:val="prastasis"/>
    <w:autoRedefine/>
    <w:uiPriority w:val="39"/>
    <w:unhideWhenUsed/>
    <w:rsid w:val="00C32E92"/>
    <w:pPr>
      <w:spacing w:after="200" w:line="276" w:lineRule="auto"/>
      <w:ind w:left="220"/>
    </w:pPr>
    <w:rPr>
      <w:rFonts w:ascii="Calibri" w:eastAsia="Calibri" w:hAnsi="Calibri" w:cs="Times New Roman"/>
      <w:sz w:val="22"/>
      <w:szCs w:val="22"/>
    </w:rPr>
  </w:style>
  <w:style w:type="paragraph" w:styleId="Turinys3">
    <w:name w:val="toc 3"/>
    <w:basedOn w:val="prastasis"/>
    <w:next w:val="prastasis"/>
    <w:autoRedefine/>
    <w:uiPriority w:val="39"/>
    <w:unhideWhenUsed/>
    <w:rsid w:val="00C32E92"/>
    <w:pPr>
      <w:spacing w:after="200" w:line="276" w:lineRule="auto"/>
      <w:ind w:left="440"/>
    </w:pPr>
    <w:rPr>
      <w:rFonts w:ascii="Calibri" w:eastAsia="Calibri" w:hAnsi="Calibri" w:cs="Times New Roman"/>
      <w:sz w:val="22"/>
      <w:szCs w:val="22"/>
    </w:rPr>
  </w:style>
  <w:style w:type="paragraph" w:customStyle="1" w:styleId="Point0number">
    <w:name w:val="Point 0 (number)"/>
    <w:basedOn w:val="prastasis"/>
    <w:rsid w:val="00C32E92"/>
    <w:pPr>
      <w:numPr>
        <w:numId w:val="1"/>
      </w:numPr>
      <w:spacing w:before="120" w:after="120"/>
      <w:jc w:val="both"/>
    </w:pPr>
    <w:rPr>
      <w:rFonts w:ascii="Times New Roman" w:hAnsi="Times New Roman" w:cs="Times New Roman"/>
      <w:sz w:val="24"/>
      <w:szCs w:val="24"/>
    </w:rPr>
  </w:style>
  <w:style w:type="paragraph" w:customStyle="1" w:styleId="Point1number">
    <w:name w:val="Point 1 (number)"/>
    <w:basedOn w:val="prastasis"/>
    <w:rsid w:val="00C32E92"/>
    <w:pPr>
      <w:numPr>
        <w:ilvl w:val="2"/>
        <w:numId w:val="1"/>
      </w:numPr>
      <w:spacing w:before="120" w:after="120"/>
      <w:jc w:val="both"/>
    </w:pPr>
    <w:rPr>
      <w:rFonts w:ascii="Times New Roman" w:hAnsi="Times New Roman" w:cs="Times New Roman"/>
      <w:sz w:val="24"/>
      <w:szCs w:val="24"/>
    </w:rPr>
  </w:style>
  <w:style w:type="paragraph" w:customStyle="1" w:styleId="Point2number">
    <w:name w:val="Point 2 (number)"/>
    <w:basedOn w:val="prastasis"/>
    <w:rsid w:val="00C32E92"/>
    <w:pPr>
      <w:numPr>
        <w:ilvl w:val="4"/>
        <w:numId w:val="1"/>
      </w:numPr>
      <w:spacing w:before="120" w:after="120"/>
      <w:jc w:val="both"/>
    </w:pPr>
    <w:rPr>
      <w:rFonts w:ascii="Times New Roman" w:hAnsi="Times New Roman" w:cs="Times New Roman"/>
      <w:sz w:val="24"/>
      <w:szCs w:val="24"/>
    </w:rPr>
  </w:style>
  <w:style w:type="paragraph" w:customStyle="1" w:styleId="Point3number">
    <w:name w:val="Point 3 (number)"/>
    <w:basedOn w:val="prastasis"/>
    <w:rsid w:val="00C32E92"/>
    <w:pPr>
      <w:numPr>
        <w:ilvl w:val="6"/>
        <w:numId w:val="1"/>
      </w:numPr>
      <w:spacing w:before="120" w:after="120"/>
      <w:jc w:val="both"/>
    </w:pPr>
    <w:rPr>
      <w:rFonts w:ascii="Times New Roman" w:hAnsi="Times New Roman" w:cs="Times New Roman"/>
      <w:sz w:val="24"/>
      <w:szCs w:val="24"/>
    </w:rPr>
  </w:style>
  <w:style w:type="paragraph" w:customStyle="1" w:styleId="Point0letter">
    <w:name w:val="Point 0 (letter)"/>
    <w:basedOn w:val="prastasis"/>
    <w:rsid w:val="00C32E92"/>
    <w:pPr>
      <w:numPr>
        <w:ilvl w:val="1"/>
        <w:numId w:val="1"/>
      </w:numPr>
      <w:spacing w:before="120" w:after="120"/>
      <w:jc w:val="both"/>
    </w:pPr>
    <w:rPr>
      <w:rFonts w:ascii="Times New Roman" w:hAnsi="Times New Roman" w:cs="Times New Roman"/>
      <w:sz w:val="24"/>
      <w:szCs w:val="24"/>
    </w:rPr>
  </w:style>
  <w:style w:type="paragraph" w:customStyle="1" w:styleId="Point1letter">
    <w:name w:val="Point 1 (letter)"/>
    <w:basedOn w:val="prastasis"/>
    <w:rsid w:val="00C32E92"/>
    <w:pPr>
      <w:numPr>
        <w:ilvl w:val="3"/>
        <w:numId w:val="1"/>
      </w:numPr>
      <w:spacing w:before="120" w:after="120"/>
      <w:jc w:val="both"/>
    </w:pPr>
    <w:rPr>
      <w:rFonts w:ascii="Times New Roman" w:hAnsi="Times New Roman" w:cs="Times New Roman"/>
      <w:sz w:val="24"/>
      <w:szCs w:val="24"/>
    </w:rPr>
  </w:style>
  <w:style w:type="paragraph" w:customStyle="1" w:styleId="Point2letter">
    <w:name w:val="Point 2 (letter)"/>
    <w:basedOn w:val="prastasis"/>
    <w:rsid w:val="00C32E92"/>
    <w:pPr>
      <w:numPr>
        <w:ilvl w:val="5"/>
        <w:numId w:val="1"/>
      </w:numPr>
      <w:spacing w:before="120" w:after="120"/>
      <w:jc w:val="both"/>
    </w:pPr>
    <w:rPr>
      <w:rFonts w:ascii="Times New Roman" w:hAnsi="Times New Roman" w:cs="Times New Roman"/>
      <w:sz w:val="24"/>
      <w:szCs w:val="24"/>
    </w:rPr>
  </w:style>
  <w:style w:type="paragraph" w:customStyle="1" w:styleId="Point3letter">
    <w:name w:val="Point 3 (letter)"/>
    <w:basedOn w:val="prastasis"/>
    <w:rsid w:val="00C32E92"/>
    <w:pPr>
      <w:numPr>
        <w:ilvl w:val="7"/>
        <w:numId w:val="1"/>
      </w:numPr>
      <w:spacing w:before="120" w:after="120"/>
      <w:jc w:val="both"/>
    </w:pPr>
    <w:rPr>
      <w:rFonts w:ascii="Times New Roman" w:hAnsi="Times New Roman" w:cs="Times New Roman"/>
      <w:sz w:val="24"/>
      <w:szCs w:val="24"/>
    </w:rPr>
  </w:style>
  <w:style w:type="paragraph" w:customStyle="1" w:styleId="Point4letter">
    <w:name w:val="Point 4 (letter)"/>
    <w:basedOn w:val="prastasis"/>
    <w:rsid w:val="00C32E92"/>
    <w:pPr>
      <w:numPr>
        <w:ilvl w:val="8"/>
        <w:numId w:val="1"/>
      </w:numPr>
      <w:spacing w:before="120" w:after="120"/>
      <w:jc w:val="both"/>
    </w:pPr>
    <w:rPr>
      <w:rFonts w:ascii="Times New Roman" w:hAnsi="Times New Roman" w:cs="Times New Roman"/>
      <w:sz w:val="24"/>
      <w:szCs w:val="24"/>
    </w:rPr>
  </w:style>
  <w:style w:type="paragraph" w:customStyle="1" w:styleId="Considrant">
    <w:name w:val="Considérant"/>
    <w:basedOn w:val="prastasis"/>
    <w:uiPriority w:val="99"/>
    <w:rsid w:val="00C32E92"/>
    <w:pPr>
      <w:numPr>
        <w:numId w:val="2"/>
      </w:numPr>
      <w:spacing w:before="120" w:after="120"/>
      <w:jc w:val="both"/>
    </w:pPr>
    <w:rPr>
      <w:rFonts w:ascii="Times New Roman" w:eastAsia="Calibri" w:hAnsi="Times New Roman" w:cs="Times New Roman"/>
      <w:sz w:val="24"/>
      <w:szCs w:val="24"/>
      <w:lang w:eastAsia="en-GB"/>
    </w:rPr>
  </w:style>
  <w:style w:type="paragraph" w:customStyle="1" w:styleId="Hipersaitas1">
    <w:name w:val="Hipersaitas1"/>
    <w:basedOn w:val="prastasis"/>
    <w:rsid w:val="00C32E92"/>
    <w:pPr>
      <w:spacing w:before="100" w:beforeAutospacing="1" w:after="100" w:afterAutospacing="1"/>
    </w:pPr>
    <w:rPr>
      <w:rFonts w:ascii="Times New Roman" w:hAnsi="Times New Roman" w:cs="Times New Roman"/>
      <w:sz w:val="24"/>
      <w:szCs w:val="24"/>
      <w:lang w:eastAsia="lt-LT"/>
    </w:rPr>
  </w:style>
  <w:style w:type="character" w:customStyle="1" w:styleId="st">
    <w:name w:val="st"/>
    <w:rsid w:val="00C32E92"/>
  </w:style>
  <w:style w:type="paragraph" w:customStyle="1" w:styleId="ListParagraph1">
    <w:name w:val="List Paragraph1"/>
    <w:basedOn w:val="prastasis"/>
    <w:uiPriority w:val="34"/>
    <w:qFormat/>
    <w:rsid w:val="00C32E92"/>
    <w:pPr>
      <w:spacing w:after="200" w:line="276" w:lineRule="auto"/>
      <w:ind w:left="720"/>
      <w:contextualSpacing/>
    </w:pPr>
    <w:rPr>
      <w:rFonts w:ascii="Calibri" w:eastAsia="Calibri" w:hAnsi="Calibri" w:cs="Times New Roman"/>
      <w:sz w:val="22"/>
      <w:szCs w:val="22"/>
      <w:lang w:val="en-GB"/>
    </w:rPr>
  </w:style>
  <w:style w:type="paragraph" w:customStyle="1" w:styleId="NoSpacing1">
    <w:name w:val="No Spacing1"/>
    <w:uiPriority w:val="1"/>
    <w:qFormat/>
    <w:rsid w:val="00C32E92"/>
    <w:rPr>
      <w:rFonts w:ascii="Calibri" w:eastAsia="Calibri" w:hAnsi="Calibri"/>
      <w:sz w:val="22"/>
      <w:szCs w:val="22"/>
      <w:lang w:eastAsia="en-US"/>
    </w:rPr>
  </w:style>
  <w:style w:type="paragraph" w:customStyle="1" w:styleId="Revision1">
    <w:name w:val="Revision1"/>
    <w:hidden/>
    <w:uiPriority w:val="99"/>
    <w:semiHidden/>
    <w:rsid w:val="00C32E92"/>
    <w:rPr>
      <w:rFonts w:ascii="Calibri" w:eastAsia="Calibri" w:hAnsi="Calibri"/>
      <w:sz w:val="22"/>
      <w:szCs w:val="22"/>
      <w:lang w:eastAsia="en-US"/>
    </w:rPr>
  </w:style>
  <w:style w:type="paragraph" w:customStyle="1" w:styleId="ListParagraph3">
    <w:name w:val="List Paragraph3"/>
    <w:basedOn w:val="prastasis"/>
    <w:uiPriority w:val="34"/>
    <w:qFormat/>
    <w:rsid w:val="00C32E92"/>
    <w:pPr>
      <w:spacing w:after="200" w:line="276" w:lineRule="auto"/>
      <w:ind w:left="720"/>
      <w:contextualSpacing/>
    </w:pPr>
    <w:rPr>
      <w:rFonts w:ascii="Calibri" w:eastAsia="Calibri" w:hAnsi="Calibri" w:cs="Times New Roman"/>
      <w:sz w:val="22"/>
      <w:szCs w:val="22"/>
      <w:lang w:val="en-GB"/>
    </w:rPr>
  </w:style>
  <w:style w:type="paragraph" w:customStyle="1" w:styleId="ListParagraph2">
    <w:name w:val="List Paragraph2"/>
    <w:basedOn w:val="prastasis"/>
    <w:uiPriority w:val="34"/>
    <w:qFormat/>
    <w:rsid w:val="00C32E92"/>
    <w:pPr>
      <w:spacing w:after="200" w:line="276" w:lineRule="auto"/>
      <w:ind w:left="720"/>
      <w:contextualSpacing/>
    </w:pPr>
    <w:rPr>
      <w:rFonts w:ascii="Calibri" w:eastAsia="Calibri" w:hAnsi="Calibri" w:cs="Times New Roman"/>
      <w:sz w:val="22"/>
      <w:szCs w:val="22"/>
      <w:lang w:val="en-GB"/>
    </w:rPr>
  </w:style>
  <w:style w:type="numbering" w:customStyle="1" w:styleId="Sraonra11">
    <w:name w:val="Sąrašo nėra11"/>
    <w:next w:val="Sraonra"/>
    <w:uiPriority w:val="99"/>
    <w:semiHidden/>
    <w:unhideWhenUsed/>
    <w:rsid w:val="00C32E92"/>
  </w:style>
  <w:style w:type="table" w:customStyle="1" w:styleId="Lentelstinklelis11">
    <w:name w:val="Lentelės tinklelis11"/>
    <w:basedOn w:val="prastojilentel"/>
    <w:next w:val="Lentelstinklelis"/>
    <w:uiPriority w:val="59"/>
    <w:rsid w:val="00C32E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12ptJustifiedFirstline1cm">
    <w:name w:val="Style Times New Roman 12 pt Justified First line:  1 cm"/>
    <w:basedOn w:val="prastasis"/>
    <w:rsid w:val="00C32E92"/>
    <w:pPr>
      <w:widowControl w:val="0"/>
      <w:autoSpaceDE w:val="0"/>
      <w:autoSpaceDN w:val="0"/>
      <w:adjustRightInd w:val="0"/>
      <w:ind w:firstLine="851"/>
      <w:jc w:val="both"/>
    </w:pPr>
    <w:rPr>
      <w:rFonts w:ascii="Times New Roman" w:hAnsi="Times New Roman" w:cs="Times New Roman"/>
      <w:sz w:val="24"/>
      <w:lang w:eastAsia="lt-LT"/>
    </w:rPr>
  </w:style>
  <w:style w:type="paragraph" w:customStyle="1" w:styleId="DiagramaDiagramaCharCharDiagramaCharCharDiagrama1CharCharDiagrama">
    <w:name w:val="Diagrama Diagrama Char Char Diagrama Char Char Diagrama1 Char Char Diagrama"/>
    <w:basedOn w:val="prastasis"/>
    <w:rsid w:val="00C32E92"/>
    <w:pPr>
      <w:spacing w:after="160" w:line="240" w:lineRule="exact"/>
    </w:pPr>
    <w:rPr>
      <w:rFonts w:ascii="Tahoma" w:hAnsi="Tahom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1A5F"/>
    <w:rPr>
      <w:rFonts w:ascii="Arial" w:hAnsi="Arial" w:cs="Arial"/>
      <w:lang w:eastAsia="en-US"/>
    </w:rPr>
  </w:style>
  <w:style w:type="paragraph" w:styleId="Antrat1">
    <w:name w:val="heading 1"/>
    <w:basedOn w:val="prastasis"/>
    <w:next w:val="prastasis"/>
    <w:link w:val="Antrat1Diagrama"/>
    <w:uiPriority w:val="9"/>
    <w:qFormat/>
    <w:rsid w:val="00C32E92"/>
    <w:pPr>
      <w:keepNext/>
      <w:outlineLvl w:val="0"/>
    </w:pPr>
    <w:rPr>
      <w:rFonts w:ascii="Times New Roman" w:hAnsi="Times New Roman" w:cs="Times New Roman"/>
      <w:b/>
      <w:bCs/>
      <w:kern w:val="32"/>
      <w:sz w:val="24"/>
      <w:szCs w:val="32"/>
      <w:lang w:val="x-none"/>
    </w:rPr>
  </w:style>
  <w:style w:type="paragraph" w:styleId="Antrat2">
    <w:name w:val="heading 2"/>
    <w:basedOn w:val="prastasis"/>
    <w:next w:val="prastasis"/>
    <w:link w:val="Antrat2Diagrama"/>
    <w:uiPriority w:val="9"/>
    <w:unhideWhenUsed/>
    <w:qFormat/>
    <w:rsid w:val="00C32E92"/>
    <w:pPr>
      <w:keepNext/>
      <w:jc w:val="both"/>
      <w:outlineLvl w:val="1"/>
    </w:pPr>
    <w:rPr>
      <w:rFonts w:ascii="Times New Roman" w:hAnsi="Times New Roman" w:cs="Times New Roman"/>
      <w:b/>
      <w:bCs/>
      <w:iCs/>
      <w:sz w:val="24"/>
      <w:szCs w:val="28"/>
      <w:lang w:val="x-none"/>
    </w:rPr>
  </w:style>
  <w:style w:type="paragraph" w:styleId="Antrat3">
    <w:name w:val="heading 3"/>
    <w:basedOn w:val="prastasis"/>
    <w:next w:val="prastasis"/>
    <w:link w:val="Antrat3Diagrama"/>
    <w:uiPriority w:val="9"/>
    <w:unhideWhenUsed/>
    <w:qFormat/>
    <w:rsid w:val="00C32E92"/>
    <w:pPr>
      <w:keepNext/>
      <w:jc w:val="both"/>
      <w:outlineLvl w:val="2"/>
    </w:pPr>
    <w:rPr>
      <w:rFonts w:ascii="Times New Roman" w:hAnsi="Times New Roman" w:cs="Times New Roman"/>
      <w:b/>
      <w:bCs/>
      <w:sz w:val="24"/>
      <w:szCs w:val="26"/>
      <w:lang w:val="x-none"/>
    </w:rPr>
  </w:style>
  <w:style w:type="paragraph" w:styleId="Antrat4">
    <w:name w:val="heading 4"/>
    <w:basedOn w:val="prastasis"/>
    <w:next w:val="prastasis"/>
    <w:link w:val="Antrat4Diagrama"/>
    <w:uiPriority w:val="9"/>
    <w:unhideWhenUsed/>
    <w:qFormat/>
    <w:rsid w:val="00C32E92"/>
    <w:pPr>
      <w:keepNext/>
      <w:jc w:val="both"/>
      <w:outlineLvl w:val="3"/>
    </w:pPr>
    <w:rPr>
      <w:rFonts w:ascii="Times New Roman" w:hAnsi="Times New Roman" w:cs="Times New Roman"/>
      <w:b/>
      <w:bCs/>
      <w:sz w:val="24"/>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DE2272"/>
    <w:rPr>
      <w:rFonts w:ascii="Tahoma" w:hAnsi="Tahoma" w:cs="Times New Roman"/>
      <w:sz w:val="16"/>
      <w:szCs w:val="16"/>
    </w:rPr>
  </w:style>
  <w:style w:type="character" w:customStyle="1" w:styleId="DebesliotekstasDiagrama">
    <w:name w:val="Debesėlio tekstas Diagrama"/>
    <w:link w:val="Debesliotekstas"/>
    <w:uiPriority w:val="99"/>
    <w:locked/>
    <w:rsid w:val="00DE2272"/>
    <w:rPr>
      <w:rFonts w:ascii="Tahoma" w:hAnsi="Tahoma" w:cs="Tahoma"/>
      <w:sz w:val="16"/>
      <w:szCs w:val="16"/>
    </w:rPr>
  </w:style>
  <w:style w:type="character" w:styleId="Vietosrezervavimoenklotekstas">
    <w:name w:val="Placeholder Text"/>
    <w:rsid w:val="00DE2272"/>
    <w:rPr>
      <w:rFonts w:cs="Times New Roman"/>
      <w:color w:val="808080"/>
    </w:rPr>
  </w:style>
  <w:style w:type="paragraph" w:styleId="Antrats">
    <w:name w:val="header"/>
    <w:basedOn w:val="prastasis"/>
    <w:link w:val="AntratsDiagrama"/>
    <w:uiPriority w:val="99"/>
    <w:rsid w:val="002F076F"/>
    <w:pPr>
      <w:tabs>
        <w:tab w:val="center" w:pos="4819"/>
        <w:tab w:val="right" w:pos="9638"/>
      </w:tabs>
    </w:pPr>
  </w:style>
  <w:style w:type="paragraph" w:styleId="Porat">
    <w:name w:val="footer"/>
    <w:basedOn w:val="prastasis"/>
    <w:link w:val="PoratDiagrama"/>
    <w:uiPriority w:val="99"/>
    <w:rsid w:val="002F076F"/>
    <w:pPr>
      <w:tabs>
        <w:tab w:val="center" w:pos="4819"/>
        <w:tab w:val="right" w:pos="9638"/>
      </w:tabs>
    </w:pPr>
  </w:style>
  <w:style w:type="character" w:styleId="Puslapionumeris">
    <w:name w:val="page number"/>
    <w:basedOn w:val="Numatytasispastraiposriftas"/>
    <w:rsid w:val="002F076F"/>
  </w:style>
  <w:style w:type="table" w:styleId="Lentelstinklelis">
    <w:name w:val="Table Grid"/>
    <w:basedOn w:val="prastojilentel"/>
    <w:uiPriority w:val="39"/>
    <w:rsid w:val="00A21ED8"/>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rsid w:val="00363D3C"/>
    <w:pPr>
      <w:spacing w:before="100" w:beforeAutospacing="1" w:after="100" w:afterAutospacing="1"/>
    </w:pPr>
    <w:rPr>
      <w:rFonts w:ascii="Times New Roman" w:hAnsi="Times New Roman" w:cs="Times New Roman"/>
      <w:sz w:val="24"/>
      <w:szCs w:val="24"/>
      <w:lang w:eastAsia="lt-LT"/>
    </w:rPr>
  </w:style>
  <w:style w:type="character" w:styleId="Komentaronuoroda">
    <w:name w:val="annotation reference"/>
    <w:uiPriority w:val="99"/>
    <w:rsid w:val="00974ABB"/>
    <w:rPr>
      <w:sz w:val="16"/>
      <w:szCs w:val="16"/>
    </w:rPr>
  </w:style>
  <w:style w:type="paragraph" w:styleId="Komentarotekstas">
    <w:name w:val="annotation text"/>
    <w:basedOn w:val="prastasis"/>
    <w:link w:val="KomentarotekstasDiagrama"/>
    <w:uiPriority w:val="99"/>
    <w:rsid w:val="00974ABB"/>
    <w:rPr>
      <w:rFonts w:cs="Times New Roman"/>
    </w:rPr>
  </w:style>
  <w:style w:type="character" w:customStyle="1" w:styleId="KomentarotekstasDiagrama">
    <w:name w:val="Komentaro tekstas Diagrama"/>
    <w:link w:val="Komentarotekstas"/>
    <w:uiPriority w:val="99"/>
    <w:rsid w:val="00974ABB"/>
    <w:rPr>
      <w:rFonts w:ascii="Arial" w:hAnsi="Arial" w:cs="Arial"/>
      <w:lang w:eastAsia="en-US"/>
    </w:rPr>
  </w:style>
  <w:style w:type="paragraph" w:styleId="Komentarotema">
    <w:name w:val="annotation subject"/>
    <w:basedOn w:val="Komentarotekstas"/>
    <w:next w:val="Komentarotekstas"/>
    <w:link w:val="KomentarotemaDiagrama"/>
    <w:uiPriority w:val="99"/>
    <w:rsid w:val="00974ABB"/>
    <w:rPr>
      <w:b/>
      <w:bCs/>
    </w:rPr>
  </w:style>
  <w:style w:type="character" w:customStyle="1" w:styleId="KomentarotemaDiagrama">
    <w:name w:val="Komentaro tema Diagrama"/>
    <w:link w:val="Komentarotema"/>
    <w:uiPriority w:val="99"/>
    <w:rsid w:val="00974ABB"/>
    <w:rPr>
      <w:rFonts w:ascii="Arial" w:hAnsi="Arial" w:cs="Arial"/>
      <w:b/>
      <w:bCs/>
      <w:lang w:eastAsia="en-US"/>
    </w:rPr>
  </w:style>
  <w:style w:type="paragraph" w:customStyle="1" w:styleId="Default">
    <w:name w:val="Default"/>
    <w:rsid w:val="00A61012"/>
    <w:pPr>
      <w:autoSpaceDE w:val="0"/>
      <w:autoSpaceDN w:val="0"/>
      <w:adjustRightInd w:val="0"/>
      <w:spacing w:after="120"/>
    </w:pPr>
    <w:rPr>
      <w:color w:val="000000"/>
      <w:sz w:val="24"/>
      <w:szCs w:val="24"/>
    </w:rPr>
  </w:style>
  <w:style w:type="character" w:customStyle="1" w:styleId="hps">
    <w:name w:val="hps"/>
    <w:rsid w:val="000346C2"/>
  </w:style>
  <w:style w:type="paragraph" w:styleId="Pataisymai">
    <w:name w:val="Revision"/>
    <w:hidden/>
    <w:uiPriority w:val="99"/>
    <w:semiHidden/>
    <w:rsid w:val="000346C2"/>
    <w:pPr>
      <w:spacing w:after="120"/>
    </w:pPr>
    <w:rPr>
      <w:rFonts w:ascii="Arial" w:hAnsi="Arial" w:cs="Arial"/>
      <w:lang w:eastAsia="en-US"/>
    </w:rPr>
  </w:style>
  <w:style w:type="character" w:styleId="Hipersaitas">
    <w:name w:val="Hyperlink"/>
    <w:uiPriority w:val="99"/>
    <w:rsid w:val="00A1122C"/>
    <w:rPr>
      <w:color w:val="0000FF"/>
      <w:u w:val="single"/>
    </w:rPr>
  </w:style>
  <w:style w:type="paragraph" w:customStyle="1" w:styleId="Stilius1">
    <w:name w:val="Stilius1"/>
    <w:link w:val="Stilius1Char"/>
    <w:qFormat/>
    <w:rsid w:val="00AC281D"/>
    <w:pPr>
      <w:spacing w:before="200" w:line="300" w:lineRule="exact"/>
      <w:ind w:left="851"/>
      <w:jc w:val="both"/>
    </w:pPr>
    <w:rPr>
      <w:rFonts w:ascii="Arial" w:hAnsi="Arial" w:cs="Arial"/>
      <w:lang w:eastAsia="en-US"/>
    </w:rPr>
  </w:style>
  <w:style w:type="character" w:customStyle="1" w:styleId="Stilius1Char">
    <w:name w:val="Stilius1 Char"/>
    <w:link w:val="Stilius1"/>
    <w:rsid w:val="00AC281D"/>
    <w:rPr>
      <w:rFonts w:ascii="Arial" w:hAnsi="Arial" w:cs="Arial"/>
      <w:lang w:eastAsia="en-US" w:bidi="ar-SA"/>
    </w:rPr>
  </w:style>
  <w:style w:type="table" w:styleId="viesussraas3parykinimas">
    <w:name w:val="Light List Accent 3"/>
    <w:basedOn w:val="prastojilentel"/>
    <w:uiPriority w:val="61"/>
    <w:rsid w:val="009A5B5F"/>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Sraopastraipa">
    <w:name w:val="List Paragraph"/>
    <w:basedOn w:val="prastasis"/>
    <w:uiPriority w:val="34"/>
    <w:qFormat/>
    <w:rsid w:val="00A26CC2"/>
    <w:pPr>
      <w:ind w:left="720"/>
      <w:contextualSpacing/>
    </w:pPr>
  </w:style>
  <w:style w:type="paragraph" w:customStyle="1" w:styleId="Heading">
    <w:name w:val="Heading"/>
    <w:next w:val="Pagrindinistekstas"/>
    <w:rsid w:val="00452D7D"/>
    <w:pPr>
      <w:keepNext/>
      <w:widowControl w:val="0"/>
      <w:suppressAutoHyphens/>
      <w:spacing w:before="240" w:after="120"/>
      <w:jc w:val="center"/>
    </w:pPr>
    <w:rPr>
      <w:rFonts w:eastAsia="Andale Sans UI" w:cs="Tahoma"/>
      <w:b/>
      <w:caps/>
      <w:sz w:val="24"/>
      <w:szCs w:val="28"/>
      <w:lang w:val="en-US" w:eastAsia="en-US" w:bidi="en-US"/>
    </w:rPr>
  </w:style>
  <w:style w:type="paragraph" w:styleId="prastasistinklapis">
    <w:name w:val="Normal (Web)"/>
    <w:basedOn w:val="prastasis"/>
    <w:uiPriority w:val="99"/>
    <w:unhideWhenUsed/>
    <w:rsid w:val="00452D7D"/>
    <w:pPr>
      <w:spacing w:before="103" w:after="103"/>
    </w:pPr>
    <w:rPr>
      <w:rFonts w:ascii="Times New Roman" w:hAnsi="Times New Roman" w:cs="Times New Roman"/>
      <w:sz w:val="24"/>
      <w:szCs w:val="24"/>
      <w:lang w:eastAsia="lt-LT"/>
    </w:rPr>
  </w:style>
  <w:style w:type="paragraph" w:styleId="Pagrindinistekstas">
    <w:name w:val="Body Text"/>
    <w:basedOn w:val="prastasis"/>
    <w:link w:val="PagrindinistekstasDiagrama"/>
    <w:uiPriority w:val="99"/>
    <w:semiHidden/>
    <w:unhideWhenUsed/>
    <w:rsid w:val="00452D7D"/>
  </w:style>
  <w:style w:type="character" w:customStyle="1" w:styleId="PagrindinistekstasDiagrama">
    <w:name w:val="Pagrindinis tekstas Diagrama"/>
    <w:link w:val="Pagrindinistekstas"/>
    <w:uiPriority w:val="99"/>
    <w:semiHidden/>
    <w:rsid w:val="00452D7D"/>
    <w:rPr>
      <w:rFonts w:ascii="Arial" w:hAnsi="Arial" w:cs="Arial"/>
      <w:lang w:eastAsia="en-US"/>
    </w:rPr>
  </w:style>
  <w:style w:type="character" w:customStyle="1" w:styleId="AntratsDiagrama">
    <w:name w:val="Antraštės Diagrama"/>
    <w:link w:val="Antrats"/>
    <w:uiPriority w:val="99"/>
    <w:rsid w:val="005259A8"/>
    <w:rPr>
      <w:rFonts w:ascii="Arial" w:hAnsi="Arial" w:cs="Arial"/>
      <w:lang w:eastAsia="en-US"/>
    </w:rPr>
  </w:style>
  <w:style w:type="character" w:styleId="Emfaz">
    <w:name w:val="Emphasis"/>
    <w:qFormat/>
    <w:rsid w:val="008651E9"/>
    <w:rPr>
      <w:i/>
      <w:iCs/>
    </w:rPr>
  </w:style>
  <w:style w:type="paragraph" w:styleId="Puslapioinaostekstas">
    <w:name w:val="footnote text"/>
    <w:basedOn w:val="prastasis"/>
    <w:link w:val="PuslapioinaostekstasDiagrama"/>
    <w:uiPriority w:val="99"/>
    <w:unhideWhenUsed/>
    <w:rsid w:val="001170A2"/>
  </w:style>
  <w:style w:type="character" w:customStyle="1" w:styleId="PuslapioinaostekstasDiagrama">
    <w:name w:val="Puslapio išnašos tekstas Diagrama"/>
    <w:link w:val="Puslapioinaostekstas"/>
    <w:uiPriority w:val="99"/>
    <w:rsid w:val="001170A2"/>
    <w:rPr>
      <w:rFonts w:ascii="Arial" w:hAnsi="Arial" w:cs="Arial"/>
      <w:lang w:eastAsia="en-US"/>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unhideWhenUsed/>
    <w:qFormat/>
    <w:rsid w:val="001170A2"/>
    <w:rPr>
      <w:vertAlign w:val="superscript"/>
    </w:rPr>
  </w:style>
  <w:style w:type="paragraph" w:customStyle="1" w:styleId="TableParagraph">
    <w:name w:val="Table Paragraph"/>
    <w:basedOn w:val="prastasis"/>
    <w:uiPriority w:val="1"/>
    <w:qFormat/>
    <w:rsid w:val="00B61734"/>
    <w:pPr>
      <w:widowControl w:val="0"/>
    </w:pPr>
    <w:rPr>
      <w:rFonts w:ascii="Times New Roman" w:hAnsi="Times New Roman" w:cs="Times New Roman"/>
      <w:sz w:val="22"/>
      <w:szCs w:val="22"/>
      <w:lang w:val="en-US"/>
    </w:rPr>
  </w:style>
  <w:style w:type="character" w:styleId="Perirtashipersaitas">
    <w:name w:val="FollowedHyperlink"/>
    <w:semiHidden/>
    <w:unhideWhenUsed/>
    <w:rsid w:val="00A52566"/>
    <w:rPr>
      <w:color w:val="800080"/>
      <w:u w:val="single"/>
    </w:rPr>
  </w:style>
  <w:style w:type="table" w:customStyle="1" w:styleId="Lentelstinklelis1">
    <w:name w:val="Lentelės tinklelis1"/>
    <w:basedOn w:val="prastojilentel"/>
    <w:next w:val="Lentelstinklelis"/>
    <w:uiPriority w:val="59"/>
    <w:rsid w:val="003D0E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BB4E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prastasis"/>
    <w:rsid w:val="00B124F8"/>
    <w:pPr>
      <w:tabs>
        <w:tab w:val="left" w:pos="2160"/>
      </w:tabs>
      <w:spacing w:after="240"/>
      <w:ind w:left="1077"/>
      <w:jc w:val="both"/>
    </w:pPr>
    <w:rPr>
      <w:rFonts w:ascii="Times New Roman" w:hAnsi="Times New Roman" w:cs="Times New Roman"/>
      <w:sz w:val="24"/>
      <w:lang w:val="en-GB"/>
    </w:rPr>
  </w:style>
  <w:style w:type="character" w:customStyle="1" w:styleId="Antrat1Diagrama">
    <w:name w:val="Antraštė 1 Diagrama"/>
    <w:basedOn w:val="Numatytasispastraiposriftas"/>
    <w:link w:val="Antrat1"/>
    <w:uiPriority w:val="9"/>
    <w:rsid w:val="00C32E92"/>
    <w:rPr>
      <w:b/>
      <w:bCs/>
      <w:kern w:val="32"/>
      <w:sz w:val="24"/>
      <w:szCs w:val="32"/>
      <w:lang w:val="x-none" w:eastAsia="en-US"/>
    </w:rPr>
  </w:style>
  <w:style w:type="character" w:customStyle="1" w:styleId="Antrat2Diagrama">
    <w:name w:val="Antraštė 2 Diagrama"/>
    <w:basedOn w:val="Numatytasispastraiposriftas"/>
    <w:link w:val="Antrat2"/>
    <w:uiPriority w:val="9"/>
    <w:rsid w:val="00C32E92"/>
    <w:rPr>
      <w:b/>
      <w:bCs/>
      <w:iCs/>
      <w:sz w:val="24"/>
      <w:szCs w:val="28"/>
      <w:lang w:val="x-none" w:eastAsia="en-US"/>
    </w:rPr>
  </w:style>
  <w:style w:type="character" w:customStyle="1" w:styleId="Antrat3Diagrama">
    <w:name w:val="Antraštė 3 Diagrama"/>
    <w:basedOn w:val="Numatytasispastraiposriftas"/>
    <w:link w:val="Antrat3"/>
    <w:uiPriority w:val="9"/>
    <w:rsid w:val="00C32E92"/>
    <w:rPr>
      <w:b/>
      <w:bCs/>
      <w:sz w:val="24"/>
      <w:szCs w:val="26"/>
      <w:lang w:val="x-none" w:eastAsia="en-US"/>
    </w:rPr>
  </w:style>
  <w:style w:type="character" w:customStyle="1" w:styleId="Antrat4Diagrama">
    <w:name w:val="Antraštė 4 Diagrama"/>
    <w:basedOn w:val="Numatytasispastraiposriftas"/>
    <w:link w:val="Antrat4"/>
    <w:uiPriority w:val="9"/>
    <w:rsid w:val="00C32E92"/>
    <w:rPr>
      <w:b/>
      <w:bCs/>
      <w:sz w:val="24"/>
      <w:szCs w:val="28"/>
      <w:lang w:val="x-none" w:eastAsia="en-US"/>
    </w:rPr>
  </w:style>
  <w:style w:type="numbering" w:customStyle="1" w:styleId="Sraonra1">
    <w:name w:val="Sąrašo nėra1"/>
    <w:next w:val="Sraonra"/>
    <w:uiPriority w:val="99"/>
    <w:semiHidden/>
    <w:unhideWhenUsed/>
    <w:rsid w:val="00C32E92"/>
  </w:style>
  <w:style w:type="table" w:customStyle="1" w:styleId="Lentelstinklelis3">
    <w:name w:val="Lentelės tinklelis3"/>
    <w:basedOn w:val="prastojilentel"/>
    <w:next w:val="Lentelstinklelis"/>
    <w:uiPriority w:val="59"/>
    <w:rsid w:val="00C32E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prastasis"/>
    <w:rsid w:val="00C32E92"/>
    <w:pPr>
      <w:spacing w:after="160" w:line="240" w:lineRule="exact"/>
    </w:pPr>
    <w:rPr>
      <w:rFonts w:ascii="Tahoma" w:hAnsi="Tahoma" w:cs="Times New Roman"/>
      <w:lang w:val="en-US"/>
    </w:rPr>
  </w:style>
  <w:style w:type="character" w:customStyle="1" w:styleId="PoratDiagrama">
    <w:name w:val="Poraštė Diagrama"/>
    <w:link w:val="Porat"/>
    <w:uiPriority w:val="99"/>
    <w:rsid w:val="00C32E92"/>
    <w:rPr>
      <w:rFonts w:ascii="Arial" w:hAnsi="Arial" w:cs="Arial"/>
      <w:lang w:eastAsia="en-US"/>
    </w:rPr>
  </w:style>
  <w:style w:type="paragraph" w:styleId="Betarp">
    <w:name w:val="No Spacing"/>
    <w:uiPriority w:val="1"/>
    <w:qFormat/>
    <w:rsid w:val="00C32E92"/>
    <w:rPr>
      <w:rFonts w:ascii="Calibri" w:eastAsia="Calibri" w:hAnsi="Calibri"/>
      <w:sz w:val="22"/>
      <w:szCs w:val="22"/>
      <w:lang w:eastAsia="en-US"/>
    </w:rPr>
  </w:style>
  <w:style w:type="character" w:customStyle="1" w:styleId="apple-converted-space">
    <w:name w:val="apple-converted-space"/>
    <w:rsid w:val="00C32E92"/>
  </w:style>
  <w:style w:type="paragraph" w:styleId="Paprastasistekstas">
    <w:name w:val="Plain Text"/>
    <w:basedOn w:val="prastasis"/>
    <w:link w:val="PaprastasistekstasDiagrama"/>
    <w:uiPriority w:val="99"/>
    <w:unhideWhenUsed/>
    <w:rsid w:val="00C32E92"/>
    <w:rPr>
      <w:rFonts w:ascii="Calibri" w:eastAsia="Calibri" w:hAnsi="Calibri" w:cs="Times New Roman"/>
      <w:sz w:val="22"/>
      <w:szCs w:val="21"/>
      <w:lang w:eastAsia="x-none"/>
    </w:rPr>
  </w:style>
  <w:style w:type="character" w:customStyle="1" w:styleId="PaprastasistekstasDiagrama">
    <w:name w:val="Paprastasis tekstas Diagrama"/>
    <w:basedOn w:val="Numatytasispastraiposriftas"/>
    <w:link w:val="Paprastasistekstas"/>
    <w:uiPriority w:val="99"/>
    <w:rsid w:val="00C32E92"/>
    <w:rPr>
      <w:rFonts w:ascii="Calibri" w:eastAsia="Calibri" w:hAnsi="Calibri"/>
      <w:sz w:val="22"/>
      <w:szCs w:val="21"/>
      <w:lang w:eastAsia="x-none"/>
    </w:rPr>
  </w:style>
  <w:style w:type="paragraph" w:styleId="Turinioantrat">
    <w:name w:val="TOC Heading"/>
    <w:basedOn w:val="Antrat1"/>
    <w:next w:val="prastasis"/>
    <w:uiPriority w:val="39"/>
    <w:semiHidden/>
    <w:unhideWhenUsed/>
    <w:qFormat/>
    <w:rsid w:val="00C32E92"/>
    <w:pPr>
      <w:keepLines/>
      <w:spacing w:before="480" w:line="276" w:lineRule="auto"/>
      <w:outlineLvl w:val="9"/>
    </w:pPr>
    <w:rPr>
      <w:rFonts w:ascii="Cambria" w:hAnsi="Cambria"/>
      <w:color w:val="365F91"/>
      <w:kern w:val="0"/>
      <w:sz w:val="28"/>
      <w:szCs w:val="28"/>
      <w:lang w:eastAsia="lt-LT"/>
    </w:rPr>
  </w:style>
  <w:style w:type="paragraph" w:styleId="Turinys1">
    <w:name w:val="toc 1"/>
    <w:basedOn w:val="prastasis"/>
    <w:next w:val="prastasis"/>
    <w:autoRedefine/>
    <w:uiPriority w:val="39"/>
    <w:unhideWhenUsed/>
    <w:rsid w:val="00C32E92"/>
    <w:pPr>
      <w:tabs>
        <w:tab w:val="right" w:leader="dot" w:pos="9628"/>
      </w:tabs>
      <w:spacing w:after="120"/>
      <w:jc w:val="both"/>
    </w:pPr>
    <w:rPr>
      <w:rFonts w:ascii="Times New Roman" w:eastAsia="Calibri" w:hAnsi="Times New Roman" w:cs="Times New Roman"/>
      <w:sz w:val="28"/>
      <w:szCs w:val="28"/>
    </w:rPr>
  </w:style>
  <w:style w:type="paragraph" w:styleId="Turinys2">
    <w:name w:val="toc 2"/>
    <w:basedOn w:val="prastasis"/>
    <w:next w:val="prastasis"/>
    <w:autoRedefine/>
    <w:uiPriority w:val="39"/>
    <w:unhideWhenUsed/>
    <w:rsid w:val="00C32E92"/>
    <w:pPr>
      <w:spacing w:after="200" w:line="276" w:lineRule="auto"/>
      <w:ind w:left="220"/>
    </w:pPr>
    <w:rPr>
      <w:rFonts w:ascii="Calibri" w:eastAsia="Calibri" w:hAnsi="Calibri" w:cs="Times New Roman"/>
      <w:sz w:val="22"/>
      <w:szCs w:val="22"/>
    </w:rPr>
  </w:style>
  <w:style w:type="paragraph" w:styleId="Turinys3">
    <w:name w:val="toc 3"/>
    <w:basedOn w:val="prastasis"/>
    <w:next w:val="prastasis"/>
    <w:autoRedefine/>
    <w:uiPriority w:val="39"/>
    <w:unhideWhenUsed/>
    <w:rsid w:val="00C32E92"/>
    <w:pPr>
      <w:spacing w:after="200" w:line="276" w:lineRule="auto"/>
      <w:ind w:left="440"/>
    </w:pPr>
    <w:rPr>
      <w:rFonts w:ascii="Calibri" w:eastAsia="Calibri" w:hAnsi="Calibri" w:cs="Times New Roman"/>
      <w:sz w:val="22"/>
      <w:szCs w:val="22"/>
    </w:rPr>
  </w:style>
  <w:style w:type="paragraph" w:customStyle="1" w:styleId="Point0number">
    <w:name w:val="Point 0 (number)"/>
    <w:basedOn w:val="prastasis"/>
    <w:rsid w:val="00C32E92"/>
    <w:pPr>
      <w:numPr>
        <w:numId w:val="1"/>
      </w:numPr>
      <w:spacing w:before="120" w:after="120"/>
      <w:jc w:val="both"/>
    </w:pPr>
    <w:rPr>
      <w:rFonts w:ascii="Times New Roman" w:hAnsi="Times New Roman" w:cs="Times New Roman"/>
      <w:sz w:val="24"/>
      <w:szCs w:val="24"/>
    </w:rPr>
  </w:style>
  <w:style w:type="paragraph" w:customStyle="1" w:styleId="Point1number">
    <w:name w:val="Point 1 (number)"/>
    <w:basedOn w:val="prastasis"/>
    <w:rsid w:val="00C32E92"/>
    <w:pPr>
      <w:numPr>
        <w:ilvl w:val="2"/>
        <w:numId w:val="1"/>
      </w:numPr>
      <w:spacing w:before="120" w:after="120"/>
      <w:jc w:val="both"/>
    </w:pPr>
    <w:rPr>
      <w:rFonts w:ascii="Times New Roman" w:hAnsi="Times New Roman" w:cs="Times New Roman"/>
      <w:sz w:val="24"/>
      <w:szCs w:val="24"/>
    </w:rPr>
  </w:style>
  <w:style w:type="paragraph" w:customStyle="1" w:styleId="Point2number">
    <w:name w:val="Point 2 (number)"/>
    <w:basedOn w:val="prastasis"/>
    <w:rsid w:val="00C32E92"/>
    <w:pPr>
      <w:numPr>
        <w:ilvl w:val="4"/>
        <w:numId w:val="1"/>
      </w:numPr>
      <w:spacing w:before="120" w:after="120"/>
      <w:jc w:val="both"/>
    </w:pPr>
    <w:rPr>
      <w:rFonts w:ascii="Times New Roman" w:hAnsi="Times New Roman" w:cs="Times New Roman"/>
      <w:sz w:val="24"/>
      <w:szCs w:val="24"/>
    </w:rPr>
  </w:style>
  <w:style w:type="paragraph" w:customStyle="1" w:styleId="Point3number">
    <w:name w:val="Point 3 (number)"/>
    <w:basedOn w:val="prastasis"/>
    <w:rsid w:val="00C32E92"/>
    <w:pPr>
      <w:numPr>
        <w:ilvl w:val="6"/>
        <w:numId w:val="1"/>
      </w:numPr>
      <w:spacing w:before="120" w:after="120"/>
      <w:jc w:val="both"/>
    </w:pPr>
    <w:rPr>
      <w:rFonts w:ascii="Times New Roman" w:hAnsi="Times New Roman" w:cs="Times New Roman"/>
      <w:sz w:val="24"/>
      <w:szCs w:val="24"/>
    </w:rPr>
  </w:style>
  <w:style w:type="paragraph" w:customStyle="1" w:styleId="Point0letter">
    <w:name w:val="Point 0 (letter)"/>
    <w:basedOn w:val="prastasis"/>
    <w:rsid w:val="00C32E92"/>
    <w:pPr>
      <w:numPr>
        <w:ilvl w:val="1"/>
        <w:numId w:val="1"/>
      </w:numPr>
      <w:spacing w:before="120" w:after="120"/>
      <w:jc w:val="both"/>
    </w:pPr>
    <w:rPr>
      <w:rFonts w:ascii="Times New Roman" w:hAnsi="Times New Roman" w:cs="Times New Roman"/>
      <w:sz w:val="24"/>
      <w:szCs w:val="24"/>
    </w:rPr>
  </w:style>
  <w:style w:type="paragraph" w:customStyle="1" w:styleId="Point1letter">
    <w:name w:val="Point 1 (letter)"/>
    <w:basedOn w:val="prastasis"/>
    <w:rsid w:val="00C32E92"/>
    <w:pPr>
      <w:numPr>
        <w:ilvl w:val="3"/>
        <w:numId w:val="1"/>
      </w:numPr>
      <w:spacing w:before="120" w:after="120"/>
      <w:jc w:val="both"/>
    </w:pPr>
    <w:rPr>
      <w:rFonts w:ascii="Times New Roman" w:hAnsi="Times New Roman" w:cs="Times New Roman"/>
      <w:sz w:val="24"/>
      <w:szCs w:val="24"/>
    </w:rPr>
  </w:style>
  <w:style w:type="paragraph" w:customStyle="1" w:styleId="Point2letter">
    <w:name w:val="Point 2 (letter)"/>
    <w:basedOn w:val="prastasis"/>
    <w:rsid w:val="00C32E92"/>
    <w:pPr>
      <w:numPr>
        <w:ilvl w:val="5"/>
        <w:numId w:val="1"/>
      </w:numPr>
      <w:spacing w:before="120" w:after="120"/>
      <w:jc w:val="both"/>
    </w:pPr>
    <w:rPr>
      <w:rFonts w:ascii="Times New Roman" w:hAnsi="Times New Roman" w:cs="Times New Roman"/>
      <w:sz w:val="24"/>
      <w:szCs w:val="24"/>
    </w:rPr>
  </w:style>
  <w:style w:type="paragraph" w:customStyle="1" w:styleId="Point3letter">
    <w:name w:val="Point 3 (letter)"/>
    <w:basedOn w:val="prastasis"/>
    <w:rsid w:val="00C32E92"/>
    <w:pPr>
      <w:numPr>
        <w:ilvl w:val="7"/>
        <w:numId w:val="1"/>
      </w:numPr>
      <w:spacing w:before="120" w:after="120"/>
      <w:jc w:val="both"/>
    </w:pPr>
    <w:rPr>
      <w:rFonts w:ascii="Times New Roman" w:hAnsi="Times New Roman" w:cs="Times New Roman"/>
      <w:sz w:val="24"/>
      <w:szCs w:val="24"/>
    </w:rPr>
  </w:style>
  <w:style w:type="paragraph" w:customStyle="1" w:styleId="Point4letter">
    <w:name w:val="Point 4 (letter)"/>
    <w:basedOn w:val="prastasis"/>
    <w:rsid w:val="00C32E92"/>
    <w:pPr>
      <w:numPr>
        <w:ilvl w:val="8"/>
        <w:numId w:val="1"/>
      </w:numPr>
      <w:spacing w:before="120" w:after="120"/>
      <w:jc w:val="both"/>
    </w:pPr>
    <w:rPr>
      <w:rFonts w:ascii="Times New Roman" w:hAnsi="Times New Roman" w:cs="Times New Roman"/>
      <w:sz w:val="24"/>
      <w:szCs w:val="24"/>
    </w:rPr>
  </w:style>
  <w:style w:type="paragraph" w:customStyle="1" w:styleId="Considrant">
    <w:name w:val="Considérant"/>
    <w:basedOn w:val="prastasis"/>
    <w:uiPriority w:val="99"/>
    <w:rsid w:val="00C32E92"/>
    <w:pPr>
      <w:numPr>
        <w:numId w:val="2"/>
      </w:numPr>
      <w:spacing w:before="120" w:after="120"/>
      <w:jc w:val="both"/>
    </w:pPr>
    <w:rPr>
      <w:rFonts w:ascii="Times New Roman" w:eastAsia="Calibri" w:hAnsi="Times New Roman" w:cs="Times New Roman"/>
      <w:sz w:val="24"/>
      <w:szCs w:val="24"/>
      <w:lang w:eastAsia="en-GB"/>
    </w:rPr>
  </w:style>
  <w:style w:type="paragraph" w:customStyle="1" w:styleId="Hipersaitas1">
    <w:name w:val="Hipersaitas1"/>
    <w:basedOn w:val="prastasis"/>
    <w:rsid w:val="00C32E92"/>
    <w:pPr>
      <w:spacing w:before="100" w:beforeAutospacing="1" w:after="100" w:afterAutospacing="1"/>
    </w:pPr>
    <w:rPr>
      <w:rFonts w:ascii="Times New Roman" w:hAnsi="Times New Roman" w:cs="Times New Roman"/>
      <w:sz w:val="24"/>
      <w:szCs w:val="24"/>
      <w:lang w:eastAsia="lt-LT"/>
    </w:rPr>
  </w:style>
  <w:style w:type="character" w:customStyle="1" w:styleId="st">
    <w:name w:val="st"/>
    <w:rsid w:val="00C32E92"/>
  </w:style>
  <w:style w:type="paragraph" w:customStyle="1" w:styleId="ListParagraph1">
    <w:name w:val="List Paragraph1"/>
    <w:basedOn w:val="prastasis"/>
    <w:uiPriority w:val="34"/>
    <w:qFormat/>
    <w:rsid w:val="00C32E92"/>
    <w:pPr>
      <w:spacing w:after="200" w:line="276" w:lineRule="auto"/>
      <w:ind w:left="720"/>
      <w:contextualSpacing/>
    </w:pPr>
    <w:rPr>
      <w:rFonts w:ascii="Calibri" w:eastAsia="Calibri" w:hAnsi="Calibri" w:cs="Times New Roman"/>
      <w:sz w:val="22"/>
      <w:szCs w:val="22"/>
      <w:lang w:val="en-GB"/>
    </w:rPr>
  </w:style>
  <w:style w:type="paragraph" w:customStyle="1" w:styleId="NoSpacing1">
    <w:name w:val="No Spacing1"/>
    <w:uiPriority w:val="1"/>
    <w:qFormat/>
    <w:rsid w:val="00C32E92"/>
    <w:rPr>
      <w:rFonts w:ascii="Calibri" w:eastAsia="Calibri" w:hAnsi="Calibri"/>
      <w:sz w:val="22"/>
      <w:szCs w:val="22"/>
      <w:lang w:eastAsia="en-US"/>
    </w:rPr>
  </w:style>
  <w:style w:type="paragraph" w:customStyle="1" w:styleId="Revision1">
    <w:name w:val="Revision1"/>
    <w:hidden/>
    <w:uiPriority w:val="99"/>
    <w:semiHidden/>
    <w:rsid w:val="00C32E92"/>
    <w:rPr>
      <w:rFonts w:ascii="Calibri" w:eastAsia="Calibri" w:hAnsi="Calibri"/>
      <w:sz w:val="22"/>
      <w:szCs w:val="22"/>
      <w:lang w:eastAsia="en-US"/>
    </w:rPr>
  </w:style>
  <w:style w:type="paragraph" w:customStyle="1" w:styleId="ListParagraph3">
    <w:name w:val="List Paragraph3"/>
    <w:basedOn w:val="prastasis"/>
    <w:uiPriority w:val="34"/>
    <w:qFormat/>
    <w:rsid w:val="00C32E92"/>
    <w:pPr>
      <w:spacing w:after="200" w:line="276" w:lineRule="auto"/>
      <w:ind w:left="720"/>
      <w:contextualSpacing/>
    </w:pPr>
    <w:rPr>
      <w:rFonts w:ascii="Calibri" w:eastAsia="Calibri" w:hAnsi="Calibri" w:cs="Times New Roman"/>
      <w:sz w:val="22"/>
      <w:szCs w:val="22"/>
      <w:lang w:val="en-GB"/>
    </w:rPr>
  </w:style>
  <w:style w:type="paragraph" w:customStyle="1" w:styleId="ListParagraph2">
    <w:name w:val="List Paragraph2"/>
    <w:basedOn w:val="prastasis"/>
    <w:uiPriority w:val="34"/>
    <w:qFormat/>
    <w:rsid w:val="00C32E92"/>
    <w:pPr>
      <w:spacing w:after="200" w:line="276" w:lineRule="auto"/>
      <w:ind w:left="720"/>
      <w:contextualSpacing/>
    </w:pPr>
    <w:rPr>
      <w:rFonts w:ascii="Calibri" w:eastAsia="Calibri" w:hAnsi="Calibri" w:cs="Times New Roman"/>
      <w:sz w:val="22"/>
      <w:szCs w:val="22"/>
      <w:lang w:val="en-GB"/>
    </w:rPr>
  </w:style>
  <w:style w:type="numbering" w:customStyle="1" w:styleId="Sraonra11">
    <w:name w:val="Sąrašo nėra11"/>
    <w:next w:val="Sraonra"/>
    <w:uiPriority w:val="99"/>
    <w:semiHidden/>
    <w:unhideWhenUsed/>
    <w:rsid w:val="00C32E92"/>
  </w:style>
  <w:style w:type="table" w:customStyle="1" w:styleId="Lentelstinklelis11">
    <w:name w:val="Lentelės tinklelis11"/>
    <w:basedOn w:val="prastojilentel"/>
    <w:next w:val="Lentelstinklelis"/>
    <w:uiPriority w:val="59"/>
    <w:rsid w:val="00C32E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12ptJustifiedFirstline1cm">
    <w:name w:val="Style Times New Roman 12 pt Justified First line:  1 cm"/>
    <w:basedOn w:val="prastasis"/>
    <w:rsid w:val="00C32E92"/>
    <w:pPr>
      <w:widowControl w:val="0"/>
      <w:autoSpaceDE w:val="0"/>
      <w:autoSpaceDN w:val="0"/>
      <w:adjustRightInd w:val="0"/>
      <w:ind w:firstLine="851"/>
      <w:jc w:val="both"/>
    </w:pPr>
    <w:rPr>
      <w:rFonts w:ascii="Times New Roman" w:hAnsi="Times New Roman" w:cs="Times New Roman"/>
      <w:sz w:val="24"/>
      <w:lang w:eastAsia="lt-LT"/>
    </w:rPr>
  </w:style>
  <w:style w:type="paragraph" w:customStyle="1" w:styleId="DiagramaDiagramaCharCharDiagramaCharCharDiagrama1CharCharDiagrama">
    <w:name w:val="Diagrama Diagrama Char Char Diagrama Char Char Diagrama1 Char Char Diagrama"/>
    <w:basedOn w:val="prastasis"/>
    <w:rsid w:val="00C32E92"/>
    <w:pPr>
      <w:spacing w:after="160" w:line="240" w:lineRule="exact"/>
    </w:pPr>
    <w:rPr>
      <w:rFonts w:ascii="Tahoma" w:hAnsi="Tahom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63587">
      <w:bodyDiv w:val="1"/>
      <w:marLeft w:val="0"/>
      <w:marRight w:val="0"/>
      <w:marTop w:val="0"/>
      <w:marBottom w:val="0"/>
      <w:divBdr>
        <w:top w:val="none" w:sz="0" w:space="0" w:color="auto"/>
        <w:left w:val="none" w:sz="0" w:space="0" w:color="auto"/>
        <w:bottom w:val="none" w:sz="0" w:space="0" w:color="auto"/>
        <w:right w:val="none" w:sz="0" w:space="0" w:color="auto"/>
      </w:divBdr>
    </w:div>
    <w:div w:id="622880541">
      <w:bodyDiv w:val="1"/>
      <w:marLeft w:val="0"/>
      <w:marRight w:val="0"/>
      <w:marTop w:val="0"/>
      <w:marBottom w:val="0"/>
      <w:divBdr>
        <w:top w:val="none" w:sz="0" w:space="0" w:color="auto"/>
        <w:left w:val="none" w:sz="0" w:space="0" w:color="auto"/>
        <w:bottom w:val="none" w:sz="0" w:space="0" w:color="auto"/>
        <w:right w:val="none" w:sz="0" w:space="0" w:color="auto"/>
      </w:divBdr>
    </w:div>
    <w:div w:id="684939507">
      <w:bodyDiv w:val="1"/>
      <w:marLeft w:val="0"/>
      <w:marRight w:val="0"/>
      <w:marTop w:val="0"/>
      <w:marBottom w:val="0"/>
      <w:divBdr>
        <w:top w:val="none" w:sz="0" w:space="0" w:color="auto"/>
        <w:left w:val="none" w:sz="0" w:space="0" w:color="auto"/>
        <w:bottom w:val="none" w:sz="0" w:space="0" w:color="auto"/>
        <w:right w:val="none" w:sz="0" w:space="0" w:color="auto"/>
      </w:divBdr>
    </w:div>
    <w:div w:id="696345849">
      <w:bodyDiv w:val="1"/>
      <w:marLeft w:val="0"/>
      <w:marRight w:val="0"/>
      <w:marTop w:val="0"/>
      <w:marBottom w:val="0"/>
      <w:divBdr>
        <w:top w:val="none" w:sz="0" w:space="0" w:color="auto"/>
        <w:left w:val="none" w:sz="0" w:space="0" w:color="auto"/>
        <w:bottom w:val="none" w:sz="0" w:space="0" w:color="auto"/>
        <w:right w:val="none" w:sz="0" w:space="0" w:color="auto"/>
      </w:divBdr>
      <w:divsChild>
        <w:div w:id="958297069">
          <w:marLeft w:val="0"/>
          <w:marRight w:val="0"/>
          <w:marTop w:val="0"/>
          <w:marBottom w:val="0"/>
          <w:divBdr>
            <w:top w:val="none" w:sz="0" w:space="0" w:color="auto"/>
            <w:left w:val="none" w:sz="0" w:space="0" w:color="auto"/>
            <w:bottom w:val="none" w:sz="0" w:space="0" w:color="auto"/>
            <w:right w:val="none" w:sz="0" w:space="0" w:color="auto"/>
          </w:divBdr>
        </w:div>
        <w:div w:id="1785421922">
          <w:marLeft w:val="0"/>
          <w:marRight w:val="0"/>
          <w:marTop w:val="0"/>
          <w:marBottom w:val="0"/>
          <w:divBdr>
            <w:top w:val="none" w:sz="0" w:space="0" w:color="auto"/>
            <w:left w:val="none" w:sz="0" w:space="0" w:color="auto"/>
            <w:bottom w:val="none" w:sz="0" w:space="0" w:color="auto"/>
            <w:right w:val="none" w:sz="0" w:space="0" w:color="auto"/>
          </w:divBdr>
        </w:div>
      </w:divsChild>
    </w:div>
    <w:div w:id="699859995">
      <w:bodyDiv w:val="1"/>
      <w:marLeft w:val="0"/>
      <w:marRight w:val="0"/>
      <w:marTop w:val="0"/>
      <w:marBottom w:val="0"/>
      <w:divBdr>
        <w:top w:val="none" w:sz="0" w:space="0" w:color="auto"/>
        <w:left w:val="none" w:sz="0" w:space="0" w:color="auto"/>
        <w:bottom w:val="none" w:sz="0" w:space="0" w:color="auto"/>
        <w:right w:val="none" w:sz="0" w:space="0" w:color="auto"/>
      </w:divBdr>
    </w:div>
    <w:div w:id="702365903">
      <w:bodyDiv w:val="1"/>
      <w:marLeft w:val="0"/>
      <w:marRight w:val="0"/>
      <w:marTop w:val="0"/>
      <w:marBottom w:val="0"/>
      <w:divBdr>
        <w:top w:val="none" w:sz="0" w:space="0" w:color="auto"/>
        <w:left w:val="none" w:sz="0" w:space="0" w:color="auto"/>
        <w:bottom w:val="none" w:sz="0" w:space="0" w:color="auto"/>
        <w:right w:val="none" w:sz="0" w:space="0" w:color="auto"/>
      </w:divBdr>
    </w:div>
    <w:div w:id="754088663">
      <w:bodyDiv w:val="1"/>
      <w:marLeft w:val="0"/>
      <w:marRight w:val="0"/>
      <w:marTop w:val="0"/>
      <w:marBottom w:val="0"/>
      <w:divBdr>
        <w:top w:val="none" w:sz="0" w:space="0" w:color="auto"/>
        <w:left w:val="none" w:sz="0" w:space="0" w:color="auto"/>
        <w:bottom w:val="none" w:sz="0" w:space="0" w:color="auto"/>
        <w:right w:val="none" w:sz="0" w:space="0" w:color="auto"/>
      </w:divBdr>
    </w:div>
    <w:div w:id="1318417613">
      <w:bodyDiv w:val="1"/>
      <w:marLeft w:val="0"/>
      <w:marRight w:val="0"/>
      <w:marTop w:val="0"/>
      <w:marBottom w:val="0"/>
      <w:divBdr>
        <w:top w:val="none" w:sz="0" w:space="0" w:color="auto"/>
        <w:left w:val="none" w:sz="0" w:space="0" w:color="auto"/>
        <w:bottom w:val="none" w:sz="0" w:space="0" w:color="auto"/>
        <w:right w:val="none" w:sz="0" w:space="0" w:color="auto"/>
      </w:divBdr>
    </w:div>
    <w:div w:id="1675495279">
      <w:bodyDiv w:val="1"/>
      <w:marLeft w:val="0"/>
      <w:marRight w:val="0"/>
      <w:marTop w:val="0"/>
      <w:marBottom w:val="0"/>
      <w:divBdr>
        <w:top w:val="none" w:sz="0" w:space="0" w:color="auto"/>
        <w:left w:val="none" w:sz="0" w:space="0" w:color="auto"/>
        <w:bottom w:val="none" w:sz="0" w:space="0" w:color="auto"/>
        <w:right w:val="none" w:sz="0" w:space="0" w:color="auto"/>
      </w:divBdr>
    </w:div>
    <w:div w:id="1778137070">
      <w:bodyDiv w:val="1"/>
      <w:marLeft w:val="0"/>
      <w:marRight w:val="0"/>
      <w:marTop w:val="0"/>
      <w:marBottom w:val="0"/>
      <w:divBdr>
        <w:top w:val="none" w:sz="0" w:space="0" w:color="auto"/>
        <w:left w:val="none" w:sz="0" w:space="0" w:color="auto"/>
        <w:bottom w:val="none" w:sz="0" w:space="0" w:color="auto"/>
        <w:right w:val="none" w:sz="0" w:space="0" w:color="auto"/>
      </w:divBdr>
    </w:div>
    <w:div w:id="1783185718">
      <w:bodyDiv w:val="1"/>
      <w:marLeft w:val="0"/>
      <w:marRight w:val="0"/>
      <w:marTop w:val="0"/>
      <w:marBottom w:val="0"/>
      <w:divBdr>
        <w:top w:val="none" w:sz="0" w:space="0" w:color="auto"/>
        <w:left w:val="none" w:sz="0" w:space="0" w:color="auto"/>
        <w:bottom w:val="none" w:sz="0" w:space="0" w:color="auto"/>
        <w:right w:val="none" w:sz="0" w:space="0" w:color="auto"/>
      </w:divBdr>
    </w:div>
    <w:div w:id="1828940966">
      <w:bodyDiv w:val="1"/>
      <w:marLeft w:val="0"/>
      <w:marRight w:val="0"/>
      <w:marTop w:val="0"/>
      <w:marBottom w:val="0"/>
      <w:divBdr>
        <w:top w:val="none" w:sz="0" w:space="0" w:color="auto"/>
        <w:left w:val="none" w:sz="0" w:space="0" w:color="auto"/>
        <w:bottom w:val="none" w:sz="0" w:space="0" w:color="auto"/>
        <w:right w:val="none" w:sz="0" w:space="0" w:color="auto"/>
      </w:divBdr>
      <w:divsChild>
        <w:div w:id="1584558815">
          <w:marLeft w:val="0"/>
          <w:marRight w:val="0"/>
          <w:marTop w:val="0"/>
          <w:marBottom w:val="0"/>
          <w:divBdr>
            <w:top w:val="none" w:sz="0" w:space="0" w:color="auto"/>
            <w:left w:val="none" w:sz="0" w:space="0" w:color="auto"/>
            <w:bottom w:val="none" w:sz="0" w:space="0" w:color="auto"/>
            <w:right w:val="none" w:sz="0" w:space="0" w:color="auto"/>
          </w:divBdr>
        </w:div>
      </w:divsChild>
    </w:div>
    <w:div w:id="1843206321">
      <w:bodyDiv w:val="1"/>
      <w:marLeft w:val="0"/>
      <w:marRight w:val="0"/>
      <w:marTop w:val="0"/>
      <w:marBottom w:val="0"/>
      <w:divBdr>
        <w:top w:val="none" w:sz="0" w:space="0" w:color="auto"/>
        <w:left w:val="none" w:sz="0" w:space="0" w:color="auto"/>
        <w:bottom w:val="none" w:sz="0" w:space="0" w:color="auto"/>
        <w:right w:val="none" w:sz="0" w:space="0" w:color="auto"/>
      </w:divBdr>
    </w:div>
    <w:div w:id="1851141956">
      <w:bodyDiv w:val="1"/>
      <w:marLeft w:val="0"/>
      <w:marRight w:val="0"/>
      <w:marTop w:val="0"/>
      <w:marBottom w:val="0"/>
      <w:divBdr>
        <w:top w:val="none" w:sz="0" w:space="0" w:color="auto"/>
        <w:left w:val="none" w:sz="0" w:space="0" w:color="auto"/>
        <w:bottom w:val="none" w:sz="0" w:space="0" w:color="auto"/>
        <w:right w:val="none" w:sz="0" w:space="0" w:color="auto"/>
      </w:divBdr>
      <w:divsChild>
        <w:div w:id="180434427">
          <w:marLeft w:val="0"/>
          <w:marRight w:val="0"/>
          <w:marTop w:val="0"/>
          <w:marBottom w:val="0"/>
          <w:divBdr>
            <w:top w:val="none" w:sz="0" w:space="0" w:color="auto"/>
            <w:left w:val="none" w:sz="0" w:space="0" w:color="auto"/>
            <w:bottom w:val="none" w:sz="0" w:space="0" w:color="auto"/>
            <w:right w:val="none" w:sz="0" w:space="0" w:color="auto"/>
          </w:divBdr>
        </w:div>
        <w:div w:id="266475287">
          <w:marLeft w:val="0"/>
          <w:marRight w:val="0"/>
          <w:marTop w:val="0"/>
          <w:marBottom w:val="0"/>
          <w:divBdr>
            <w:top w:val="none" w:sz="0" w:space="0" w:color="auto"/>
            <w:left w:val="none" w:sz="0" w:space="0" w:color="auto"/>
            <w:bottom w:val="none" w:sz="0" w:space="0" w:color="auto"/>
            <w:right w:val="none" w:sz="0" w:space="0" w:color="auto"/>
          </w:divBdr>
        </w:div>
        <w:div w:id="867524427">
          <w:marLeft w:val="0"/>
          <w:marRight w:val="0"/>
          <w:marTop w:val="0"/>
          <w:marBottom w:val="0"/>
          <w:divBdr>
            <w:top w:val="none" w:sz="0" w:space="0" w:color="auto"/>
            <w:left w:val="none" w:sz="0" w:space="0" w:color="auto"/>
            <w:bottom w:val="none" w:sz="0" w:space="0" w:color="auto"/>
            <w:right w:val="none" w:sz="0" w:space="0" w:color="auto"/>
          </w:divBdr>
        </w:div>
        <w:div w:id="1306593202">
          <w:marLeft w:val="0"/>
          <w:marRight w:val="0"/>
          <w:marTop w:val="0"/>
          <w:marBottom w:val="0"/>
          <w:divBdr>
            <w:top w:val="none" w:sz="0" w:space="0" w:color="auto"/>
            <w:left w:val="none" w:sz="0" w:space="0" w:color="auto"/>
            <w:bottom w:val="none" w:sz="0" w:space="0" w:color="auto"/>
            <w:right w:val="none" w:sz="0" w:space="0" w:color="auto"/>
          </w:divBdr>
        </w:div>
        <w:div w:id="1523282241">
          <w:marLeft w:val="0"/>
          <w:marRight w:val="0"/>
          <w:marTop w:val="0"/>
          <w:marBottom w:val="0"/>
          <w:divBdr>
            <w:top w:val="none" w:sz="0" w:space="0" w:color="auto"/>
            <w:left w:val="none" w:sz="0" w:space="0" w:color="auto"/>
            <w:bottom w:val="none" w:sz="0" w:space="0" w:color="auto"/>
            <w:right w:val="none" w:sz="0" w:space="0" w:color="auto"/>
          </w:divBdr>
        </w:div>
        <w:div w:id="1575165944">
          <w:marLeft w:val="0"/>
          <w:marRight w:val="0"/>
          <w:marTop w:val="0"/>
          <w:marBottom w:val="0"/>
          <w:divBdr>
            <w:top w:val="none" w:sz="0" w:space="0" w:color="auto"/>
            <w:left w:val="none" w:sz="0" w:space="0" w:color="auto"/>
            <w:bottom w:val="none" w:sz="0" w:space="0" w:color="auto"/>
            <w:right w:val="none" w:sz="0" w:space="0" w:color="auto"/>
          </w:divBdr>
        </w:div>
        <w:div w:id="1717392912">
          <w:marLeft w:val="0"/>
          <w:marRight w:val="0"/>
          <w:marTop w:val="0"/>
          <w:marBottom w:val="0"/>
          <w:divBdr>
            <w:top w:val="none" w:sz="0" w:space="0" w:color="auto"/>
            <w:left w:val="none" w:sz="0" w:space="0" w:color="auto"/>
            <w:bottom w:val="none" w:sz="0" w:space="0" w:color="auto"/>
            <w:right w:val="none" w:sz="0" w:space="0" w:color="auto"/>
          </w:divBdr>
        </w:div>
        <w:div w:id="1864711406">
          <w:marLeft w:val="0"/>
          <w:marRight w:val="0"/>
          <w:marTop w:val="0"/>
          <w:marBottom w:val="0"/>
          <w:divBdr>
            <w:top w:val="none" w:sz="0" w:space="0" w:color="auto"/>
            <w:left w:val="none" w:sz="0" w:space="0" w:color="auto"/>
            <w:bottom w:val="none" w:sz="0" w:space="0" w:color="auto"/>
            <w:right w:val="none" w:sz="0" w:space="0" w:color="auto"/>
          </w:divBdr>
        </w:div>
      </w:divsChild>
    </w:div>
    <w:div w:id="2042630636">
      <w:bodyDiv w:val="1"/>
      <w:marLeft w:val="0"/>
      <w:marRight w:val="0"/>
      <w:marTop w:val="0"/>
      <w:marBottom w:val="0"/>
      <w:divBdr>
        <w:top w:val="none" w:sz="0" w:space="0" w:color="auto"/>
        <w:left w:val="none" w:sz="0" w:space="0" w:color="auto"/>
        <w:bottom w:val="none" w:sz="0" w:space="0" w:color="auto"/>
        <w:right w:val="none" w:sz="0" w:space="0" w:color="auto"/>
      </w:divBdr>
    </w:div>
    <w:div w:id="2110925039">
      <w:bodyDiv w:val="1"/>
      <w:marLeft w:val="0"/>
      <w:marRight w:val="0"/>
      <w:marTop w:val="0"/>
      <w:marBottom w:val="0"/>
      <w:divBdr>
        <w:top w:val="none" w:sz="0" w:space="0" w:color="auto"/>
        <w:left w:val="none" w:sz="0" w:space="0" w:color="auto"/>
        <w:bottom w:val="none" w:sz="0" w:space="0" w:color="auto"/>
        <w:right w:val="none" w:sz="0" w:space="0" w:color="auto"/>
      </w:divBdr>
    </w:div>
    <w:div w:id="214584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61B51-DDAE-46BB-9D89-61D6A6F9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51</Pages>
  <Words>16809</Words>
  <Characters>123820</Characters>
  <Application>Microsoft Office Word</Application>
  <DocSecurity>0</DocSecurity>
  <Lines>1031</Lines>
  <Paragraphs>280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2014-2020 m. Europos Sąjungos struktūrinių fondų investicijų veiksmų programos administravimo taisyklių įgyvendinimo (Dėl 2014–2020 m. Europos Sąjungos fondų investicijų veiksmų programos administravimo taisyklių įgyvendinimo)</vt:lpstr>
      <vt:lpstr>Dėl 2014-2020 m. Europos Sąjungos struktūrinių fondų investicijų veiksmų programos administravimo taisyklių įgyvendinimo (Dėl 2014–2020 m. Europos Sąjungos fondų investicijų veiksmų programos administravimo taisyklių įgyvendinimo)</vt:lpstr>
    </vt:vector>
  </TitlesOfParts>
  <Company>Infolex</Company>
  <LinksUpToDate>false</LinksUpToDate>
  <CharactersWithSpaces>140349</CharactersWithSpaces>
  <SharedDoc>false</SharedDoc>
  <HLinks>
    <vt:vector size="6" baseType="variant">
      <vt:variant>
        <vt:i4>8192019</vt:i4>
      </vt:variant>
      <vt:variant>
        <vt:i4>0</vt:i4>
      </vt:variant>
      <vt:variant>
        <vt:i4>0</vt:i4>
      </vt:variant>
      <vt:variant>
        <vt:i4>5</vt:i4>
      </vt:variant>
      <vt:variant>
        <vt:lpwstr>C:\Users\I-5\AppData\Local\Microsoft\Windows\Temporary Internet Files\Content.Outlook\AppData\Local\Temp\notes21D1AE\~1135434.xlsx</vt:lpwstr>
      </vt:variant>
      <vt:variant>
        <vt:lpwstr>RANGE!B35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2014-2020 m. Europos Sąjungos struktūrinių fondų investicijų veiksmų programos administravimo taisyklių įgyvendinimo (Dėl 2014–2020 m. Europos Sąjungos fondų investicijų veiksmų programos administravimo taisyklių įgyvendinimo)</dc:title>
  <dc:creator>Infolex</dc:creator>
  <cp:lastModifiedBy>Nora Martinkėnienė</cp:lastModifiedBy>
  <cp:revision>18</cp:revision>
  <cp:lastPrinted>2020-09-10T11:48:00Z</cp:lastPrinted>
  <dcterms:created xsi:type="dcterms:W3CDTF">2020-11-23T06:07:00Z</dcterms:created>
  <dcterms:modified xsi:type="dcterms:W3CDTF">2020-11-24T14:36:00Z</dcterms:modified>
</cp:coreProperties>
</file>