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90" w:rsidRPr="007348C3" w:rsidRDefault="004A3390" w:rsidP="004A3390">
      <w:pPr>
        <w:pStyle w:val="Betarp"/>
        <w:jc w:val="center"/>
      </w:pPr>
      <w:r w:rsidRPr="007348C3">
        <w:t>Vertinimo apžvalga</w:t>
      </w:r>
    </w:p>
    <w:p w:rsidR="004A3390" w:rsidRPr="007348C3" w:rsidRDefault="004A3390" w:rsidP="004A3390">
      <w:pPr>
        <w:pStyle w:val="Betarp"/>
      </w:pPr>
      <w:r w:rsidRPr="007348C3">
        <w:t>Finansų politikos departamento Ekonominės analizės ir vertinimo skyriaus darbo dokumentas</w:t>
      </w:r>
    </w:p>
    <w:p w:rsidR="004A3390" w:rsidRDefault="004A3390" w:rsidP="00EB7681">
      <w:pPr>
        <w:rPr>
          <w:b/>
        </w:rPr>
      </w:pPr>
    </w:p>
    <w:p w:rsidR="00EB7681" w:rsidRPr="00EB7681" w:rsidRDefault="00EB7681" w:rsidP="00EB7681">
      <w:pPr>
        <w:rPr>
          <w:b/>
        </w:rPr>
      </w:pPr>
      <w:r w:rsidRPr="00EB7681">
        <w:rPr>
          <w:b/>
        </w:rPr>
        <w:t xml:space="preserve">2021–2027 m. </w:t>
      </w:r>
      <w:bookmarkStart w:id="0" w:name="_Hlk36730152"/>
      <w:r w:rsidRPr="00EB7681">
        <w:rPr>
          <w:b/>
        </w:rPr>
        <w:t xml:space="preserve">visuomenės </w:t>
      </w:r>
      <w:proofErr w:type="spellStart"/>
      <w:r w:rsidRPr="00EB7681">
        <w:rPr>
          <w:b/>
        </w:rPr>
        <w:t>skaitmeninimo</w:t>
      </w:r>
      <w:proofErr w:type="spellEnd"/>
      <w:r w:rsidRPr="00EB7681">
        <w:rPr>
          <w:b/>
        </w:rPr>
        <w:t xml:space="preserve"> išankstinio poveikio vertinimas </w:t>
      </w:r>
      <w:bookmarkEnd w:id="0"/>
    </w:p>
    <w:p w:rsidR="00EB7681" w:rsidRPr="00EB7681" w:rsidRDefault="00EB7681" w:rsidP="00EB7681">
      <w:pPr>
        <w:rPr>
          <w:color w:val="000000"/>
        </w:rPr>
      </w:pPr>
      <w:r w:rsidRPr="00EB7681">
        <w:rPr>
          <w:color w:val="000000"/>
        </w:rPr>
        <w:t>Užsakovas: Ekonomikos ir inovacijų ministerija (ŪM)</w:t>
      </w:r>
    </w:p>
    <w:p w:rsidR="00EB7681" w:rsidRPr="00EB7681" w:rsidRDefault="00EB7681" w:rsidP="00EB7681">
      <w:pPr>
        <w:jc w:val="both"/>
        <w:rPr>
          <w:color w:val="000000"/>
        </w:rPr>
      </w:pPr>
      <w:r w:rsidRPr="00EB7681">
        <w:rPr>
          <w:color w:val="000000"/>
        </w:rPr>
        <w:t xml:space="preserve">Vertinimą atliko: </w:t>
      </w:r>
      <w:r w:rsidRPr="00EB7681">
        <w:t>UAB „</w:t>
      </w:r>
      <w:proofErr w:type="spellStart"/>
      <w:r w:rsidRPr="00EB7681">
        <w:t>Visionary</w:t>
      </w:r>
      <w:proofErr w:type="spellEnd"/>
      <w:r w:rsidRPr="00EB7681">
        <w:t xml:space="preserve"> </w:t>
      </w:r>
      <w:proofErr w:type="spellStart"/>
      <w:r w:rsidRPr="00EB7681">
        <w:t>analytics</w:t>
      </w:r>
      <w:proofErr w:type="spellEnd"/>
      <w:r w:rsidRPr="00EB7681">
        <w:t>“</w:t>
      </w:r>
      <w:r w:rsidRPr="00EB7681">
        <w:rPr>
          <w:color w:val="000000"/>
        </w:rPr>
        <w:t>, 2020 m.</w:t>
      </w:r>
    </w:p>
    <w:p w:rsidR="00EB7681" w:rsidRPr="00EB7681" w:rsidRDefault="00EB7681" w:rsidP="00EB7681">
      <w:pPr>
        <w:jc w:val="both"/>
        <w:rPr>
          <w:color w:val="000000"/>
        </w:rPr>
      </w:pPr>
    </w:p>
    <w:p w:rsidR="00EB7681" w:rsidRPr="00EB7681" w:rsidRDefault="00EB7681" w:rsidP="00EB7681">
      <w:pPr>
        <w:autoSpaceDE w:val="0"/>
        <w:autoSpaceDN w:val="0"/>
        <w:adjustRightInd w:val="0"/>
        <w:jc w:val="both"/>
        <w:rPr>
          <w:b/>
          <w:color w:val="000000"/>
        </w:rPr>
      </w:pPr>
      <w:r w:rsidRPr="00EB7681">
        <w:rPr>
          <w:b/>
          <w:color w:val="000000"/>
        </w:rPr>
        <w:t>Vertinimo tikslas, uždaviniai, apimtis, metodai</w:t>
      </w:r>
    </w:p>
    <w:p w:rsidR="00EB7681" w:rsidRPr="00EB7681" w:rsidRDefault="00EB7681" w:rsidP="00EB7681">
      <w:pPr>
        <w:autoSpaceDE w:val="0"/>
        <w:autoSpaceDN w:val="0"/>
        <w:adjustRightInd w:val="0"/>
        <w:jc w:val="both"/>
        <w:rPr>
          <w:b/>
          <w:color w:val="000000"/>
        </w:rPr>
      </w:pPr>
      <w:r w:rsidRPr="00EB7681">
        <w:rPr>
          <w:b/>
          <w:color w:val="000000"/>
        </w:rPr>
        <w:t>Tikslas</w:t>
      </w:r>
    </w:p>
    <w:p w:rsidR="00EB7681" w:rsidRPr="00EB7681" w:rsidRDefault="00EB7681" w:rsidP="00EB7681">
      <w:pPr>
        <w:pStyle w:val="Text"/>
        <w:spacing w:after="0" w:line="240" w:lineRule="auto"/>
        <w:ind w:left="0" w:right="0"/>
        <w:contextualSpacing/>
        <w:rPr>
          <w:rFonts w:ascii="Times New Roman" w:hAnsi="Times New Roman"/>
          <w:bCs/>
          <w:szCs w:val="24"/>
          <w:lang w:eastAsia="en-US"/>
        </w:rPr>
      </w:pPr>
      <w:r w:rsidRPr="00EB7681">
        <w:rPr>
          <w:rFonts w:ascii="Times New Roman" w:hAnsi="Times New Roman"/>
          <w:spacing w:val="2"/>
          <w:szCs w:val="24"/>
        </w:rPr>
        <w:t>Pateikti pasiūlymus dėl Europos Sąjungos fondų investicijų 2021–2027 m. panaudojimo didinant visuomenės skaitmeninimą</w:t>
      </w:r>
      <w:r w:rsidRPr="00EB7681">
        <w:rPr>
          <w:rFonts w:ascii="Times New Roman" w:hAnsi="Times New Roman"/>
          <w:bCs/>
          <w:szCs w:val="24"/>
          <w:lang w:eastAsia="en-US"/>
        </w:rPr>
        <w:t>.</w:t>
      </w:r>
    </w:p>
    <w:p w:rsidR="00EB7681" w:rsidRPr="00EB7681" w:rsidRDefault="00EB7681" w:rsidP="00EB7681">
      <w:pPr>
        <w:pStyle w:val="Text"/>
        <w:spacing w:after="0" w:line="240" w:lineRule="auto"/>
        <w:ind w:left="0" w:right="0"/>
        <w:contextualSpacing/>
        <w:rPr>
          <w:rFonts w:ascii="Times New Roman" w:hAnsi="Times New Roman"/>
          <w:b/>
          <w:szCs w:val="24"/>
        </w:rPr>
      </w:pPr>
      <w:r w:rsidRPr="00EB7681">
        <w:rPr>
          <w:rFonts w:ascii="Times New Roman" w:hAnsi="Times New Roman"/>
          <w:b/>
          <w:szCs w:val="24"/>
        </w:rPr>
        <w:t>Uždaviniai</w:t>
      </w:r>
    </w:p>
    <w:p w:rsidR="00EB7681" w:rsidRPr="00EB7681" w:rsidRDefault="00EB7681" w:rsidP="00EB7681">
      <w:pPr>
        <w:tabs>
          <w:tab w:val="left" w:pos="851"/>
          <w:tab w:val="left" w:pos="1134"/>
        </w:tabs>
        <w:jc w:val="both"/>
      </w:pPr>
      <w:r w:rsidRPr="00EB7681">
        <w:rPr>
          <w:rFonts w:eastAsiaTheme="minorHAnsi"/>
          <w:bCs/>
          <w:color w:val="000000"/>
          <w:lang w:eastAsia="en-US"/>
        </w:rPr>
        <w:t xml:space="preserve">1. </w:t>
      </w:r>
      <w:r w:rsidRPr="00EB7681">
        <w:t xml:space="preserve">Įvertinti ir pagrįsti Europos regioninės plėtros ir sanglaudos fondų politiką aprašančio reglamento projekte nustatytų uždavinių, susijusių su visuomenės </w:t>
      </w:r>
      <w:proofErr w:type="spellStart"/>
      <w:r w:rsidRPr="00EB7681">
        <w:t>skaitmeninimu</w:t>
      </w:r>
      <w:proofErr w:type="spellEnd"/>
      <w:r w:rsidRPr="00EB7681">
        <w:t>, galimas veiklas 2021–2027 m. programavimo laikotarpiu;</w:t>
      </w:r>
    </w:p>
    <w:p w:rsidR="00EB7681" w:rsidRPr="00EB7681" w:rsidRDefault="00EB7681" w:rsidP="00EB7681">
      <w:pPr>
        <w:tabs>
          <w:tab w:val="left" w:pos="851"/>
          <w:tab w:val="left" w:pos="1134"/>
        </w:tabs>
        <w:jc w:val="both"/>
      </w:pPr>
      <w:r w:rsidRPr="00EB7681">
        <w:t xml:space="preserve">2. Pateikti rekomendacijas dėl visuomenės </w:t>
      </w:r>
      <w:proofErr w:type="spellStart"/>
      <w:r w:rsidRPr="00EB7681">
        <w:t>skaitmeninimo</w:t>
      </w:r>
      <w:proofErr w:type="spellEnd"/>
      <w:r w:rsidRPr="00EB7681">
        <w:t xml:space="preserve"> tobulinimo ir plėtros gairių 2021–2027 m. programavimo laikotarpiu.</w:t>
      </w:r>
    </w:p>
    <w:p w:rsidR="00EB7681" w:rsidRPr="00EB7681" w:rsidRDefault="00EB7681" w:rsidP="00EB7681">
      <w:pPr>
        <w:autoSpaceDE w:val="0"/>
        <w:autoSpaceDN w:val="0"/>
        <w:adjustRightInd w:val="0"/>
        <w:jc w:val="both"/>
        <w:rPr>
          <w:b/>
        </w:rPr>
      </w:pPr>
      <w:r w:rsidRPr="00EB7681">
        <w:rPr>
          <w:b/>
        </w:rPr>
        <w:t xml:space="preserve">Naudoti metodai </w:t>
      </w:r>
    </w:p>
    <w:p w:rsidR="00EB7681" w:rsidRPr="00EB7681" w:rsidRDefault="00EB7681" w:rsidP="00EB7681">
      <w:pPr>
        <w:pStyle w:val="Text"/>
        <w:spacing w:after="0" w:line="240" w:lineRule="auto"/>
        <w:ind w:left="0" w:right="0"/>
        <w:contextualSpacing/>
        <w:rPr>
          <w:rFonts w:ascii="Times New Roman" w:hAnsi="Times New Roman"/>
          <w:szCs w:val="24"/>
        </w:rPr>
      </w:pPr>
      <w:r w:rsidRPr="00EB7681">
        <w:rPr>
          <w:rFonts w:ascii="Times New Roman" w:hAnsi="Times New Roman"/>
          <w:szCs w:val="24"/>
        </w:rPr>
        <w:t>Duomenų analizės metodai: antrinių šaltinių ir statistinių duomenų analizė, užsienio patirties analizė, atvejo studijos, priemonių lyginamoji analizė. Duomenų rinkimo metodai: statistiniai</w:t>
      </w:r>
      <w:r w:rsidRPr="00EB7681">
        <w:rPr>
          <w:rFonts w:ascii="Times New Roman" w:hAnsi="Times New Roman"/>
          <w:b/>
          <w:bCs/>
          <w:szCs w:val="24"/>
        </w:rPr>
        <w:t xml:space="preserve"> duomenys</w:t>
      </w:r>
      <w:r w:rsidRPr="00EB7681">
        <w:rPr>
          <w:rFonts w:ascii="Times New Roman" w:hAnsi="Times New Roman"/>
          <w:szCs w:val="24"/>
        </w:rPr>
        <w:t xml:space="preserve"> surinkti iš: (1) ES struktūrinės paramos kompiuterinės informacinės valdymo ir priežiūros sistemos (SFMIS) bei (2) Eurostato, Lietuvos statistikos departamento ir kitų oficialių šaltinių; interviu, fokusuota dsikusija, antriniai šaltiniai.</w:t>
      </w:r>
    </w:p>
    <w:p w:rsidR="00EB7681" w:rsidRPr="00EB7681" w:rsidRDefault="00EB7681" w:rsidP="00EB7681">
      <w:pPr>
        <w:pStyle w:val="Pagrindinistekstas"/>
        <w:spacing w:after="0" w:line="240" w:lineRule="auto"/>
        <w:contextualSpacing/>
        <w:jc w:val="both"/>
        <w:rPr>
          <w:rFonts w:ascii="Times New Roman" w:hAnsi="Times New Roman"/>
          <w:b/>
          <w:sz w:val="24"/>
          <w:szCs w:val="24"/>
          <w:lang w:val="lt-LT"/>
        </w:rPr>
      </w:pPr>
      <w:r w:rsidRPr="00EB7681">
        <w:rPr>
          <w:rFonts w:ascii="Times New Roman" w:hAnsi="Times New Roman"/>
          <w:b/>
          <w:sz w:val="24"/>
          <w:szCs w:val="24"/>
          <w:lang w:val="lt-LT"/>
        </w:rPr>
        <w:t>Apimtis</w:t>
      </w:r>
    </w:p>
    <w:p w:rsidR="00EB7681" w:rsidRPr="00EB7681" w:rsidRDefault="00EB7681" w:rsidP="00EB7681">
      <w:pPr>
        <w:spacing w:after="160"/>
        <w:contextualSpacing/>
        <w:jc w:val="both"/>
      </w:pPr>
      <w:r w:rsidRPr="00EB7681">
        <w:t xml:space="preserve">Vertinime inventorizuotos 2007–2013 ir 2014–2020 m. laikotarpių priemones, nustatyta tikėtiną jų nauda, tinkamumas ir poveikis. Atliepiant šį poreikį, įvertinta dvidešimt 2007–2013 m. 2.3 prioriteto „Informacinė visuomenė visiems“ ir 2014–2020 m. veiksmų programos 2 prioriteto „Informacinės visuomenės skatinimas“ priemonių. </w:t>
      </w:r>
    </w:p>
    <w:p w:rsidR="00EB7681" w:rsidRPr="00EB7681" w:rsidRDefault="00EB7681" w:rsidP="00EB7681">
      <w:pPr>
        <w:autoSpaceDE w:val="0"/>
        <w:autoSpaceDN w:val="0"/>
        <w:adjustRightInd w:val="0"/>
        <w:jc w:val="both"/>
      </w:pPr>
      <w:r w:rsidRPr="00EB7681">
        <w:t xml:space="preserve">Išskirti prioritetines visuomenės </w:t>
      </w:r>
      <w:proofErr w:type="spellStart"/>
      <w:r w:rsidRPr="00EB7681">
        <w:t>skaitmeninimo</w:t>
      </w:r>
      <w:proofErr w:type="spellEnd"/>
      <w:r w:rsidRPr="00EB7681">
        <w:t xml:space="preserve"> kryptis, atsižvelgiant į dabartinius Lietuvos bei Europos Sąjungos institucijų strateginius dokumentus ir teisės aktus.</w:t>
      </w:r>
    </w:p>
    <w:p w:rsidR="00EB7681" w:rsidRPr="00EB7681" w:rsidRDefault="00EB7681" w:rsidP="00EB7681">
      <w:pPr>
        <w:autoSpaceDE w:val="0"/>
        <w:autoSpaceDN w:val="0"/>
        <w:adjustRightInd w:val="0"/>
        <w:jc w:val="both"/>
        <w:rPr>
          <w:b/>
        </w:rPr>
      </w:pPr>
      <w:r w:rsidRPr="00EB7681">
        <w:rPr>
          <w:b/>
        </w:rPr>
        <w:t xml:space="preserve">Pagrindiniai vertinimo rezultatai </w:t>
      </w:r>
    </w:p>
    <w:p w:rsidR="00EB7681" w:rsidRPr="00EB7681" w:rsidRDefault="00EB7681" w:rsidP="00EB7681">
      <w:pPr>
        <w:autoSpaceDE w:val="0"/>
        <w:autoSpaceDN w:val="0"/>
        <w:adjustRightInd w:val="0"/>
        <w:jc w:val="both"/>
        <w:rPr>
          <w:b/>
        </w:rPr>
      </w:pPr>
      <w:r w:rsidRPr="00EB7681">
        <w:t xml:space="preserve">1. </w:t>
      </w:r>
      <w:r w:rsidRPr="00EB7681">
        <w:rPr>
          <w:b/>
        </w:rPr>
        <w:t xml:space="preserve">Vertinime nustatyti visuomenės </w:t>
      </w:r>
      <w:proofErr w:type="spellStart"/>
      <w:r w:rsidRPr="00EB7681">
        <w:rPr>
          <w:b/>
        </w:rPr>
        <w:t>skaitmeninimo</w:t>
      </w:r>
      <w:proofErr w:type="spellEnd"/>
      <w:r w:rsidRPr="00EB7681">
        <w:rPr>
          <w:b/>
        </w:rPr>
        <w:t xml:space="preserve"> iššūkiai.</w:t>
      </w:r>
    </w:p>
    <w:p w:rsidR="00EB7681" w:rsidRPr="00EB7681" w:rsidRDefault="00EB7681" w:rsidP="00EB7681">
      <w:pPr>
        <w:jc w:val="both"/>
      </w:pPr>
      <w:r w:rsidRPr="00EB7681">
        <w:t xml:space="preserve">Lietuva jau kelis dešimtmečius kaupia skaitmeninės transformacijos iniciatyvų patirtį, tačiau </w:t>
      </w:r>
      <w:r w:rsidRPr="00EB7681">
        <w:rPr>
          <w:bCs/>
        </w:rPr>
        <w:t xml:space="preserve">tebėra </w:t>
      </w:r>
      <w:proofErr w:type="spellStart"/>
      <w:r w:rsidRPr="00EB7681">
        <w:rPr>
          <w:bCs/>
        </w:rPr>
        <w:t>skaitmeninimo</w:t>
      </w:r>
      <w:proofErr w:type="spellEnd"/>
      <w:r w:rsidRPr="00EB7681">
        <w:rPr>
          <w:bCs/>
        </w:rPr>
        <w:t xml:space="preserve"> „vidutiniokė“</w:t>
      </w:r>
      <w:r w:rsidRPr="00EB7681">
        <w:t xml:space="preserve">, nes </w:t>
      </w:r>
    </w:p>
    <w:p w:rsidR="00EB7681" w:rsidRPr="00EB7681" w:rsidRDefault="00EB7681" w:rsidP="00EB7681">
      <w:pPr>
        <w:jc w:val="both"/>
      </w:pPr>
      <w:r w:rsidRPr="00EB7681">
        <w:t xml:space="preserve">a) </w:t>
      </w:r>
      <w:r w:rsidRPr="00EB7681">
        <w:rPr>
          <w:i/>
        </w:rPr>
        <w:t xml:space="preserve">silpni Lietuvos gyventojų skaitmeniniai gebėjimai </w:t>
      </w:r>
      <w:r w:rsidRPr="00EB7681">
        <w:t xml:space="preserve">(gyventojams trūksta įgūdžių ir motyvacijos naudotis skaitmeninėmis technologijomis kasdieniame gyvenime, vos du trečdaliai namų ūkių 2019 m. buvo užsisakę plačiajuosčio ryšio paslaugas; mažiau nei kitų ES šalių gyventojai naudojasi </w:t>
      </w:r>
      <w:proofErr w:type="spellStart"/>
      <w:r w:rsidRPr="00EB7681">
        <w:t>debesijos</w:t>
      </w:r>
      <w:proofErr w:type="spellEnd"/>
      <w:r w:rsidRPr="00EB7681">
        <w:t xml:space="preserve"> sprendimais, ieško darbo ar naudoja socialinius tinklus profesiniais tikslais, mokosi nuotoliniu būdu)</w:t>
      </w:r>
      <w:r w:rsidRPr="00EB7681">
        <w:rPr>
          <w:bCs/>
        </w:rPr>
        <w:t xml:space="preserve">; </w:t>
      </w:r>
      <w:r w:rsidRPr="00EB7681">
        <w:rPr>
          <w:iCs/>
        </w:rPr>
        <w:t xml:space="preserve">nemažai spragų išlieka užtikrinant </w:t>
      </w:r>
      <w:r w:rsidRPr="00EB7681">
        <w:rPr>
          <w:bCs/>
          <w:iCs/>
        </w:rPr>
        <w:t>pakankamus darbo jėgos skaitmeninius gebėjimus</w:t>
      </w:r>
      <w:r w:rsidRPr="00EB7681">
        <w:rPr>
          <w:iCs/>
        </w:rPr>
        <w:t>: n</w:t>
      </w:r>
      <w:r w:rsidRPr="00EB7681">
        <w:t>et trečdaliui darbuotojų ir bedarbių stinga bazinių gebėjimų; IRT specialistų skaičius – vienas mažiausių ES, o įmonės neužsiima darbuotojų skaitmeninių įgūdžių ugdymu; neišnaudojamas moterų potencialas dalyvauti skaitmeninėje ekonomikoje – nors vidutiniškai moterys daugiau naudojasi skaitmeninėmis technologijomis ir daugiau jų turi aukštesnius nei bazinius skaitmeninius gebėjimus, IRT specialisčių moterų mažiau nei vyrų.</w:t>
      </w:r>
    </w:p>
    <w:p w:rsidR="00EB7681" w:rsidRPr="00EB7681" w:rsidRDefault="00EB7681" w:rsidP="00EB7681">
      <w:pPr>
        <w:jc w:val="both"/>
      </w:pPr>
      <w:r w:rsidRPr="00EB7681">
        <w:t>b</w:t>
      </w:r>
      <w:r w:rsidRPr="00EB7681">
        <w:rPr>
          <w:i/>
        </w:rPr>
        <w:t xml:space="preserve">) nepakankamos verslo investicijos į skaitmenines technologijas </w:t>
      </w:r>
      <w:r w:rsidRPr="00EB7681">
        <w:t xml:space="preserve">– nors viešoji ir privačioji IRT infrastruktūra Lietuvoje yra gerai išplėtota, auga </w:t>
      </w:r>
      <w:proofErr w:type="spellStart"/>
      <w:r w:rsidRPr="00EB7681">
        <w:t>skaitmeninimo</w:t>
      </w:r>
      <w:proofErr w:type="spellEnd"/>
      <w:r w:rsidRPr="00EB7681">
        <w:t xml:space="preserve"> sprendimų teikėjų galimybės globaliose vertės grandinėse, tačiau ūkio struktūrinė kaita per lėta ir investicijos į technologinį atsinaujinimą nepakankamos: pramonėje vyrauja žemo technologinio išsivystymo SVV ir užsakomoji žemos pridėtinės vertės produktų gamyba, o tai  riboja moderniausių technologinių sprendimų poreikį, B2B ir mokslo-verslo bendradarbiavimą;  verslo investicijos į MTEPI nuo 2012 </w:t>
      </w:r>
      <w:r w:rsidRPr="00EB7681">
        <w:lastRenderedPageBreak/>
        <w:t xml:space="preserve">m. auga stabiliai, tačiau nedaug, IRT industrijų  – </w:t>
      </w:r>
      <w:r w:rsidRPr="00EB7681">
        <w:rPr>
          <w:bCs/>
        </w:rPr>
        <w:t>skaitmeninių inovacijų kūrėjų</w:t>
      </w:r>
      <w:r w:rsidRPr="00EB7681">
        <w:t xml:space="preserve"> – verslo MTEPI išlaidų dalis nuo BVP dešimteriopai atsilieka nuo EBPO ir ES vidurkių; tik ketvirtadalis įmonių –</w:t>
      </w:r>
      <w:r w:rsidRPr="002A2046">
        <w:t xml:space="preserve"> </w:t>
      </w:r>
      <w:r w:rsidRPr="00EB7681">
        <w:rPr>
          <w:bCs/>
        </w:rPr>
        <w:t>skaitmeninių inovacijų taikytojų</w:t>
      </w:r>
      <w:r w:rsidRPr="00EB7681">
        <w:rPr>
          <w:i/>
          <w:iCs/>
        </w:rPr>
        <w:t xml:space="preserve"> –</w:t>
      </w:r>
      <w:r w:rsidRPr="00EB7681">
        <w:t xml:space="preserve"> planuoja investicijas į „Pramonė 4.0“ technologijas;  aukštųjų technologijų sektorių plėtrą riboja kvalifikuotos darbo jėgos (programuotojų, inžinierių, kt.) pasiūla.</w:t>
      </w:r>
    </w:p>
    <w:p w:rsidR="00EB7681" w:rsidRPr="00EB7681" w:rsidRDefault="00EB7681" w:rsidP="00EB7681">
      <w:pPr>
        <w:pStyle w:val="Sraassuenkleliais"/>
        <w:numPr>
          <w:ilvl w:val="0"/>
          <w:numId w:val="0"/>
        </w:numPr>
        <w:spacing w:after="0"/>
        <w:contextualSpacing/>
        <w:rPr>
          <w:rFonts w:ascii="Times New Roman" w:hAnsi="Times New Roman"/>
          <w:sz w:val="24"/>
        </w:rPr>
      </w:pPr>
      <w:r w:rsidRPr="00EB7681">
        <w:rPr>
          <w:rFonts w:ascii="Times New Roman" w:hAnsi="Times New Roman"/>
          <w:sz w:val="24"/>
        </w:rPr>
        <w:t xml:space="preserve">c) </w:t>
      </w:r>
      <w:proofErr w:type="spellStart"/>
      <w:r w:rsidRPr="00EB7681">
        <w:rPr>
          <w:rFonts w:ascii="Times New Roman" w:hAnsi="Times New Roman"/>
          <w:bCs/>
          <w:i/>
          <w:sz w:val="24"/>
        </w:rPr>
        <w:t>Viešojo</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sektoriaus</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skaitmeninė</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transformacija</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vyksta</w:t>
      </w:r>
      <w:proofErr w:type="spellEnd"/>
      <w:r w:rsidRPr="00EB7681">
        <w:rPr>
          <w:rFonts w:ascii="Times New Roman" w:hAnsi="Times New Roman"/>
          <w:bCs/>
          <w:i/>
          <w:sz w:val="24"/>
        </w:rPr>
        <w:t xml:space="preserve"> per </w:t>
      </w:r>
      <w:proofErr w:type="spellStart"/>
      <w:r w:rsidRPr="00EB7681">
        <w:rPr>
          <w:rFonts w:ascii="Times New Roman" w:hAnsi="Times New Roman"/>
          <w:bCs/>
          <w:i/>
          <w:sz w:val="24"/>
        </w:rPr>
        <w:t>lėtai</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veiksmai</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inkrementiški</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ir</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mažai</w:t>
      </w:r>
      <w:proofErr w:type="spellEnd"/>
      <w:r w:rsidRPr="00EB7681">
        <w:rPr>
          <w:rFonts w:ascii="Times New Roman" w:hAnsi="Times New Roman"/>
          <w:bCs/>
          <w:i/>
          <w:sz w:val="24"/>
        </w:rPr>
        <w:t xml:space="preserve"> </w:t>
      </w:r>
      <w:proofErr w:type="spellStart"/>
      <w:r w:rsidRPr="00EB7681">
        <w:rPr>
          <w:rFonts w:ascii="Times New Roman" w:hAnsi="Times New Roman"/>
          <w:bCs/>
          <w:i/>
          <w:sz w:val="24"/>
        </w:rPr>
        <w:t>ambicingi</w:t>
      </w:r>
      <w:proofErr w:type="spellEnd"/>
      <w:r w:rsidRPr="00EB7681">
        <w:rPr>
          <w:rFonts w:ascii="Times New Roman" w:hAnsi="Times New Roman"/>
          <w:bCs/>
          <w:i/>
          <w:sz w:val="24"/>
        </w:rPr>
        <w:t>.</w:t>
      </w:r>
      <w:r w:rsidRPr="00EB7681">
        <w:rPr>
          <w:rFonts w:ascii="Times New Roman" w:hAnsi="Times New Roman"/>
          <w:bCs/>
          <w:sz w:val="24"/>
        </w:rPr>
        <w:t xml:space="preserve"> </w:t>
      </w:r>
      <w:proofErr w:type="spellStart"/>
      <w:r w:rsidRPr="00EB7681">
        <w:rPr>
          <w:rFonts w:ascii="Times New Roman" w:hAnsi="Times New Roman"/>
          <w:bCs/>
          <w:sz w:val="24"/>
        </w:rPr>
        <w:t>I</w:t>
      </w:r>
      <w:r w:rsidRPr="00EB7681">
        <w:rPr>
          <w:rFonts w:ascii="Times New Roman" w:hAnsi="Times New Roman"/>
          <w:sz w:val="24"/>
        </w:rPr>
        <w:t>nvesticijos</w:t>
      </w:r>
      <w:proofErr w:type="spellEnd"/>
      <w:r w:rsidRPr="00EB7681">
        <w:rPr>
          <w:rFonts w:ascii="Times New Roman" w:hAnsi="Times New Roman"/>
          <w:sz w:val="24"/>
        </w:rPr>
        <w:t xml:space="preserve"> </w:t>
      </w:r>
      <w:proofErr w:type="spellStart"/>
      <w:r w:rsidRPr="00EB7681">
        <w:rPr>
          <w:rFonts w:ascii="Times New Roman" w:hAnsi="Times New Roman"/>
          <w:sz w:val="24"/>
        </w:rPr>
        <w:t>nukreiptos</w:t>
      </w:r>
      <w:proofErr w:type="spellEnd"/>
      <w:r w:rsidRPr="00EB7681">
        <w:rPr>
          <w:rFonts w:ascii="Times New Roman" w:hAnsi="Times New Roman"/>
          <w:sz w:val="24"/>
        </w:rPr>
        <w:t xml:space="preserve"> į </w:t>
      </w:r>
      <w:proofErr w:type="spellStart"/>
      <w:r w:rsidRPr="00EB7681">
        <w:rPr>
          <w:rFonts w:ascii="Times New Roman" w:hAnsi="Times New Roman"/>
          <w:sz w:val="24"/>
        </w:rPr>
        <w:t>techninius</w:t>
      </w:r>
      <w:proofErr w:type="spellEnd"/>
      <w:r w:rsidRPr="00EB7681">
        <w:rPr>
          <w:rFonts w:ascii="Times New Roman" w:hAnsi="Times New Roman"/>
          <w:sz w:val="24"/>
        </w:rPr>
        <w:t xml:space="preserve">, </w:t>
      </w:r>
      <w:proofErr w:type="spellStart"/>
      <w:r w:rsidRPr="00EB7681">
        <w:rPr>
          <w:rFonts w:ascii="Times New Roman" w:hAnsi="Times New Roman"/>
          <w:sz w:val="24"/>
        </w:rPr>
        <w:t>operacinio</w:t>
      </w:r>
      <w:proofErr w:type="spellEnd"/>
      <w:r w:rsidRPr="00EB7681">
        <w:rPr>
          <w:rFonts w:ascii="Times New Roman" w:hAnsi="Times New Roman"/>
          <w:sz w:val="24"/>
        </w:rPr>
        <w:t xml:space="preserve"> </w:t>
      </w:r>
      <w:proofErr w:type="spellStart"/>
      <w:r w:rsidRPr="00EB7681">
        <w:rPr>
          <w:rFonts w:ascii="Times New Roman" w:hAnsi="Times New Roman"/>
          <w:sz w:val="24"/>
        </w:rPr>
        <w:t>lygio</w:t>
      </w:r>
      <w:proofErr w:type="spellEnd"/>
      <w:r w:rsidRPr="00EB7681">
        <w:rPr>
          <w:rFonts w:ascii="Times New Roman" w:hAnsi="Times New Roman"/>
          <w:sz w:val="24"/>
        </w:rPr>
        <w:t xml:space="preserve"> </w:t>
      </w:r>
      <w:proofErr w:type="spellStart"/>
      <w:r w:rsidRPr="00EB7681">
        <w:rPr>
          <w:rFonts w:ascii="Times New Roman" w:hAnsi="Times New Roman"/>
          <w:sz w:val="24"/>
        </w:rPr>
        <w:t>klausimus</w:t>
      </w:r>
      <w:proofErr w:type="spellEnd"/>
      <w:r w:rsidRPr="00EB7681">
        <w:rPr>
          <w:rFonts w:ascii="Times New Roman" w:hAnsi="Times New Roman"/>
          <w:sz w:val="24"/>
        </w:rPr>
        <w:t xml:space="preserve">, </w:t>
      </w:r>
      <w:proofErr w:type="spellStart"/>
      <w:r w:rsidRPr="00EB7681">
        <w:rPr>
          <w:rFonts w:ascii="Times New Roman" w:hAnsi="Times New Roman"/>
          <w:sz w:val="24"/>
        </w:rPr>
        <w:t>skaitmeninimas</w:t>
      </w:r>
      <w:proofErr w:type="spellEnd"/>
      <w:r w:rsidRPr="00EB7681">
        <w:rPr>
          <w:rFonts w:ascii="Times New Roman" w:hAnsi="Times New Roman"/>
          <w:sz w:val="24"/>
        </w:rPr>
        <w:t xml:space="preserve"> </w:t>
      </w:r>
      <w:proofErr w:type="spellStart"/>
      <w:r w:rsidRPr="00EB7681">
        <w:rPr>
          <w:rFonts w:ascii="Times New Roman" w:hAnsi="Times New Roman"/>
          <w:sz w:val="24"/>
        </w:rPr>
        <w:t>dar</w:t>
      </w:r>
      <w:proofErr w:type="spellEnd"/>
      <w:r w:rsidRPr="00EB7681">
        <w:rPr>
          <w:rFonts w:ascii="Times New Roman" w:hAnsi="Times New Roman"/>
          <w:sz w:val="24"/>
        </w:rPr>
        <w:t xml:space="preserve"> </w:t>
      </w:r>
      <w:proofErr w:type="spellStart"/>
      <w:r w:rsidRPr="00EB7681">
        <w:rPr>
          <w:rFonts w:ascii="Times New Roman" w:hAnsi="Times New Roman"/>
          <w:sz w:val="24"/>
        </w:rPr>
        <w:t>nepalietė</w:t>
      </w:r>
      <w:proofErr w:type="spellEnd"/>
      <w:r w:rsidRPr="00EB7681">
        <w:rPr>
          <w:rFonts w:ascii="Times New Roman" w:hAnsi="Times New Roman"/>
          <w:sz w:val="24"/>
        </w:rPr>
        <w:t xml:space="preserve"> </w:t>
      </w:r>
      <w:proofErr w:type="spellStart"/>
      <w:r w:rsidRPr="00EB7681">
        <w:rPr>
          <w:rFonts w:ascii="Times New Roman" w:hAnsi="Times New Roman"/>
          <w:sz w:val="24"/>
        </w:rPr>
        <w:t>institucijų</w:t>
      </w:r>
      <w:proofErr w:type="spellEnd"/>
      <w:r w:rsidRPr="00EB7681">
        <w:rPr>
          <w:rFonts w:ascii="Times New Roman" w:hAnsi="Times New Roman"/>
          <w:sz w:val="24"/>
        </w:rPr>
        <w:t xml:space="preserve"> </w:t>
      </w:r>
      <w:proofErr w:type="spellStart"/>
      <w:r w:rsidRPr="00EB7681">
        <w:rPr>
          <w:rFonts w:ascii="Times New Roman" w:hAnsi="Times New Roman"/>
          <w:sz w:val="24"/>
        </w:rPr>
        <w:t>veiklos</w:t>
      </w:r>
      <w:proofErr w:type="spellEnd"/>
      <w:r w:rsidRPr="00EB7681">
        <w:rPr>
          <w:rFonts w:ascii="Times New Roman" w:hAnsi="Times New Roman"/>
          <w:sz w:val="24"/>
        </w:rPr>
        <w:t xml:space="preserve"> </w:t>
      </w:r>
      <w:proofErr w:type="spellStart"/>
      <w:r w:rsidRPr="00EB7681">
        <w:rPr>
          <w:rFonts w:ascii="Times New Roman" w:hAnsi="Times New Roman"/>
          <w:sz w:val="24"/>
        </w:rPr>
        <w:t>procesų</w:t>
      </w:r>
      <w:proofErr w:type="spellEnd"/>
      <w:r w:rsidRPr="00EB7681">
        <w:rPr>
          <w:rFonts w:ascii="Times New Roman" w:hAnsi="Times New Roman"/>
          <w:sz w:val="24"/>
        </w:rPr>
        <w:t xml:space="preserve">. </w:t>
      </w:r>
      <w:proofErr w:type="spellStart"/>
      <w:r w:rsidRPr="00EB7681">
        <w:rPr>
          <w:rFonts w:ascii="Times New Roman" w:hAnsi="Times New Roman"/>
          <w:sz w:val="24"/>
        </w:rPr>
        <w:t>Įgyvendinami</w:t>
      </w:r>
      <w:proofErr w:type="spellEnd"/>
      <w:r w:rsidRPr="00EB7681">
        <w:rPr>
          <w:rFonts w:ascii="Times New Roman" w:hAnsi="Times New Roman"/>
          <w:sz w:val="24"/>
        </w:rPr>
        <w:t xml:space="preserve"> </w:t>
      </w:r>
      <w:proofErr w:type="spellStart"/>
      <w:r w:rsidRPr="00EB7681">
        <w:rPr>
          <w:rFonts w:ascii="Times New Roman" w:hAnsi="Times New Roman"/>
          <w:sz w:val="24"/>
        </w:rPr>
        <w:t>skaitmeninimo</w:t>
      </w:r>
      <w:proofErr w:type="spellEnd"/>
      <w:r w:rsidRPr="00EB7681">
        <w:rPr>
          <w:rFonts w:ascii="Times New Roman" w:hAnsi="Times New Roman"/>
          <w:sz w:val="24"/>
        </w:rPr>
        <w:t xml:space="preserve"> </w:t>
      </w:r>
      <w:proofErr w:type="spellStart"/>
      <w:r w:rsidRPr="00EB7681">
        <w:rPr>
          <w:rFonts w:ascii="Times New Roman" w:hAnsi="Times New Roman"/>
          <w:sz w:val="24"/>
        </w:rPr>
        <w:t>projektai</w:t>
      </w:r>
      <w:proofErr w:type="spellEnd"/>
      <w:r w:rsidRPr="00EB7681">
        <w:rPr>
          <w:rFonts w:ascii="Times New Roman" w:hAnsi="Times New Roman"/>
          <w:sz w:val="24"/>
        </w:rPr>
        <w:t xml:space="preserve"> </w:t>
      </w:r>
      <w:proofErr w:type="spellStart"/>
      <w:r w:rsidRPr="00EB7681">
        <w:rPr>
          <w:rFonts w:ascii="Times New Roman" w:hAnsi="Times New Roman"/>
          <w:sz w:val="24"/>
        </w:rPr>
        <w:t>pernelyg</w:t>
      </w:r>
      <w:proofErr w:type="spellEnd"/>
      <w:r w:rsidRPr="00EB7681">
        <w:rPr>
          <w:rFonts w:ascii="Times New Roman" w:hAnsi="Times New Roman"/>
          <w:sz w:val="24"/>
        </w:rPr>
        <w:t xml:space="preserve"> </w:t>
      </w:r>
      <w:proofErr w:type="spellStart"/>
      <w:r w:rsidRPr="00EB7681">
        <w:rPr>
          <w:rFonts w:ascii="Times New Roman" w:hAnsi="Times New Roman"/>
          <w:sz w:val="24"/>
        </w:rPr>
        <w:t>dideli</w:t>
      </w:r>
      <w:proofErr w:type="spellEnd"/>
      <w:r w:rsidRPr="00EB7681">
        <w:rPr>
          <w:rFonts w:ascii="Times New Roman" w:hAnsi="Times New Roman"/>
          <w:sz w:val="24"/>
        </w:rPr>
        <w:t xml:space="preserve"> </w:t>
      </w:r>
      <w:proofErr w:type="spellStart"/>
      <w:r w:rsidRPr="00EB7681">
        <w:rPr>
          <w:rFonts w:ascii="Times New Roman" w:hAnsi="Times New Roman"/>
          <w:sz w:val="24"/>
        </w:rPr>
        <w:t>ir</w:t>
      </w:r>
      <w:proofErr w:type="spellEnd"/>
      <w:r w:rsidRPr="00EB7681">
        <w:rPr>
          <w:rFonts w:ascii="Times New Roman" w:hAnsi="Times New Roman"/>
          <w:sz w:val="24"/>
        </w:rPr>
        <w:t xml:space="preserve"> </w:t>
      </w:r>
      <w:proofErr w:type="spellStart"/>
      <w:r w:rsidRPr="00EB7681">
        <w:rPr>
          <w:rFonts w:ascii="Times New Roman" w:hAnsi="Times New Roman"/>
          <w:sz w:val="24"/>
        </w:rPr>
        <w:t>nepaslankūs</w:t>
      </w:r>
      <w:proofErr w:type="spellEnd"/>
      <w:r w:rsidRPr="00EB7681">
        <w:rPr>
          <w:rFonts w:ascii="Times New Roman" w:hAnsi="Times New Roman"/>
          <w:sz w:val="24"/>
        </w:rPr>
        <w:t xml:space="preserve">, </w:t>
      </w:r>
      <w:proofErr w:type="gramStart"/>
      <w:r w:rsidRPr="00EB7681">
        <w:rPr>
          <w:rFonts w:ascii="Times New Roman" w:hAnsi="Times New Roman"/>
          <w:sz w:val="24"/>
        </w:rPr>
        <w:t>tai</w:t>
      </w:r>
      <w:proofErr w:type="gramEnd"/>
      <w:r w:rsidRPr="00EB7681">
        <w:rPr>
          <w:rFonts w:ascii="Times New Roman" w:hAnsi="Times New Roman"/>
          <w:sz w:val="24"/>
        </w:rPr>
        <w:t xml:space="preserve"> </w:t>
      </w:r>
      <w:proofErr w:type="spellStart"/>
      <w:r w:rsidRPr="00EB7681">
        <w:rPr>
          <w:rFonts w:ascii="Times New Roman" w:hAnsi="Times New Roman"/>
          <w:sz w:val="24"/>
        </w:rPr>
        <w:t>lemia</w:t>
      </w:r>
      <w:proofErr w:type="spellEnd"/>
      <w:r w:rsidRPr="00EB7681">
        <w:rPr>
          <w:rFonts w:ascii="Times New Roman" w:hAnsi="Times New Roman"/>
          <w:sz w:val="24"/>
        </w:rPr>
        <w:t xml:space="preserve"> </w:t>
      </w:r>
      <w:proofErr w:type="spellStart"/>
      <w:r w:rsidRPr="00EB7681">
        <w:rPr>
          <w:rFonts w:ascii="Times New Roman" w:hAnsi="Times New Roman"/>
          <w:sz w:val="24"/>
        </w:rPr>
        <w:t>ir</w:t>
      </w:r>
      <w:proofErr w:type="spellEnd"/>
      <w:r w:rsidRPr="00EB7681">
        <w:rPr>
          <w:rFonts w:ascii="Times New Roman" w:hAnsi="Times New Roman"/>
          <w:sz w:val="24"/>
        </w:rPr>
        <w:t xml:space="preserve"> </w:t>
      </w:r>
      <w:proofErr w:type="spellStart"/>
      <w:r w:rsidRPr="00EB7681">
        <w:rPr>
          <w:rFonts w:ascii="Times New Roman" w:hAnsi="Times New Roman"/>
          <w:sz w:val="24"/>
        </w:rPr>
        <w:t>didžiulė</w:t>
      </w:r>
      <w:proofErr w:type="spellEnd"/>
      <w:r w:rsidRPr="00EB7681">
        <w:rPr>
          <w:rFonts w:ascii="Times New Roman" w:hAnsi="Times New Roman"/>
          <w:sz w:val="24"/>
        </w:rPr>
        <w:t xml:space="preserve"> </w:t>
      </w:r>
      <w:proofErr w:type="spellStart"/>
      <w:r w:rsidRPr="00EB7681">
        <w:rPr>
          <w:rFonts w:ascii="Times New Roman" w:hAnsi="Times New Roman"/>
          <w:sz w:val="24"/>
        </w:rPr>
        <w:t>skaitmeninimo</w:t>
      </w:r>
      <w:proofErr w:type="spellEnd"/>
      <w:r w:rsidRPr="00EB7681">
        <w:rPr>
          <w:rFonts w:ascii="Times New Roman" w:hAnsi="Times New Roman"/>
          <w:sz w:val="24"/>
        </w:rPr>
        <w:t xml:space="preserve"> </w:t>
      </w:r>
      <w:proofErr w:type="spellStart"/>
      <w:r w:rsidRPr="00EB7681">
        <w:rPr>
          <w:rFonts w:ascii="Times New Roman" w:hAnsi="Times New Roman"/>
          <w:sz w:val="24"/>
        </w:rPr>
        <w:t>srities</w:t>
      </w:r>
      <w:proofErr w:type="spellEnd"/>
      <w:r w:rsidRPr="00EB7681">
        <w:rPr>
          <w:rFonts w:ascii="Times New Roman" w:hAnsi="Times New Roman"/>
          <w:sz w:val="24"/>
        </w:rPr>
        <w:t xml:space="preserve"> </w:t>
      </w:r>
      <w:proofErr w:type="spellStart"/>
      <w:r w:rsidRPr="00EB7681">
        <w:rPr>
          <w:rFonts w:ascii="Times New Roman" w:hAnsi="Times New Roman"/>
          <w:sz w:val="24"/>
        </w:rPr>
        <w:t>priklausomybė</w:t>
      </w:r>
      <w:proofErr w:type="spellEnd"/>
      <w:r w:rsidRPr="00EB7681">
        <w:rPr>
          <w:rFonts w:ascii="Times New Roman" w:hAnsi="Times New Roman"/>
          <w:sz w:val="24"/>
        </w:rPr>
        <w:t xml:space="preserve"> </w:t>
      </w:r>
      <w:proofErr w:type="spellStart"/>
      <w:r w:rsidRPr="00EB7681">
        <w:rPr>
          <w:rFonts w:ascii="Times New Roman" w:hAnsi="Times New Roman"/>
          <w:sz w:val="24"/>
        </w:rPr>
        <w:t>nuo</w:t>
      </w:r>
      <w:proofErr w:type="spellEnd"/>
      <w:r w:rsidRPr="00EB7681">
        <w:rPr>
          <w:rFonts w:ascii="Times New Roman" w:hAnsi="Times New Roman"/>
          <w:sz w:val="24"/>
        </w:rPr>
        <w:t xml:space="preserve"> ES </w:t>
      </w:r>
      <w:proofErr w:type="spellStart"/>
      <w:r w:rsidRPr="00EB7681">
        <w:rPr>
          <w:rFonts w:ascii="Times New Roman" w:hAnsi="Times New Roman"/>
          <w:sz w:val="24"/>
        </w:rPr>
        <w:t>investicijų</w:t>
      </w:r>
      <w:proofErr w:type="spellEnd"/>
      <w:r w:rsidRPr="00EB7681">
        <w:rPr>
          <w:rFonts w:ascii="Times New Roman" w:hAnsi="Times New Roman"/>
          <w:sz w:val="24"/>
        </w:rPr>
        <w:t xml:space="preserve">, </w:t>
      </w:r>
      <w:proofErr w:type="spellStart"/>
      <w:r w:rsidRPr="00EB7681">
        <w:rPr>
          <w:rFonts w:ascii="Times New Roman" w:hAnsi="Times New Roman"/>
          <w:sz w:val="24"/>
        </w:rPr>
        <w:t>kurias</w:t>
      </w:r>
      <w:proofErr w:type="spellEnd"/>
      <w:r w:rsidRPr="00EB7681">
        <w:rPr>
          <w:rFonts w:ascii="Times New Roman" w:hAnsi="Times New Roman"/>
          <w:sz w:val="24"/>
        </w:rPr>
        <w:t xml:space="preserve"> </w:t>
      </w:r>
      <w:proofErr w:type="spellStart"/>
      <w:r w:rsidRPr="00EB7681">
        <w:rPr>
          <w:rFonts w:ascii="Times New Roman" w:hAnsi="Times New Roman"/>
          <w:sz w:val="24"/>
        </w:rPr>
        <w:t>sudėtinga</w:t>
      </w:r>
      <w:proofErr w:type="spellEnd"/>
      <w:r w:rsidRPr="00EB7681">
        <w:rPr>
          <w:rFonts w:ascii="Times New Roman" w:hAnsi="Times New Roman"/>
          <w:sz w:val="24"/>
        </w:rPr>
        <w:t xml:space="preserve"> </w:t>
      </w:r>
      <w:proofErr w:type="spellStart"/>
      <w:r w:rsidRPr="00EB7681">
        <w:rPr>
          <w:rFonts w:ascii="Times New Roman" w:hAnsi="Times New Roman"/>
          <w:sz w:val="24"/>
        </w:rPr>
        <w:t>programuoti</w:t>
      </w:r>
      <w:proofErr w:type="spellEnd"/>
      <w:r w:rsidRPr="00EB7681">
        <w:rPr>
          <w:rFonts w:ascii="Times New Roman" w:hAnsi="Times New Roman"/>
          <w:sz w:val="24"/>
        </w:rPr>
        <w:t xml:space="preserve"> </w:t>
      </w:r>
      <w:proofErr w:type="spellStart"/>
      <w:r w:rsidRPr="00EB7681">
        <w:rPr>
          <w:rFonts w:ascii="Times New Roman" w:hAnsi="Times New Roman"/>
          <w:sz w:val="24"/>
        </w:rPr>
        <w:t>ir</w:t>
      </w:r>
      <w:proofErr w:type="spellEnd"/>
      <w:r w:rsidRPr="00EB7681">
        <w:rPr>
          <w:rFonts w:ascii="Times New Roman" w:hAnsi="Times New Roman"/>
          <w:sz w:val="24"/>
        </w:rPr>
        <w:t xml:space="preserve"> </w:t>
      </w:r>
      <w:proofErr w:type="spellStart"/>
      <w:r w:rsidRPr="00EB7681">
        <w:rPr>
          <w:rFonts w:ascii="Times New Roman" w:hAnsi="Times New Roman"/>
          <w:sz w:val="24"/>
        </w:rPr>
        <w:t>panaudoti</w:t>
      </w:r>
      <w:proofErr w:type="spellEnd"/>
      <w:r w:rsidRPr="00EB7681">
        <w:rPr>
          <w:rFonts w:ascii="Times New Roman" w:hAnsi="Times New Roman"/>
          <w:sz w:val="24"/>
        </w:rPr>
        <w:t xml:space="preserve"> </w:t>
      </w:r>
      <w:proofErr w:type="spellStart"/>
      <w:r w:rsidRPr="00EB7681">
        <w:rPr>
          <w:rFonts w:ascii="Times New Roman" w:hAnsi="Times New Roman"/>
          <w:sz w:val="24"/>
        </w:rPr>
        <w:t>lanksčiai</w:t>
      </w:r>
      <w:proofErr w:type="spellEnd"/>
      <w:r w:rsidRPr="00EB7681">
        <w:rPr>
          <w:rFonts w:ascii="Times New Roman" w:hAnsi="Times New Roman"/>
          <w:sz w:val="24"/>
        </w:rPr>
        <w:t xml:space="preserve">. </w:t>
      </w:r>
      <w:proofErr w:type="spellStart"/>
      <w:r w:rsidRPr="00EB7681">
        <w:rPr>
          <w:rFonts w:ascii="Times New Roman" w:hAnsi="Times New Roman"/>
          <w:sz w:val="24"/>
        </w:rPr>
        <w:t>Viešajame</w:t>
      </w:r>
      <w:proofErr w:type="spellEnd"/>
      <w:r w:rsidRPr="00EB7681">
        <w:rPr>
          <w:rFonts w:ascii="Times New Roman" w:hAnsi="Times New Roman"/>
          <w:sz w:val="24"/>
        </w:rPr>
        <w:t xml:space="preserve"> </w:t>
      </w:r>
      <w:proofErr w:type="spellStart"/>
      <w:r w:rsidRPr="00EB7681">
        <w:rPr>
          <w:rFonts w:ascii="Times New Roman" w:hAnsi="Times New Roman"/>
          <w:sz w:val="24"/>
        </w:rPr>
        <w:t>sektoriuje</w:t>
      </w:r>
      <w:proofErr w:type="spellEnd"/>
      <w:r w:rsidRPr="00EB7681">
        <w:rPr>
          <w:rFonts w:ascii="Times New Roman" w:hAnsi="Times New Roman"/>
          <w:sz w:val="24"/>
        </w:rPr>
        <w:t xml:space="preserve"> </w:t>
      </w:r>
      <w:proofErr w:type="spellStart"/>
      <w:r w:rsidRPr="00EB7681">
        <w:rPr>
          <w:rFonts w:ascii="Times New Roman" w:hAnsi="Times New Roman"/>
          <w:sz w:val="24"/>
        </w:rPr>
        <w:t>stinga</w:t>
      </w:r>
      <w:proofErr w:type="spellEnd"/>
      <w:r w:rsidRPr="00EB7681">
        <w:rPr>
          <w:rFonts w:ascii="Times New Roman" w:hAnsi="Times New Roman"/>
          <w:sz w:val="24"/>
        </w:rPr>
        <w:t xml:space="preserve"> </w:t>
      </w:r>
      <w:proofErr w:type="spellStart"/>
      <w:r w:rsidRPr="00EB7681">
        <w:rPr>
          <w:rFonts w:ascii="Times New Roman" w:hAnsi="Times New Roman"/>
          <w:sz w:val="24"/>
        </w:rPr>
        <w:t>eksperimentavimo</w:t>
      </w:r>
      <w:proofErr w:type="spellEnd"/>
      <w:r w:rsidRPr="00EB7681">
        <w:rPr>
          <w:rFonts w:ascii="Times New Roman" w:hAnsi="Times New Roman"/>
          <w:sz w:val="24"/>
        </w:rPr>
        <w:t xml:space="preserve"> </w:t>
      </w:r>
      <w:proofErr w:type="spellStart"/>
      <w:r w:rsidRPr="00EB7681">
        <w:rPr>
          <w:rFonts w:ascii="Times New Roman" w:hAnsi="Times New Roman"/>
          <w:sz w:val="24"/>
        </w:rPr>
        <w:t>kultūros</w:t>
      </w:r>
      <w:proofErr w:type="spellEnd"/>
      <w:r w:rsidRPr="00EB7681">
        <w:rPr>
          <w:rFonts w:ascii="Times New Roman" w:hAnsi="Times New Roman"/>
          <w:sz w:val="24"/>
        </w:rPr>
        <w:t xml:space="preserve">, </w:t>
      </w:r>
      <w:proofErr w:type="spellStart"/>
      <w:r w:rsidRPr="00EB7681">
        <w:rPr>
          <w:rFonts w:ascii="Times New Roman" w:hAnsi="Times New Roman"/>
          <w:sz w:val="24"/>
        </w:rPr>
        <w:t>itin</w:t>
      </w:r>
      <w:proofErr w:type="spellEnd"/>
      <w:r w:rsidRPr="00EB7681">
        <w:rPr>
          <w:rFonts w:ascii="Times New Roman" w:hAnsi="Times New Roman"/>
          <w:sz w:val="24"/>
        </w:rPr>
        <w:t xml:space="preserve"> </w:t>
      </w:r>
      <w:proofErr w:type="spellStart"/>
      <w:r w:rsidRPr="00EB7681">
        <w:rPr>
          <w:rFonts w:ascii="Times New Roman" w:hAnsi="Times New Roman"/>
          <w:sz w:val="24"/>
        </w:rPr>
        <w:t>reikalingos</w:t>
      </w:r>
      <w:proofErr w:type="spellEnd"/>
      <w:r w:rsidRPr="00EB7681">
        <w:rPr>
          <w:rFonts w:ascii="Times New Roman" w:hAnsi="Times New Roman"/>
          <w:sz w:val="24"/>
        </w:rPr>
        <w:t xml:space="preserve"> </w:t>
      </w:r>
      <w:proofErr w:type="spellStart"/>
      <w:r w:rsidRPr="00EB7681">
        <w:rPr>
          <w:rFonts w:ascii="Times New Roman" w:hAnsi="Times New Roman"/>
          <w:sz w:val="24"/>
        </w:rPr>
        <w:t>skaitmeninių</w:t>
      </w:r>
      <w:proofErr w:type="spellEnd"/>
      <w:r w:rsidRPr="00EB7681">
        <w:rPr>
          <w:rFonts w:ascii="Times New Roman" w:hAnsi="Times New Roman"/>
          <w:sz w:val="24"/>
        </w:rPr>
        <w:t xml:space="preserve"> </w:t>
      </w:r>
      <w:proofErr w:type="spellStart"/>
      <w:r w:rsidRPr="00EB7681">
        <w:rPr>
          <w:rFonts w:ascii="Times New Roman" w:hAnsi="Times New Roman"/>
          <w:sz w:val="24"/>
        </w:rPr>
        <w:t>sprendimų</w:t>
      </w:r>
      <w:proofErr w:type="spellEnd"/>
      <w:r w:rsidRPr="00EB7681">
        <w:rPr>
          <w:rFonts w:ascii="Times New Roman" w:hAnsi="Times New Roman"/>
          <w:sz w:val="24"/>
        </w:rPr>
        <w:t xml:space="preserve"> </w:t>
      </w:r>
      <w:proofErr w:type="spellStart"/>
      <w:r w:rsidRPr="00EB7681">
        <w:rPr>
          <w:rFonts w:ascii="Times New Roman" w:hAnsi="Times New Roman"/>
          <w:sz w:val="24"/>
        </w:rPr>
        <w:t>plėtrai</w:t>
      </w:r>
      <w:proofErr w:type="spellEnd"/>
      <w:r w:rsidRPr="00EB7681">
        <w:rPr>
          <w:rFonts w:ascii="Times New Roman" w:hAnsi="Times New Roman"/>
          <w:sz w:val="24"/>
        </w:rPr>
        <w:t xml:space="preserve">, </w:t>
      </w:r>
      <w:proofErr w:type="spellStart"/>
      <w:r w:rsidRPr="00EB7681">
        <w:rPr>
          <w:rFonts w:ascii="Times New Roman" w:hAnsi="Times New Roman"/>
          <w:sz w:val="24"/>
        </w:rPr>
        <w:t>neišnaudojamas</w:t>
      </w:r>
      <w:proofErr w:type="spellEnd"/>
      <w:r w:rsidRPr="00EB7681">
        <w:rPr>
          <w:rFonts w:ascii="Times New Roman" w:hAnsi="Times New Roman"/>
          <w:sz w:val="24"/>
        </w:rPr>
        <w:t xml:space="preserve"> </w:t>
      </w:r>
      <w:proofErr w:type="spellStart"/>
      <w:r w:rsidRPr="00EB7681">
        <w:rPr>
          <w:rFonts w:ascii="Times New Roman" w:hAnsi="Times New Roman"/>
          <w:sz w:val="24"/>
        </w:rPr>
        <w:t>verslo</w:t>
      </w:r>
      <w:proofErr w:type="spellEnd"/>
      <w:r w:rsidRPr="00EB7681">
        <w:rPr>
          <w:rFonts w:ascii="Times New Roman" w:hAnsi="Times New Roman"/>
          <w:sz w:val="24"/>
        </w:rPr>
        <w:t xml:space="preserve"> </w:t>
      </w:r>
      <w:proofErr w:type="spellStart"/>
      <w:r w:rsidRPr="00EB7681">
        <w:rPr>
          <w:rFonts w:ascii="Times New Roman" w:hAnsi="Times New Roman"/>
          <w:sz w:val="24"/>
        </w:rPr>
        <w:t>potencialas</w:t>
      </w:r>
      <w:proofErr w:type="spellEnd"/>
      <w:r w:rsidRPr="00EB7681">
        <w:rPr>
          <w:rFonts w:ascii="Times New Roman" w:hAnsi="Times New Roman"/>
          <w:sz w:val="24"/>
        </w:rPr>
        <w:t xml:space="preserve"> į </w:t>
      </w:r>
      <w:proofErr w:type="spellStart"/>
      <w:r w:rsidRPr="00EB7681">
        <w:rPr>
          <w:rFonts w:ascii="Times New Roman" w:hAnsi="Times New Roman"/>
          <w:sz w:val="24"/>
        </w:rPr>
        <w:t>viešąjį</w:t>
      </w:r>
      <w:proofErr w:type="spellEnd"/>
      <w:r w:rsidRPr="00EB7681">
        <w:rPr>
          <w:rFonts w:ascii="Times New Roman" w:hAnsi="Times New Roman"/>
          <w:sz w:val="24"/>
        </w:rPr>
        <w:t xml:space="preserve"> </w:t>
      </w:r>
      <w:proofErr w:type="spellStart"/>
      <w:r w:rsidRPr="00EB7681">
        <w:rPr>
          <w:rFonts w:ascii="Times New Roman" w:hAnsi="Times New Roman"/>
          <w:sz w:val="24"/>
        </w:rPr>
        <w:t>sektorių</w:t>
      </w:r>
      <w:proofErr w:type="spellEnd"/>
      <w:r w:rsidRPr="00EB7681">
        <w:rPr>
          <w:rFonts w:ascii="Times New Roman" w:hAnsi="Times New Roman"/>
          <w:sz w:val="24"/>
        </w:rPr>
        <w:t xml:space="preserve"> „</w:t>
      </w:r>
      <w:proofErr w:type="spellStart"/>
      <w:r w:rsidRPr="00EB7681">
        <w:rPr>
          <w:rFonts w:ascii="Times New Roman" w:hAnsi="Times New Roman"/>
          <w:sz w:val="24"/>
        </w:rPr>
        <w:t>atvesti</w:t>
      </w:r>
      <w:proofErr w:type="spellEnd"/>
      <w:proofErr w:type="gramStart"/>
      <w:r w:rsidRPr="00EB7681">
        <w:rPr>
          <w:rFonts w:ascii="Times New Roman" w:hAnsi="Times New Roman"/>
          <w:sz w:val="24"/>
        </w:rPr>
        <w:t xml:space="preserve">“ </w:t>
      </w:r>
      <w:proofErr w:type="spellStart"/>
      <w:r w:rsidRPr="00EB7681">
        <w:rPr>
          <w:rFonts w:ascii="Times New Roman" w:hAnsi="Times New Roman"/>
          <w:sz w:val="24"/>
        </w:rPr>
        <w:t>inovacijas</w:t>
      </w:r>
      <w:proofErr w:type="spellEnd"/>
      <w:proofErr w:type="gramEnd"/>
      <w:r w:rsidRPr="00EB7681">
        <w:rPr>
          <w:rFonts w:ascii="Times New Roman" w:hAnsi="Times New Roman"/>
          <w:sz w:val="24"/>
        </w:rPr>
        <w:t>.</w:t>
      </w:r>
    </w:p>
    <w:p w:rsidR="00EB7681" w:rsidRPr="00EB7681" w:rsidRDefault="00EB7681" w:rsidP="00EB7681">
      <w:r w:rsidRPr="00EB7681">
        <w:rPr>
          <w:b/>
        </w:rPr>
        <w:t xml:space="preserve">2. Pateiktos visuomenės </w:t>
      </w:r>
      <w:proofErr w:type="spellStart"/>
      <w:r w:rsidRPr="00EB7681">
        <w:rPr>
          <w:b/>
        </w:rPr>
        <w:t>skaitmeninimo</w:t>
      </w:r>
      <w:proofErr w:type="spellEnd"/>
      <w:r w:rsidRPr="00EB7681">
        <w:rPr>
          <w:b/>
        </w:rPr>
        <w:t xml:space="preserve"> sėkmės sąlygos ir gairės po 2021 m.</w:t>
      </w:r>
      <w:r w:rsidRPr="00EB7681">
        <w:t xml:space="preserve"> Gairės pateikiamos </w:t>
      </w:r>
      <w:r>
        <w:t xml:space="preserve">1 </w:t>
      </w:r>
      <w:r w:rsidRPr="00EB7681">
        <w:t>schemoje</w:t>
      </w:r>
      <w:r>
        <w:t>.</w:t>
      </w:r>
    </w:p>
    <w:p w:rsidR="00EB7681" w:rsidRPr="00EB7681" w:rsidRDefault="00EB7681" w:rsidP="00EB7681">
      <w:pPr>
        <w:autoSpaceDE w:val="0"/>
        <w:autoSpaceDN w:val="0"/>
        <w:adjustRightInd w:val="0"/>
        <w:jc w:val="both"/>
      </w:pPr>
      <w:proofErr w:type="spellStart"/>
      <w:r w:rsidRPr="00EB7681">
        <w:t>Skaitmeninimas</w:t>
      </w:r>
      <w:proofErr w:type="spellEnd"/>
      <w:r w:rsidRPr="00EB7681">
        <w:t xml:space="preserve"> palies visas kasdienio gyvenimo sritis, ekonomikos sektorius, įmones, institucijas, piliečius. </w:t>
      </w:r>
      <w:proofErr w:type="spellStart"/>
      <w:r w:rsidRPr="00EB7681">
        <w:t>Skaitmeninimo</w:t>
      </w:r>
      <w:proofErr w:type="spellEnd"/>
      <w:r w:rsidRPr="00EB7681">
        <w:t xml:space="preserve"> strategijos sėkmė priklausys ir nuo to, ar bus įgyvendinti šie horizontalūs pokyčiai (sėkmės sąlygos): </w:t>
      </w:r>
    </w:p>
    <w:p w:rsidR="00EB7681" w:rsidRPr="00EB7681" w:rsidRDefault="00EB7681" w:rsidP="00EB7681">
      <w:pPr>
        <w:pStyle w:val="Sraopastraipa"/>
        <w:numPr>
          <w:ilvl w:val="0"/>
          <w:numId w:val="2"/>
        </w:numPr>
        <w:contextualSpacing w:val="0"/>
        <w:jc w:val="both"/>
      </w:pPr>
      <w:r w:rsidRPr="00EB7681">
        <w:t xml:space="preserve">Įdiegtas </w:t>
      </w:r>
      <w:r w:rsidRPr="00EB7681">
        <w:rPr>
          <w:bCs/>
        </w:rPr>
        <w:t>holistinis požiūris</w:t>
      </w:r>
      <w:r w:rsidRPr="00EB7681">
        <w:t xml:space="preserve"> į </w:t>
      </w:r>
      <w:proofErr w:type="spellStart"/>
      <w:r w:rsidRPr="00EB7681">
        <w:t>skaitmeninimo</w:t>
      </w:r>
      <w:proofErr w:type="spellEnd"/>
      <w:r w:rsidRPr="00EB7681">
        <w:t xml:space="preserve"> iniciatyvas, ypač viešųjų paslaugų srityje (transformacija turi apimti visus, nuo paslaugos pateikimo vartotojams techninių sprendimų iki institucijos vidaus procesų);</w:t>
      </w:r>
    </w:p>
    <w:p w:rsidR="00EB7681" w:rsidRPr="00EB7681" w:rsidRDefault="00EB7681" w:rsidP="00EB7681">
      <w:pPr>
        <w:pStyle w:val="Sraopastraipa"/>
        <w:numPr>
          <w:ilvl w:val="0"/>
          <w:numId w:val="2"/>
        </w:numPr>
        <w:contextualSpacing w:val="0"/>
        <w:jc w:val="both"/>
      </w:pPr>
      <w:r w:rsidRPr="00EB7681">
        <w:t xml:space="preserve">Peržiūrėta viešojo </w:t>
      </w:r>
      <w:r w:rsidRPr="00EB7681">
        <w:rPr>
          <w:bCs/>
        </w:rPr>
        <w:t xml:space="preserve">sektoriaus tarnautojų </w:t>
      </w:r>
      <w:proofErr w:type="spellStart"/>
      <w:r w:rsidRPr="00EB7681">
        <w:rPr>
          <w:bCs/>
        </w:rPr>
        <w:t>motyvacinė</w:t>
      </w:r>
      <w:proofErr w:type="spellEnd"/>
      <w:r w:rsidRPr="00EB7681">
        <w:rPr>
          <w:bCs/>
        </w:rPr>
        <w:t xml:space="preserve"> sistema</w:t>
      </w:r>
      <w:r w:rsidRPr="00EB7681">
        <w:t xml:space="preserve"> ir investuota į jų skaitmeninius gebėjimus;</w:t>
      </w:r>
    </w:p>
    <w:p w:rsidR="00EB7681" w:rsidRPr="00EB7681" w:rsidRDefault="00EB7681" w:rsidP="00EB7681">
      <w:pPr>
        <w:pStyle w:val="Sraopastraipa"/>
        <w:numPr>
          <w:ilvl w:val="0"/>
          <w:numId w:val="2"/>
        </w:numPr>
        <w:contextualSpacing w:val="0"/>
        <w:jc w:val="both"/>
      </w:pPr>
      <w:r w:rsidRPr="00EB7681">
        <w:t xml:space="preserve">EIM imsis </w:t>
      </w:r>
      <w:r w:rsidRPr="00EB7681">
        <w:rPr>
          <w:bCs/>
        </w:rPr>
        <w:t>politinės lyderystės</w:t>
      </w:r>
      <w:r w:rsidRPr="00EB7681">
        <w:t xml:space="preserve">, Skaitmeninės darbotvarkės taryba taps aktyvių diskusijų apie </w:t>
      </w:r>
      <w:proofErr w:type="spellStart"/>
      <w:r w:rsidRPr="00EB7681">
        <w:t>inovatyvias</w:t>
      </w:r>
      <w:proofErr w:type="spellEnd"/>
      <w:r w:rsidRPr="00EB7681">
        <w:t xml:space="preserve"> idėjas forumu, o IVPK įgaus stipresnį vaidmenį valstybėje kaip </w:t>
      </w:r>
      <w:r w:rsidRPr="00EB7681">
        <w:rPr>
          <w:bCs/>
        </w:rPr>
        <w:t>skaitmeninis kompetencijų centras</w:t>
      </w:r>
      <w:r w:rsidRPr="00EB7681">
        <w:t>;</w:t>
      </w:r>
    </w:p>
    <w:p w:rsidR="00EB7681" w:rsidRPr="00EB7681" w:rsidRDefault="00EB7681" w:rsidP="00EB7681">
      <w:pPr>
        <w:pStyle w:val="Sraopastraipa"/>
        <w:numPr>
          <w:ilvl w:val="0"/>
          <w:numId w:val="2"/>
        </w:numPr>
        <w:contextualSpacing w:val="0"/>
        <w:jc w:val="both"/>
      </w:pPr>
      <w:r w:rsidRPr="00EB7681">
        <w:t xml:space="preserve">Skatinama diegti </w:t>
      </w:r>
      <w:r w:rsidRPr="00EB7681">
        <w:rPr>
          <w:bCs/>
        </w:rPr>
        <w:t>lanksčius technologinius sprendimus</w:t>
      </w:r>
      <w:r w:rsidRPr="00EB7681">
        <w:t xml:space="preserve"> viešajame sektoriuje (pavyzdžiui, bus taikoma </w:t>
      </w:r>
      <w:proofErr w:type="spellStart"/>
      <w:r w:rsidRPr="00EB7681">
        <w:t>mikroservisų</w:t>
      </w:r>
      <w:proofErr w:type="spellEnd"/>
      <w:r w:rsidRPr="00EB7681">
        <w:t xml:space="preserve"> architektūra kuriant viešojo sektoriaus sistemas);</w:t>
      </w:r>
    </w:p>
    <w:p w:rsidR="00EB7681" w:rsidRPr="00EB7681" w:rsidRDefault="00EB7681" w:rsidP="00EB7681">
      <w:pPr>
        <w:pStyle w:val="Sraopastraipa"/>
        <w:numPr>
          <w:ilvl w:val="0"/>
          <w:numId w:val="2"/>
        </w:numPr>
        <w:contextualSpacing w:val="0"/>
        <w:jc w:val="both"/>
      </w:pPr>
      <w:r w:rsidRPr="00EB7681">
        <w:t xml:space="preserve">Diegiami politikos </w:t>
      </w:r>
      <w:r w:rsidRPr="00EB7681">
        <w:rPr>
          <w:bCs/>
        </w:rPr>
        <w:t>eksperimentavimo įrankiai</w:t>
      </w:r>
      <w:r w:rsidRPr="00EB7681">
        <w:t xml:space="preserve"> </w:t>
      </w:r>
      <w:r w:rsidRPr="00EB7681">
        <w:rPr>
          <w:bCs/>
        </w:rPr>
        <w:t>ir skatinama mokslo-verslo-valstybės sąveika</w:t>
      </w:r>
      <w:r w:rsidRPr="00EB7681">
        <w:t xml:space="preserve"> (didžiulio potencialo siekiant proveržio šioje srityje turi </w:t>
      </w:r>
      <w:proofErr w:type="spellStart"/>
      <w:r w:rsidRPr="00EB7681">
        <w:t>Govtech</w:t>
      </w:r>
      <w:proofErr w:type="spellEnd"/>
      <w:r w:rsidRPr="00EB7681">
        <w:t xml:space="preserve"> </w:t>
      </w:r>
      <w:proofErr w:type="spellStart"/>
      <w:r w:rsidRPr="00EB7681">
        <w:t>Lab</w:t>
      </w:r>
      <w:proofErr w:type="spellEnd"/>
      <w:r w:rsidRPr="00EB7681">
        <w:t>);</w:t>
      </w:r>
    </w:p>
    <w:p w:rsidR="00EB7681" w:rsidRPr="00EB7681" w:rsidRDefault="00EB7681" w:rsidP="00EB7681">
      <w:pPr>
        <w:pStyle w:val="Sraopastraipa"/>
        <w:numPr>
          <w:ilvl w:val="0"/>
          <w:numId w:val="2"/>
        </w:numPr>
        <w:contextualSpacing w:val="0"/>
        <w:jc w:val="both"/>
      </w:pPr>
      <w:r w:rsidRPr="00EB7681">
        <w:t xml:space="preserve">Pritraukti </w:t>
      </w:r>
      <w:r w:rsidRPr="00EB7681">
        <w:rPr>
          <w:bCs/>
        </w:rPr>
        <w:t>alternatyvūs finansavimo šaltiniai</w:t>
      </w:r>
      <w:r w:rsidRPr="00EB7681">
        <w:t xml:space="preserve"> – mažėjant ES struktūrinių fondų vaidmeniui šalyje, vis aktualesnėmis tampa tiesiogiai Europos Komisijos valdomos programos („Skaitmeninė Europa“, „Europos horizontas“, „</w:t>
      </w:r>
      <w:proofErr w:type="spellStart"/>
      <w:r w:rsidRPr="00EB7681">
        <w:t>Invest</w:t>
      </w:r>
      <w:proofErr w:type="spellEnd"/>
      <w:r w:rsidRPr="00EB7681">
        <w:t xml:space="preserve"> EU“, Europos infrastruktūros tinklų priemonė (</w:t>
      </w:r>
      <w:r w:rsidRPr="00EB7681">
        <w:rPr>
          <w:i/>
          <w:iCs/>
        </w:rPr>
        <w:t>CEF2 Digital</w:t>
      </w:r>
      <w:r w:rsidRPr="00EB7681">
        <w:t>);</w:t>
      </w:r>
    </w:p>
    <w:p w:rsidR="00EB7681" w:rsidRPr="00EB7681" w:rsidRDefault="00EB7681" w:rsidP="00EB7681">
      <w:pPr>
        <w:pStyle w:val="Sraopastraipa"/>
        <w:numPr>
          <w:ilvl w:val="0"/>
          <w:numId w:val="2"/>
        </w:numPr>
        <w:contextualSpacing w:val="0"/>
        <w:jc w:val="both"/>
      </w:pPr>
      <w:r w:rsidRPr="00EB7681">
        <w:t xml:space="preserve">Laiku įgyvendinti reikiamus </w:t>
      </w:r>
      <w:r w:rsidRPr="00EB7681">
        <w:rPr>
          <w:bCs/>
        </w:rPr>
        <w:t>teisinės bazės pokyčiai, sekama ES standartais ir gerąja praktika.</w:t>
      </w:r>
    </w:p>
    <w:p w:rsidR="00EB7681" w:rsidRPr="002A2046" w:rsidRDefault="00EB7681" w:rsidP="00EB7681">
      <w:pPr>
        <w:jc w:val="both"/>
        <w:rPr>
          <w:b/>
        </w:rPr>
      </w:pPr>
      <w:r w:rsidRPr="002A2046">
        <w:rPr>
          <w:b/>
        </w:rPr>
        <w:t xml:space="preserve">3. </w:t>
      </w:r>
      <w:r>
        <w:rPr>
          <w:b/>
        </w:rPr>
        <w:t>Nustatytos i</w:t>
      </w:r>
      <w:r w:rsidRPr="002A2046">
        <w:rPr>
          <w:b/>
        </w:rPr>
        <w:t>nvestavimo kryptys po 2021 m.</w:t>
      </w:r>
    </w:p>
    <w:p w:rsidR="00EB7681" w:rsidRPr="009F5CDD" w:rsidRDefault="00EB7681" w:rsidP="00EB7681">
      <w:pPr>
        <w:jc w:val="both"/>
      </w:pPr>
      <w:r w:rsidRPr="009F5CDD">
        <w:t xml:space="preserve">Atsižvelgiant į Europos Komisijos šalies ataskaitą, neformalių derybų rezultatus, 2007–2020 m. laikotarpių pasiekimus ir Europos bei Lietuvos strateginę viziją, </w:t>
      </w:r>
      <w:r w:rsidRPr="009F5CDD">
        <w:rPr>
          <w:bCs/>
        </w:rPr>
        <w:t xml:space="preserve">ES struktūrinių fondų investicijas, skirtas 1.2 uždaviniui siūloma telkti penkiomis kryptimis </w:t>
      </w:r>
      <w:r w:rsidRPr="009F5CDD">
        <w:t xml:space="preserve">– visos jos atitinka visuomenės </w:t>
      </w:r>
      <w:proofErr w:type="spellStart"/>
      <w:r w:rsidRPr="009F5CDD">
        <w:t>skaitmeninimo</w:t>
      </w:r>
      <w:proofErr w:type="spellEnd"/>
      <w:r w:rsidRPr="009F5CDD">
        <w:t xml:space="preserve"> gairėse pateiktus siūlymus: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EB7681" w:rsidRPr="002A2046" w:rsidTr="007B25F9">
        <w:tc>
          <w:tcPr>
            <w:tcW w:w="9854" w:type="dxa"/>
            <w:shd w:val="clear" w:color="auto" w:fill="auto"/>
          </w:tcPr>
          <w:p w:rsidR="00EB7681" w:rsidRPr="009F5CDD" w:rsidRDefault="00EB7681" w:rsidP="007B25F9">
            <w:pPr>
              <w:jc w:val="both"/>
              <w:rPr>
                <w:b/>
                <w:bCs/>
              </w:rPr>
            </w:pPr>
            <w:r>
              <w:rPr>
                <w:b/>
                <w:bCs/>
              </w:rPr>
              <w:t xml:space="preserve">a) </w:t>
            </w:r>
            <w:r w:rsidRPr="009F5CDD">
              <w:rPr>
                <w:bCs/>
                <w:i/>
              </w:rPr>
              <w:t>Skaitmeninių inovacijų centrų veikla,</w:t>
            </w:r>
            <w:r w:rsidRPr="009F5CDD">
              <w:rPr>
                <w:b/>
                <w:bCs/>
              </w:rPr>
              <w:t xml:space="preserve"> </w:t>
            </w:r>
            <w:r w:rsidRPr="002A2046">
              <w:t>užtikrinant,</w:t>
            </w:r>
            <w:r w:rsidRPr="009F5CDD">
              <w:rPr>
                <w:b/>
                <w:bCs/>
              </w:rPr>
              <w:t xml:space="preserve"> </w:t>
            </w:r>
            <w:r w:rsidRPr="002A2046">
              <w:t>kad centrai nedidins konkurencijos rinkoje veikiantiems žaidėjams, nedidins inovacijų sistemos fragmentacijos, nebus kuriama perteklinė infrastruktūra, o SIC veikla atneš aiškią pridėtinę vertę.</w:t>
            </w:r>
          </w:p>
          <w:p w:rsidR="00EB7681" w:rsidRPr="009F5CDD" w:rsidRDefault="00EB7681" w:rsidP="007B25F9">
            <w:pPr>
              <w:jc w:val="both"/>
              <w:rPr>
                <w:b/>
                <w:bCs/>
              </w:rPr>
            </w:pPr>
            <w:r>
              <w:rPr>
                <w:b/>
                <w:bCs/>
              </w:rPr>
              <w:t xml:space="preserve">b) </w:t>
            </w:r>
            <w:r w:rsidRPr="009F5CDD">
              <w:rPr>
                <w:bCs/>
                <w:i/>
              </w:rPr>
              <w:t>Atvirų duomenų paklausos skatinimas</w:t>
            </w:r>
            <w:r w:rsidRPr="009F5CDD">
              <w:rPr>
                <w:b/>
                <w:bCs/>
              </w:rPr>
              <w:t xml:space="preserve"> </w:t>
            </w:r>
            <w:r w:rsidRPr="002A2046">
              <w:t xml:space="preserve">– </w:t>
            </w:r>
            <w:proofErr w:type="spellStart"/>
            <w:r w:rsidRPr="002A2046">
              <w:t>inovatyvūs</w:t>
            </w:r>
            <w:proofErr w:type="spellEnd"/>
            <w:r w:rsidRPr="002A2046">
              <w:t xml:space="preserve"> sprendimai, kuriami viešųjų institucijų atvirų duomenų pagrindu.  Galimos intervencijos:</w:t>
            </w:r>
          </w:p>
          <w:p w:rsidR="00EB7681" w:rsidRPr="002A2046" w:rsidRDefault="00EB7681" w:rsidP="00EB7681">
            <w:pPr>
              <w:pStyle w:val="Sraopastraipa"/>
              <w:numPr>
                <w:ilvl w:val="0"/>
                <w:numId w:val="4"/>
              </w:numPr>
              <w:ind w:left="426"/>
              <w:contextualSpacing w:val="0"/>
              <w:jc w:val="both"/>
            </w:pPr>
            <w:r w:rsidRPr="002A2046">
              <w:t xml:space="preserve">Prizai ir (arba) subsidijos verslui, naudojančiam viešųjų institucijų atvirus duomenis </w:t>
            </w:r>
            <w:proofErr w:type="spellStart"/>
            <w:r w:rsidRPr="002A2046">
              <w:t>inovatyviems</w:t>
            </w:r>
            <w:proofErr w:type="spellEnd"/>
            <w:r w:rsidRPr="002A2046">
              <w:t xml:space="preserve"> sprendimams ar paslaugoms kurti.</w:t>
            </w:r>
          </w:p>
          <w:p w:rsidR="00EB7681" w:rsidRPr="002A2046" w:rsidRDefault="00EB7681" w:rsidP="00EB7681">
            <w:pPr>
              <w:pStyle w:val="Sraopastraipa"/>
              <w:numPr>
                <w:ilvl w:val="0"/>
                <w:numId w:val="4"/>
              </w:numPr>
              <w:ind w:left="426"/>
              <w:contextualSpacing w:val="0"/>
              <w:jc w:val="both"/>
            </w:pPr>
            <w:r w:rsidRPr="002A2046">
              <w:t xml:space="preserve">Subsidijos viešojo sektoriaus institucijoms, organizuojančioms </w:t>
            </w:r>
            <w:proofErr w:type="spellStart"/>
            <w:r w:rsidRPr="002A2046">
              <w:rPr>
                <w:i/>
                <w:iCs/>
              </w:rPr>
              <w:t>hakatonus</w:t>
            </w:r>
            <w:proofErr w:type="spellEnd"/>
            <w:r w:rsidRPr="002A2046">
              <w:t xml:space="preserve">, </w:t>
            </w:r>
            <w:proofErr w:type="spellStart"/>
            <w:r w:rsidRPr="002A2046">
              <w:t>GovTech</w:t>
            </w:r>
            <w:proofErr w:type="spellEnd"/>
            <w:r w:rsidRPr="002A2046">
              <w:t xml:space="preserve"> </w:t>
            </w:r>
            <w:proofErr w:type="spellStart"/>
            <w:r w:rsidRPr="002A2046">
              <w:t>Lab</w:t>
            </w:r>
            <w:proofErr w:type="spellEnd"/>
            <w:r w:rsidRPr="002A2046">
              <w:t xml:space="preserve"> veiklą. </w:t>
            </w:r>
          </w:p>
          <w:p w:rsidR="00EB7681" w:rsidRPr="002A2046" w:rsidRDefault="00EB7681" w:rsidP="00EB7681">
            <w:pPr>
              <w:pStyle w:val="Sraopastraipa"/>
              <w:numPr>
                <w:ilvl w:val="0"/>
                <w:numId w:val="4"/>
              </w:numPr>
              <w:ind w:left="426"/>
              <w:contextualSpacing w:val="0"/>
              <w:jc w:val="both"/>
            </w:pPr>
            <w:r w:rsidRPr="002A2046">
              <w:t>Subsidijos techninei pagalbai savivaldybėms teikti: telkti atvirų duomenų teikėjų ir vartotojų bendruomenę regionuose, metodinė pagalba identifikuojant duomenų atvėrimo poreikius ir prievoles bei atveriant duomenis.</w:t>
            </w:r>
          </w:p>
        </w:tc>
      </w:tr>
      <w:tr w:rsidR="00EB7681" w:rsidRPr="002A2046" w:rsidTr="007B25F9">
        <w:tc>
          <w:tcPr>
            <w:tcW w:w="9854" w:type="dxa"/>
            <w:shd w:val="clear" w:color="auto" w:fill="auto"/>
          </w:tcPr>
          <w:p w:rsidR="00EB7681" w:rsidRPr="002A2046" w:rsidRDefault="00EB7681" w:rsidP="007B25F9">
            <w:pPr>
              <w:jc w:val="both"/>
            </w:pPr>
            <w:r>
              <w:rPr>
                <w:b/>
                <w:bCs/>
              </w:rPr>
              <w:lastRenderedPageBreak/>
              <w:t xml:space="preserve">c) </w:t>
            </w:r>
            <w:r w:rsidRPr="009F5CDD">
              <w:rPr>
                <w:bCs/>
                <w:i/>
              </w:rPr>
              <w:t xml:space="preserve">Masinių skaitmeninių paslaugų plėtra ir atnaujinimui, įskaitant sąveikių sprendimų ir pagrindinės infrastruktūros (angl. </w:t>
            </w:r>
            <w:proofErr w:type="spellStart"/>
            <w:r w:rsidRPr="009F5CDD">
              <w:rPr>
                <w:bCs/>
                <w:i/>
                <w:iCs/>
              </w:rPr>
              <w:t>key</w:t>
            </w:r>
            <w:proofErr w:type="spellEnd"/>
            <w:r w:rsidRPr="009F5CDD">
              <w:rPr>
                <w:bCs/>
                <w:i/>
                <w:iCs/>
              </w:rPr>
              <w:t xml:space="preserve"> </w:t>
            </w:r>
            <w:proofErr w:type="spellStart"/>
            <w:r w:rsidRPr="009F5CDD">
              <w:rPr>
                <w:bCs/>
                <w:i/>
                <w:iCs/>
              </w:rPr>
              <w:t>enablers</w:t>
            </w:r>
            <w:proofErr w:type="spellEnd"/>
            <w:r w:rsidRPr="009F5CDD">
              <w:rPr>
                <w:bCs/>
                <w:i/>
              </w:rPr>
              <w:t>) diegimą ir tobulinimą</w:t>
            </w:r>
            <w:r w:rsidRPr="009F5CDD">
              <w:rPr>
                <w:i/>
              </w:rPr>
              <w:t xml:space="preserve">. </w:t>
            </w:r>
            <w:r w:rsidRPr="002A2046">
              <w:t>Galimos intervencijos:</w:t>
            </w:r>
          </w:p>
          <w:p w:rsidR="00EB7681" w:rsidRPr="002A2046" w:rsidRDefault="00EB7681" w:rsidP="00EB7681">
            <w:pPr>
              <w:pStyle w:val="Sraassuenkleliais"/>
              <w:numPr>
                <w:ilvl w:val="0"/>
                <w:numId w:val="5"/>
              </w:numPr>
              <w:spacing w:after="0"/>
              <w:rPr>
                <w:rFonts w:ascii="Times New Roman" w:hAnsi="Times New Roman"/>
                <w:sz w:val="24"/>
              </w:rPr>
            </w:pPr>
            <w:proofErr w:type="spellStart"/>
            <w:r w:rsidRPr="002A2046">
              <w:rPr>
                <w:rFonts w:ascii="Times New Roman" w:hAnsi="Times New Roman"/>
                <w:sz w:val="24"/>
              </w:rPr>
              <w:t>Subsidijos</w:t>
            </w:r>
            <w:proofErr w:type="spellEnd"/>
            <w:r w:rsidRPr="002A2046">
              <w:rPr>
                <w:rFonts w:ascii="Times New Roman" w:hAnsi="Times New Roman"/>
                <w:sz w:val="24"/>
              </w:rPr>
              <w:t xml:space="preserve"> </w:t>
            </w:r>
            <w:proofErr w:type="spellStart"/>
            <w:r w:rsidRPr="002A2046">
              <w:rPr>
                <w:rFonts w:ascii="Times New Roman" w:hAnsi="Times New Roman"/>
                <w:sz w:val="24"/>
              </w:rPr>
              <w:t>duomenų</w:t>
            </w:r>
            <w:proofErr w:type="spellEnd"/>
            <w:r w:rsidRPr="002A2046">
              <w:rPr>
                <w:rFonts w:ascii="Times New Roman" w:hAnsi="Times New Roman"/>
                <w:sz w:val="24"/>
              </w:rPr>
              <w:t xml:space="preserve"> </w:t>
            </w:r>
            <w:proofErr w:type="spellStart"/>
            <w:r w:rsidRPr="002A2046">
              <w:rPr>
                <w:rFonts w:ascii="Times New Roman" w:hAnsi="Times New Roman"/>
                <w:sz w:val="24"/>
              </w:rPr>
              <w:t>analitikos</w:t>
            </w:r>
            <w:proofErr w:type="spellEnd"/>
            <w:r w:rsidRPr="002A2046">
              <w:rPr>
                <w:rFonts w:ascii="Times New Roman" w:hAnsi="Times New Roman"/>
                <w:sz w:val="24"/>
              </w:rPr>
              <w:t xml:space="preserve"> </w:t>
            </w:r>
            <w:proofErr w:type="spellStart"/>
            <w:r w:rsidRPr="002A2046">
              <w:rPr>
                <w:rFonts w:ascii="Times New Roman" w:hAnsi="Times New Roman"/>
                <w:sz w:val="24"/>
              </w:rPr>
              <w:t>sprendimų</w:t>
            </w:r>
            <w:proofErr w:type="spellEnd"/>
            <w:r w:rsidRPr="002A2046">
              <w:rPr>
                <w:rFonts w:ascii="Times New Roman" w:hAnsi="Times New Roman"/>
                <w:sz w:val="24"/>
              </w:rPr>
              <w:t xml:space="preserve">, </w:t>
            </w:r>
            <w:proofErr w:type="spellStart"/>
            <w:r w:rsidRPr="002A2046">
              <w:rPr>
                <w:rFonts w:ascii="Times New Roman" w:hAnsi="Times New Roman"/>
                <w:sz w:val="24"/>
              </w:rPr>
              <w:t>visų</w:t>
            </w:r>
            <w:proofErr w:type="spellEnd"/>
            <w:r w:rsidRPr="002A2046">
              <w:rPr>
                <w:rFonts w:ascii="Times New Roman" w:hAnsi="Times New Roman"/>
                <w:sz w:val="24"/>
              </w:rPr>
              <w:t xml:space="preserve"> </w:t>
            </w:r>
            <w:proofErr w:type="spellStart"/>
            <w:r w:rsidRPr="002A2046">
              <w:rPr>
                <w:rFonts w:ascii="Times New Roman" w:hAnsi="Times New Roman"/>
                <w:sz w:val="24"/>
              </w:rPr>
              <w:t>pirma</w:t>
            </w:r>
            <w:proofErr w:type="spellEnd"/>
            <w:r w:rsidRPr="002A2046">
              <w:rPr>
                <w:rFonts w:ascii="Times New Roman" w:hAnsi="Times New Roman"/>
                <w:sz w:val="24"/>
              </w:rPr>
              <w:t xml:space="preserve"> </w:t>
            </w:r>
            <w:proofErr w:type="spellStart"/>
            <w:r w:rsidRPr="002A2046">
              <w:rPr>
                <w:rFonts w:ascii="Times New Roman" w:hAnsi="Times New Roman"/>
                <w:sz w:val="24"/>
              </w:rPr>
              <w:t>paremtų</w:t>
            </w:r>
            <w:proofErr w:type="spellEnd"/>
            <w:r w:rsidRPr="002A2046">
              <w:rPr>
                <w:rFonts w:ascii="Times New Roman" w:hAnsi="Times New Roman"/>
                <w:sz w:val="24"/>
              </w:rPr>
              <w:t xml:space="preserve"> </w:t>
            </w:r>
            <w:proofErr w:type="spellStart"/>
            <w:r w:rsidRPr="002A2046">
              <w:rPr>
                <w:rFonts w:ascii="Times New Roman" w:hAnsi="Times New Roman"/>
                <w:sz w:val="24"/>
              </w:rPr>
              <w:t>dirbtinio</w:t>
            </w:r>
            <w:proofErr w:type="spellEnd"/>
            <w:r w:rsidRPr="002A2046">
              <w:rPr>
                <w:rFonts w:ascii="Times New Roman" w:hAnsi="Times New Roman"/>
                <w:sz w:val="24"/>
              </w:rPr>
              <w:t xml:space="preserve"> </w:t>
            </w:r>
            <w:proofErr w:type="spellStart"/>
            <w:r w:rsidRPr="002A2046">
              <w:rPr>
                <w:rFonts w:ascii="Times New Roman" w:hAnsi="Times New Roman"/>
                <w:sz w:val="24"/>
              </w:rPr>
              <w:t>intelekto</w:t>
            </w:r>
            <w:proofErr w:type="spellEnd"/>
            <w:r w:rsidRPr="002A2046">
              <w:rPr>
                <w:rFonts w:ascii="Times New Roman" w:hAnsi="Times New Roman"/>
                <w:sz w:val="24"/>
              </w:rPr>
              <w:t xml:space="preserve"> </w:t>
            </w:r>
            <w:proofErr w:type="spellStart"/>
            <w:r w:rsidRPr="002A2046">
              <w:rPr>
                <w:rFonts w:ascii="Times New Roman" w:hAnsi="Times New Roman"/>
                <w:sz w:val="24"/>
              </w:rPr>
              <w:t>technologijomis</w:t>
            </w:r>
            <w:proofErr w:type="spellEnd"/>
            <w:r w:rsidRPr="002A2046">
              <w:rPr>
                <w:rFonts w:ascii="Times New Roman" w:hAnsi="Times New Roman"/>
                <w:sz w:val="24"/>
              </w:rPr>
              <w:t xml:space="preserve">, </w:t>
            </w:r>
            <w:proofErr w:type="spellStart"/>
            <w:r w:rsidRPr="002A2046">
              <w:rPr>
                <w:rFonts w:ascii="Times New Roman" w:hAnsi="Times New Roman"/>
                <w:sz w:val="24"/>
              </w:rPr>
              <w:t>taikymui</w:t>
            </w:r>
            <w:proofErr w:type="spellEnd"/>
            <w:r w:rsidRPr="002A2046">
              <w:rPr>
                <w:rFonts w:ascii="Times New Roman" w:hAnsi="Times New Roman"/>
                <w:sz w:val="24"/>
              </w:rPr>
              <w:t xml:space="preserve"> </w:t>
            </w:r>
            <w:proofErr w:type="spellStart"/>
            <w:r w:rsidRPr="002A2046">
              <w:rPr>
                <w:rFonts w:ascii="Times New Roman" w:hAnsi="Times New Roman"/>
                <w:sz w:val="24"/>
              </w:rPr>
              <w:t>viešajame</w:t>
            </w:r>
            <w:proofErr w:type="spellEnd"/>
            <w:r w:rsidRPr="002A2046">
              <w:rPr>
                <w:rFonts w:ascii="Times New Roman" w:hAnsi="Times New Roman"/>
                <w:sz w:val="24"/>
              </w:rPr>
              <w:t xml:space="preserve"> </w:t>
            </w:r>
            <w:proofErr w:type="spellStart"/>
            <w:r w:rsidRPr="002A2046">
              <w:rPr>
                <w:rFonts w:ascii="Times New Roman" w:hAnsi="Times New Roman"/>
                <w:sz w:val="24"/>
              </w:rPr>
              <w:t>sektoriuje</w:t>
            </w:r>
            <w:proofErr w:type="spellEnd"/>
            <w:r w:rsidRPr="002A2046">
              <w:rPr>
                <w:rFonts w:ascii="Times New Roman" w:hAnsi="Times New Roman"/>
                <w:sz w:val="24"/>
              </w:rPr>
              <w:t>.</w:t>
            </w:r>
          </w:p>
          <w:p w:rsidR="00EB7681" w:rsidRPr="002A2046" w:rsidRDefault="00EB7681" w:rsidP="00EB7681">
            <w:pPr>
              <w:pStyle w:val="Sraassuenkleliais"/>
              <w:numPr>
                <w:ilvl w:val="0"/>
                <w:numId w:val="5"/>
              </w:numPr>
              <w:spacing w:after="0"/>
              <w:rPr>
                <w:rFonts w:ascii="Times New Roman" w:hAnsi="Times New Roman"/>
                <w:sz w:val="24"/>
              </w:rPr>
            </w:pPr>
            <w:proofErr w:type="spellStart"/>
            <w:r w:rsidRPr="002A2046">
              <w:rPr>
                <w:rFonts w:ascii="Times New Roman" w:hAnsi="Times New Roman"/>
                <w:sz w:val="24"/>
              </w:rPr>
              <w:t>Subsidijos</w:t>
            </w:r>
            <w:proofErr w:type="spellEnd"/>
            <w:r w:rsidRPr="002A2046">
              <w:rPr>
                <w:rFonts w:ascii="Times New Roman" w:hAnsi="Times New Roman"/>
                <w:sz w:val="24"/>
              </w:rPr>
              <w:t xml:space="preserve"> </w:t>
            </w:r>
            <w:proofErr w:type="spellStart"/>
            <w:r w:rsidRPr="002A2046">
              <w:rPr>
                <w:rFonts w:ascii="Times New Roman" w:hAnsi="Times New Roman"/>
                <w:sz w:val="24"/>
              </w:rPr>
              <w:t>sudėtinių</w:t>
            </w:r>
            <w:proofErr w:type="spellEnd"/>
            <w:r w:rsidRPr="002A2046">
              <w:rPr>
                <w:rFonts w:ascii="Times New Roman" w:hAnsi="Times New Roman"/>
                <w:sz w:val="24"/>
              </w:rPr>
              <w:t xml:space="preserve"> </w:t>
            </w:r>
            <w:proofErr w:type="spellStart"/>
            <w:r w:rsidRPr="002A2046">
              <w:rPr>
                <w:rFonts w:ascii="Times New Roman" w:hAnsi="Times New Roman"/>
                <w:sz w:val="24"/>
              </w:rPr>
              <w:t>viešųjų</w:t>
            </w:r>
            <w:proofErr w:type="spellEnd"/>
            <w:r w:rsidRPr="002A2046">
              <w:rPr>
                <w:rFonts w:ascii="Times New Roman" w:hAnsi="Times New Roman"/>
                <w:sz w:val="24"/>
              </w:rPr>
              <w:t xml:space="preserve"> </w:t>
            </w:r>
            <w:proofErr w:type="spellStart"/>
            <w:r w:rsidRPr="002A2046">
              <w:rPr>
                <w:rFonts w:ascii="Times New Roman" w:hAnsi="Times New Roman"/>
                <w:sz w:val="24"/>
              </w:rPr>
              <w:t>paslaugų</w:t>
            </w:r>
            <w:proofErr w:type="spellEnd"/>
            <w:r w:rsidRPr="002A2046">
              <w:rPr>
                <w:rFonts w:ascii="Times New Roman" w:hAnsi="Times New Roman"/>
                <w:sz w:val="24"/>
              </w:rPr>
              <w:t xml:space="preserve"> </w:t>
            </w:r>
            <w:proofErr w:type="spellStart"/>
            <w:r w:rsidRPr="002A2046">
              <w:rPr>
                <w:rFonts w:ascii="Times New Roman" w:hAnsi="Times New Roman"/>
                <w:sz w:val="24"/>
              </w:rPr>
              <w:t>kūrimui</w:t>
            </w:r>
            <w:proofErr w:type="spellEnd"/>
            <w:r w:rsidRPr="002A2046">
              <w:rPr>
                <w:rFonts w:ascii="Times New Roman" w:hAnsi="Times New Roman"/>
                <w:sz w:val="24"/>
              </w:rPr>
              <w:t xml:space="preserve">, </w:t>
            </w:r>
            <w:proofErr w:type="spellStart"/>
            <w:r w:rsidRPr="002A2046">
              <w:rPr>
                <w:rFonts w:ascii="Times New Roman" w:hAnsi="Times New Roman"/>
                <w:sz w:val="24"/>
              </w:rPr>
              <w:t>plėtrai</w:t>
            </w:r>
            <w:proofErr w:type="spellEnd"/>
            <w:r w:rsidRPr="002A2046">
              <w:rPr>
                <w:rFonts w:ascii="Times New Roman" w:hAnsi="Times New Roman"/>
                <w:sz w:val="24"/>
              </w:rPr>
              <w:t xml:space="preserve"> </w:t>
            </w:r>
            <w:proofErr w:type="spellStart"/>
            <w:r w:rsidRPr="002A2046">
              <w:rPr>
                <w:rFonts w:ascii="Times New Roman" w:hAnsi="Times New Roman"/>
                <w:sz w:val="24"/>
              </w:rPr>
              <w:t>ir</w:t>
            </w:r>
            <w:proofErr w:type="spellEnd"/>
            <w:r w:rsidRPr="002A2046">
              <w:rPr>
                <w:rFonts w:ascii="Times New Roman" w:hAnsi="Times New Roman"/>
                <w:sz w:val="24"/>
              </w:rPr>
              <w:t xml:space="preserve"> </w:t>
            </w:r>
            <w:proofErr w:type="spellStart"/>
            <w:r w:rsidRPr="002A2046">
              <w:rPr>
                <w:rFonts w:ascii="Times New Roman" w:hAnsi="Times New Roman"/>
                <w:sz w:val="24"/>
              </w:rPr>
              <w:t>atnaujinimui</w:t>
            </w:r>
            <w:proofErr w:type="spellEnd"/>
            <w:r w:rsidRPr="002A2046">
              <w:rPr>
                <w:rFonts w:ascii="Times New Roman" w:hAnsi="Times New Roman"/>
                <w:sz w:val="24"/>
              </w:rPr>
              <w:t xml:space="preserve">, </w:t>
            </w:r>
            <w:proofErr w:type="spellStart"/>
            <w:r w:rsidRPr="002A2046">
              <w:rPr>
                <w:rFonts w:ascii="Times New Roman" w:hAnsi="Times New Roman"/>
                <w:sz w:val="24"/>
              </w:rPr>
              <w:t>įsk</w:t>
            </w:r>
            <w:proofErr w:type="spellEnd"/>
            <w:r w:rsidRPr="002A2046">
              <w:rPr>
                <w:rFonts w:ascii="Times New Roman" w:hAnsi="Times New Roman"/>
                <w:sz w:val="24"/>
              </w:rPr>
              <w:t xml:space="preserve">. </w:t>
            </w:r>
            <w:proofErr w:type="spellStart"/>
            <w:proofErr w:type="gramStart"/>
            <w:r w:rsidRPr="002A2046">
              <w:rPr>
                <w:rFonts w:ascii="Times New Roman" w:hAnsi="Times New Roman"/>
                <w:sz w:val="24"/>
              </w:rPr>
              <w:t>institucijos</w:t>
            </w:r>
            <w:proofErr w:type="spellEnd"/>
            <w:proofErr w:type="gramEnd"/>
            <w:r w:rsidRPr="002A2046">
              <w:rPr>
                <w:rFonts w:ascii="Times New Roman" w:hAnsi="Times New Roman"/>
                <w:sz w:val="24"/>
              </w:rPr>
              <w:t xml:space="preserve"> </w:t>
            </w:r>
            <w:proofErr w:type="spellStart"/>
            <w:r w:rsidRPr="002A2046">
              <w:rPr>
                <w:rFonts w:ascii="Times New Roman" w:hAnsi="Times New Roman"/>
                <w:sz w:val="24"/>
              </w:rPr>
              <w:t>vidaus</w:t>
            </w:r>
            <w:proofErr w:type="spellEnd"/>
            <w:r w:rsidRPr="002A2046">
              <w:rPr>
                <w:rFonts w:ascii="Times New Roman" w:hAnsi="Times New Roman"/>
                <w:sz w:val="24"/>
              </w:rPr>
              <w:t xml:space="preserve"> </w:t>
            </w:r>
            <w:proofErr w:type="spellStart"/>
            <w:r w:rsidRPr="002A2046">
              <w:rPr>
                <w:rFonts w:ascii="Times New Roman" w:hAnsi="Times New Roman"/>
                <w:sz w:val="24"/>
              </w:rPr>
              <w:t>procesų</w:t>
            </w:r>
            <w:proofErr w:type="spellEnd"/>
            <w:r w:rsidRPr="002A2046">
              <w:rPr>
                <w:rFonts w:ascii="Times New Roman" w:hAnsi="Times New Roman"/>
                <w:sz w:val="24"/>
              </w:rPr>
              <w:t xml:space="preserve">, </w:t>
            </w:r>
            <w:proofErr w:type="spellStart"/>
            <w:r w:rsidRPr="002A2046">
              <w:rPr>
                <w:rFonts w:ascii="Times New Roman" w:hAnsi="Times New Roman"/>
                <w:sz w:val="24"/>
              </w:rPr>
              <w:t>reikalingų</w:t>
            </w:r>
            <w:proofErr w:type="spellEnd"/>
            <w:r w:rsidRPr="002A2046">
              <w:rPr>
                <w:rFonts w:ascii="Times New Roman" w:hAnsi="Times New Roman"/>
                <w:sz w:val="24"/>
              </w:rPr>
              <w:t xml:space="preserve"> </w:t>
            </w:r>
            <w:proofErr w:type="spellStart"/>
            <w:r w:rsidRPr="002A2046">
              <w:rPr>
                <w:rFonts w:ascii="Times New Roman" w:hAnsi="Times New Roman"/>
                <w:sz w:val="24"/>
              </w:rPr>
              <w:t>paslaugai</w:t>
            </w:r>
            <w:proofErr w:type="spellEnd"/>
            <w:r w:rsidRPr="002A2046">
              <w:rPr>
                <w:rFonts w:ascii="Times New Roman" w:hAnsi="Times New Roman"/>
                <w:sz w:val="24"/>
              </w:rPr>
              <w:t xml:space="preserve"> </w:t>
            </w:r>
            <w:proofErr w:type="spellStart"/>
            <w:r w:rsidRPr="002A2046">
              <w:rPr>
                <w:rFonts w:ascii="Times New Roman" w:hAnsi="Times New Roman"/>
                <w:sz w:val="24"/>
              </w:rPr>
              <w:t>teikti</w:t>
            </w:r>
            <w:proofErr w:type="spellEnd"/>
            <w:r w:rsidRPr="002A2046">
              <w:rPr>
                <w:rFonts w:ascii="Times New Roman" w:hAnsi="Times New Roman"/>
                <w:sz w:val="24"/>
              </w:rPr>
              <w:t xml:space="preserve">, </w:t>
            </w:r>
            <w:proofErr w:type="spellStart"/>
            <w:r w:rsidRPr="002A2046">
              <w:rPr>
                <w:rFonts w:ascii="Times New Roman" w:hAnsi="Times New Roman"/>
                <w:sz w:val="24"/>
              </w:rPr>
              <w:t>skaitmeninimą</w:t>
            </w:r>
            <w:proofErr w:type="spellEnd"/>
            <w:r w:rsidRPr="002A2046">
              <w:rPr>
                <w:rFonts w:ascii="Times New Roman" w:hAnsi="Times New Roman"/>
                <w:sz w:val="24"/>
              </w:rPr>
              <w:t xml:space="preserve">. </w:t>
            </w:r>
            <w:proofErr w:type="spellStart"/>
            <w:r w:rsidRPr="002A2046">
              <w:rPr>
                <w:rFonts w:ascii="Times New Roman" w:hAnsi="Times New Roman"/>
                <w:sz w:val="24"/>
              </w:rPr>
              <w:t>Esant</w:t>
            </w:r>
            <w:proofErr w:type="spellEnd"/>
            <w:r w:rsidRPr="002A2046">
              <w:rPr>
                <w:rFonts w:ascii="Times New Roman" w:hAnsi="Times New Roman"/>
                <w:sz w:val="24"/>
              </w:rPr>
              <w:t xml:space="preserve"> </w:t>
            </w:r>
            <w:proofErr w:type="spellStart"/>
            <w:r w:rsidRPr="002A2046">
              <w:rPr>
                <w:rFonts w:ascii="Times New Roman" w:hAnsi="Times New Roman"/>
                <w:sz w:val="24"/>
              </w:rPr>
              <w:t>ribotiems</w:t>
            </w:r>
            <w:proofErr w:type="spellEnd"/>
            <w:r w:rsidRPr="002A2046">
              <w:rPr>
                <w:rFonts w:ascii="Times New Roman" w:hAnsi="Times New Roman"/>
                <w:sz w:val="24"/>
              </w:rPr>
              <w:t xml:space="preserve"> </w:t>
            </w:r>
            <w:proofErr w:type="spellStart"/>
            <w:r w:rsidRPr="002A2046">
              <w:rPr>
                <w:rFonts w:ascii="Times New Roman" w:hAnsi="Times New Roman"/>
                <w:sz w:val="24"/>
              </w:rPr>
              <w:t>finansiniams</w:t>
            </w:r>
            <w:proofErr w:type="spellEnd"/>
            <w:r w:rsidRPr="002A2046">
              <w:rPr>
                <w:rFonts w:ascii="Times New Roman" w:hAnsi="Times New Roman"/>
                <w:sz w:val="24"/>
              </w:rPr>
              <w:t xml:space="preserve"> </w:t>
            </w:r>
            <w:proofErr w:type="spellStart"/>
            <w:r w:rsidRPr="002A2046">
              <w:rPr>
                <w:rFonts w:ascii="Times New Roman" w:hAnsi="Times New Roman"/>
                <w:sz w:val="24"/>
              </w:rPr>
              <w:t>ištekliams</w:t>
            </w:r>
            <w:proofErr w:type="spellEnd"/>
            <w:r w:rsidRPr="002A2046">
              <w:rPr>
                <w:rFonts w:ascii="Times New Roman" w:hAnsi="Times New Roman"/>
                <w:sz w:val="24"/>
              </w:rPr>
              <w:t xml:space="preserve">, </w:t>
            </w:r>
            <w:proofErr w:type="spellStart"/>
            <w:r w:rsidRPr="002A2046">
              <w:rPr>
                <w:rFonts w:ascii="Times New Roman" w:hAnsi="Times New Roman"/>
                <w:sz w:val="24"/>
              </w:rPr>
              <w:t>investicijas</w:t>
            </w:r>
            <w:proofErr w:type="spellEnd"/>
            <w:r w:rsidRPr="002A2046">
              <w:rPr>
                <w:rFonts w:ascii="Times New Roman" w:hAnsi="Times New Roman"/>
                <w:sz w:val="24"/>
              </w:rPr>
              <w:t xml:space="preserve"> </w:t>
            </w:r>
            <w:proofErr w:type="spellStart"/>
            <w:r w:rsidRPr="002A2046">
              <w:rPr>
                <w:rFonts w:ascii="Times New Roman" w:hAnsi="Times New Roman"/>
                <w:sz w:val="24"/>
              </w:rPr>
              <w:t>sukoncentruoti</w:t>
            </w:r>
            <w:proofErr w:type="spellEnd"/>
            <w:r w:rsidRPr="002A2046">
              <w:rPr>
                <w:rFonts w:ascii="Times New Roman" w:hAnsi="Times New Roman"/>
                <w:sz w:val="24"/>
              </w:rPr>
              <w:t xml:space="preserve"> į </w:t>
            </w:r>
            <w:proofErr w:type="spellStart"/>
            <w:r w:rsidRPr="002A2046">
              <w:rPr>
                <w:rFonts w:ascii="Times New Roman" w:hAnsi="Times New Roman"/>
                <w:sz w:val="24"/>
              </w:rPr>
              <w:t>tas</w:t>
            </w:r>
            <w:proofErr w:type="spellEnd"/>
            <w:r w:rsidRPr="002A2046">
              <w:rPr>
                <w:rFonts w:ascii="Times New Roman" w:hAnsi="Times New Roman"/>
                <w:sz w:val="24"/>
              </w:rPr>
              <w:t xml:space="preserve"> </w:t>
            </w:r>
            <w:proofErr w:type="spellStart"/>
            <w:r w:rsidRPr="002A2046">
              <w:rPr>
                <w:rFonts w:ascii="Times New Roman" w:hAnsi="Times New Roman"/>
                <w:sz w:val="24"/>
              </w:rPr>
              <w:t>sudėtines</w:t>
            </w:r>
            <w:proofErr w:type="spellEnd"/>
            <w:r w:rsidRPr="002A2046">
              <w:rPr>
                <w:rFonts w:ascii="Times New Roman" w:hAnsi="Times New Roman"/>
                <w:sz w:val="24"/>
              </w:rPr>
              <w:t xml:space="preserve"> </w:t>
            </w:r>
            <w:proofErr w:type="spellStart"/>
            <w:r w:rsidRPr="002A2046">
              <w:rPr>
                <w:rFonts w:ascii="Times New Roman" w:hAnsi="Times New Roman"/>
                <w:sz w:val="24"/>
              </w:rPr>
              <w:t>paslaugas</w:t>
            </w:r>
            <w:proofErr w:type="spellEnd"/>
            <w:r w:rsidRPr="002A2046">
              <w:rPr>
                <w:rFonts w:ascii="Times New Roman" w:hAnsi="Times New Roman"/>
                <w:sz w:val="24"/>
              </w:rPr>
              <w:t xml:space="preserve">, </w:t>
            </w:r>
            <w:proofErr w:type="spellStart"/>
            <w:r w:rsidRPr="002A2046">
              <w:rPr>
                <w:rFonts w:ascii="Times New Roman" w:hAnsi="Times New Roman"/>
                <w:sz w:val="24"/>
              </w:rPr>
              <w:t>kurios</w:t>
            </w:r>
            <w:proofErr w:type="spellEnd"/>
            <w:r w:rsidRPr="002A2046">
              <w:rPr>
                <w:rFonts w:ascii="Times New Roman" w:hAnsi="Times New Roman"/>
                <w:sz w:val="24"/>
              </w:rPr>
              <w:t xml:space="preserve"> </w:t>
            </w:r>
            <w:proofErr w:type="spellStart"/>
            <w:r w:rsidRPr="002A2046">
              <w:rPr>
                <w:rFonts w:ascii="Times New Roman" w:hAnsi="Times New Roman"/>
                <w:sz w:val="24"/>
              </w:rPr>
              <w:t>yra</w:t>
            </w:r>
            <w:proofErr w:type="spellEnd"/>
            <w:r w:rsidRPr="002A2046">
              <w:rPr>
                <w:rFonts w:ascii="Times New Roman" w:hAnsi="Times New Roman"/>
                <w:sz w:val="24"/>
              </w:rPr>
              <w:t xml:space="preserve"> </w:t>
            </w:r>
            <w:proofErr w:type="spellStart"/>
            <w:r w:rsidRPr="002A2046">
              <w:rPr>
                <w:rFonts w:ascii="Times New Roman" w:hAnsi="Times New Roman"/>
                <w:sz w:val="24"/>
              </w:rPr>
              <w:t>strategiškai</w:t>
            </w:r>
            <w:proofErr w:type="spellEnd"/>
            <w:r w:rsidRPr="002A2046">
              <w:rPr>
                <w:rFonts w:ascii="Times New Roman" w:hAnsi="Times New Roman"/>
                <w:sz w:val="24"/>
              </w:rPr>
              <w:t xml:space="preserve"> </w:t>
            </w:r>
            <w:proofErr w:type="spellStart"/>
            <w:r w:rsidRPr="002A2046">
              <w:rPr>
                <w:rFonts w:ascii="Times New Roman" w:hAnsi="Times New Roman"/>
                <w:i/>
                <w:iCs/>
                <w:sz w:val="24"/>
              </w:rPr>
              <w:t>reikšmingos</w:t>
            </w:r>
            <w:proofErr w:type="spellEnd"/>
            <w:r w:rsidRPr="002A2046">
              <w:rPr>
                <w:rFonts w:ascii="Times New Roman" w:hAnsi="Times New Roman"/>
                <w:sz w:val="24"/>
              </w:rPr>
              <w:t xml:space="preserve"> ES </w:t>
            </w:r>
            <w:proofErr w:type="spellStart"/>
            <w:r w:rsidRPr="002A2046">
              <w:rPr>
                <w:rFonts w:ascii="Times New Roman" w:hAnsi="Times New Roman"/>
                <w:sz w:val="24"/>
              </w:rPr>
              <w:t>ir</w:t>
            </w:r>
            <w:proofErr w:type="spellEnd"/>
            <w:r w:rsidRPr="002A2046">
              <w:rPr>
                <w:rFonts w:ascii="Times New Roman" w:hAnsi="Times New Roman"/>
                <w:sz w:val="24"/>
              </w:rPr>
              <w:t xml:space="preserve"> (</w:t>
            </w:r>
            <w:proofErr w:type="spellStart"/>
            <w:r w:rsidRPr="002A2046">
              <w:rPr>
                <w:rFonts w:ascii="Times New Roman" w:hAnsi="Times New Roman"/>
                <w:sz w:val="24"/>
              </w:rPr>
              <w:t>arba</w:t>
            </w:r>
            <w:proofErr w:type="spellEnd"/>
            <w:r w:rsidRPr="002A2046">
              <w:rPr>
                <w:rFonts w:ascii="Times New Roman" w:hAnsi="Times New Roman"/>
                <w:sz w:val="24"/>
              </w:rPr>
              <w:t xml:space="preserve">) </w:t>
            </w:r>
            <w:proofErr w:type="spellStart"/>
            <w:r w:rsidRPr="002A2046">
              <w:rPr>
                <w:rFonts w:ascii="Times New Roman" w:hAnsi="Times New Roman"/>
                <w:sz w:val="24"/>
              </w:rPr>
              <w:t>nacionaliniu</w:t>
            </w:r>
            <w:proofErr w:type="spellEnd"/>
            <w:r w:rsidRPr="002A2046">
              <w:rPr>
                <w:rFonts w:ascii="Times New Roman" w:hAnsi="Times New Roman"/>
                <w:sz w:val="24"/>
              </w:rPr>
              <w:t xml:space="preserve"> </w:t>
            </w:r>
            <w:proofErr w:type="spellStart"/>
            <w:r w:rsidRPr="002A2046">
              <w:rPr>
                <w:rFonts w:ascii="Times New Roman" w:hAnsi="Times New Roman"/>
                <w:sz w:val="24"/>
              </w:rPr>
              <w:t>lygiu</w:t>
            </w:r>
            <w:proofErr w:type="spellEnd"/>
            <w:r w:rsidRPr="002A2046">
              <w:rPr>
                <w:rFonts w:ascii="Times New Roman" w:hAnsi="Times New Roman"/>
                <w:sz w:val="24"/>
              </w:rPr>
              <w:t xml:space="preserve"> – </w:t>
            </w:r>
            <w:proofErr w:type="spellStart"/>
            <w:r w:rsidRPr="002A2046">
              <w:rPr>
                <w:rFonts w:ascii="Times New Roman" w:hAnsi="Times New Roman"/>
                <w:sz w:val="24"/>
              </w:rPr>
              <w:t>nurodomos</w:t>
            </w:r>
            <w:proofErr w:type="spellEnd"/>
            <w:r w:rsidRPr="002A2046">
              <w:rPr>
                <w:rFonts w:ascii="Times New Roman" w:hAnsi="Times New Roman"/>
                <w:sz w:val="24"/>
              </w:rPr>
              <w:t xml:space="preserve"> ES </w:t>
            </w:r>
            <w:proofErr w:type="spellStart"/>
            <w:r w:rsidRPr="002A2046">
              <w:rPr>
                <w:rFonts w:ascii="Times New Roman" w:hAnsi="Times New Roman"/>
                <w:sz w:val="24"/>
              </w:rPr>
              <w:t>ar</w:t>
            </w:r>
            <w:proofErr w:type="spellEnd"/>
            <w:r w:rsidRPr="002A2046">
              <w:rPr>
                <w:rFonts w:ascii="Times New Roman" w:hAnsi="Times New Roman"/>
                <w:sz w:val="24"/>
              </w:rPr>
              <w:t xml:space="preserve"> LR </w:t>
            </w:r>
            <w:proofErr w:type="spellStart"/>
            <w:r w:rsidRPr="002A2046">
              <w:rPr>
                <w:rFonts w:ascii="Times New Roman" w:hAnsi="Times New Roman"/>
                <w:sz w:val="24"/>
              </w:rPr>
              <w:t>teisės</w:t>
            </w:r>
            <w:proofErr w:type="spellEnd"/>
            <w:r w:rsidRPr="002A2046">
              <w:rPr>
                <w:rFonts w:ascii="Times New Roman" w:hAnsi="Times New Roman"/>
                <w:sz w:val="24"/>
              </w:rPr>
              <w:t xml:space="preserve"> </w:t>
            </w:r>
            <w:proofErr w:type="spellStart"/>
            <w:r w:rsidRPr="002A2046">
              <w:rPr>
                <w:rFonts w:ascii="Times New Roman" w:hAnsi="Times New Roman"/>
                <w:sz w:val="24"/>
              </w:rPr>
              <w:t>aktuose</w:t>
            </w:r>
            <w:proofErr w:type="spellEnd"/>
            <w:r w:rsidRPr="002A2046">
              <w:rPr>
                <w:rFonts w:ascii="Times New Roman" w:hAnsi="Times New Roman"/>
                <w:sz w:val="24"/>
              </w:rPr>
              <w:t xml:space="preserve">, </w:t>
            </w:r>
            <w:proofErr w:type="spellStart"/>
            <w:r w:rsidRPr="002A2046">
              <w:rPr>
                <w:rFonts w:ascii="Times New Roman" w:hAnsi="Times New Roman"/>
                <w:sz w:val="24"/>
              </w:rPr>
              <w:t>naudojamos</w:t>
            </w:r>
            <w:proofErr w:type="spellEnd"/>
            <w:r w:rsidRPr="002A2046">
              <w:rPr>
                <w:rFonts w:ascii="Times New Roman" w:hAnsi="Times New Roman"/>
                <w:sz w:val="24"/>
              </w:rPr>
              <w:t xml:space="preserve"> </w:t>
            </w:r>
            <w:proofErr w:type="spellStart"/>
            <w:r w:rsidRPr="002A2046">
              <w:rPr>
                <w:rFonts w:ascii="Times New Roman" w:hAnsi="Times New Roman"/>
                <w:sz w:val="24"/>
              </w:rPr>
              <w:t>tarpvalstybiniu</w:t>
            </w:r>
            <w:proofErr w:type="spellEnd"/>
            <w:r w:rsidRPr="002A2046">
              <w:rPr>
                <w:rFonts w:ascii="Times New Roman" w:hAnsi="Times New Roman"/>
                <w:sz w:val="24"/>
              </w:rPr>
              <w:t xml:space="preserve"> (ES) </w:t>
            </w:r>
            <w:proofErr w:type="spellStart"/>
            <w:r w:rsidRPr="002A2046">
              <w:rPr>
                <w:rFonts w:ascii="Times New Roman" w:hAnsi="Times New Roman"/>
                <w:sz w:val="24"/>
              </w:rPr>
              <w:t>ir</w:t>
            </w:r>
            <w:proofErr w:type="spellEnd"/>
            <w:r w:rsidRPr="002A2046">
              <w:rPr>
                <w:rFonts w:ascii="Times New Roman" w:hAnsi="Times New Roman"/>
                <w:sz w:val="24"/>
              </w:rPr>
              <w:t xml:space="preserve"> (</w:t>
            </w:r>
            <w:proofErr w:type="spellStart"/>
            <w:r w:rsidRPr="002A2046">
              <w:rPr>
                <w:rFonts w:ascii="Times New Roman" w:hAnsi="Times New Roman"/>
                <w:sz w:val="24"/>
              </w:rPr>
              <w:t>arba</w:t>
            </w:r>
            <w:proofErr w:type="spellEnd"/>
            <w:r w:rsidRPr="002A2046">
              <w:rPr>
                <w:rFonts w:ascii="Times New Roman" w:hAnsi="Times New Roman"/>
                <w:sz w:val="24"/>
              </w:rPr>
              <w:t xml:space="preserve">) </w:t>
            </w:r>
            <w:proofErr w:type="spellStart"/>
            <w:r w:rsidRPr="002A2046">
              <w:rPr>
                <w:rFonts w:ascii="Times New Roman" w:hAnsi="Times New Roman"/>
                <w:sz w:val="24"/>
              </w:rPr>
              <w:t>nacionaliniu</w:t>
            </w:r>
            <w:proofErr w:type="spellEnd"/>
            <w:r w:rsidRPr="002A2046">
              <w:rPr>
                <w:rFonts w:ascii="Times New Roman" w:hAnsi="Times New Roman"/>
                <w:sz w:val="24"/>
              </w:rPr>
              <w:t xml:space="preserve"> </w:t>
            </w:r>
            <w:proofErr w:type="spellStart"/>
            <w:r w:rsidRPr="002A2046">
              <w:rPr>
                <w:rFonts w:ascii="Times New Roman" w:hAnsi="Times New Roman"/>
                <w:sz w:val="24"/>
              </w:rPr>
              <w:t>lygiu</w:t>
            </w:r>
            <w:proofErr w:type="spellEnd"/>
            <w:r w:rsidRPr="002A2046">
              <w:rPr>
                <w:rFonts w:ascii="Times New Roman" w:hAnsi="Times New Roman"/>
                <w:sz w:val="24"/>
              </w:rPr>
              <w:t xml:space="preserve">, </w:t>
            </w:r>
            <w:proofErr w:type="spellStart"/>
            <w:r w:rsidRPr="002A2046">
              <w:rPr>
                <w:rFonts w:ascii="Times New Roman" w:hAnsi="Times New Roman"/>
                <w:i/>
                <w:iCs/>
                <w:sz w:val="24"/>
              </w:rPr>
              <w:t>teikimo</w:t>
            </w:r>
            <w:proofErr w:type="spellEnd"/>
            <w:r w:rsidRPr="002A2046">
              <w:rPr>
                <w:rFonts w:ascii="Times New Roman" w:hAnsi="Times New Roman"/>
                <w:i/>
                <w:iCs/>
                <w:sz w:val="24"/>
              </w:rPr>
              <w:t xml:space="preserve"> </w:t>
            </w:r>
            <w:proofErr w:type="spellStart"/>
            <w:r w:rsidRPr="002A2046">
              <w:rPr>
                <w:rFonts w:ascii="Times New Roman" w:hAnsi="Times New Roman"/>
                <w:i/>
                <w:iCs/>
                <w:sz w:val="24"/>
              </w:rPr>
              <w:t>apimtis</w:t>
            </w:r>
            <w:proofErr w:type="spellEnd"/>
            <w:r w:rsidRPr="002A2046">
              <w:rPr>
                <w:rFonts w:ascii="Times New Roman" w:hAnsi="Times New Roman"/>
                <w:sz w:val="24"/>
              </w:rPr>
              <w:t xml:space="preserve"> (</w:t>
            </w:r>
            <w:proofErr w:type="spellStart"/>
            <w:r w:rsidRPr="002A2046">
              <w:rPr>
                <w:rFonts w:ascii="Times New Roman" w:hAnsi="Times New Roman"/>
                <w:sz w:val="24"/>
              </w:rPr>
              <w:t>tiek</w:t>
            </w:r>
            <w:proofErr w:type="spellEnd"/>
            <w:r w:rsidRPr="002A2046">
              <w:rPr>
                <w:rFonts w:ascii="Times New Roman" w:hAnsi="Times New Roman"/>
                <w:sz w:val="24"/>
              </w:rPr>
              <w:t xml:space="preserve"> </w:t>
            </w:r>
            <w:proofErr w:type="spellStart"/>
            <w:r w:rsidRPr="002A2046">
              <w:rPr>
                <w:rFonts w:ascii="Times New Roman" w:hAnsi="Times New Roman"/>
                <w:sz w:val="24"/>
              </w:rPr>
              <w:t>elektroniniu</w:t>
            </w:r>
            <w:proofErr w:type="spellEnd"/>
            <w:r w:rsidRPr="002A2046">
              <w:rPr>
                <w:rFonts w:ascii="Times New Roman" w:hAnsi="Times New Roman"/>
                <w:sz w:val="24"/>
              </w:rPr>
              <w:t xml:space="preserve">, </w:t>
            </w:r>
            <w:proofErr w:type="spellStart"/>
            <w:r w:rsidRPr="002A2046">
              <w:rPr>
                <w:rFonts w:ascii="Times New Roman" w:hAnsi="Times New Roman"/>
                <w:sz w:val="24"/>
              </w:rPr>
              <w:t>tiek</w:t>
            </w:r>
            <w:proofErr w:type="spellEnd"/>
            <w:r w:rsidRPr="002A2046">
              <w:rPr>
                <w:rFonts w:ascii="Times New Roman" w:hAnsi="Times New Roman"/>
                <w:sz w:val="24"/>
              </w:rPr>
              <w:t xml:space="preserve"> </w:t>
            </w:r>
            <w:proofErr w:type="spellStart"/>
            <w:r w:rsidRPr="002A2046">
              <w:rPr>
                <w:rFonts w:ascii="Times New Roman" w:hAnsi="Times New Roman"/>
                <w:sz w:val="24"/>
              </w:rPr>
              <w:t>įprastu</w:t>
            </w:r>
            <w:proofErr w:type="spellEnd"/>
            <w:r w:rsidRPr="002A2046">
              <w:rPr>
                <w:rFonts w:ascii="Times New Roman" w:hAnsi="Times New Roman"/>
                <w:sz w:val="24"/>
              </w:rPr>
              <w:t xml:space="preserve"> </w:t>
            </w:r>
            <w:proofErr w:type="spellStart"/>
            <w:r w:rsidRPr="002A2046">
              <w:rPr>
                <w:rFonts w:ascii="Times New Roman" w:hAnsi="Times New Roman"/>
                <w:sz w:val="24"/>
              </w:rPr>
              <w:t>būdu</w:t>
            </w:r>
            <w:proofErr w:type="spellEnd"/>
            <w:r w:rsidRPr="002A2046">
              <w:rPr>
                <w:rFonts w:ascii="Times New Roman" w:hAnsi="Times New Roman"/>
                <w:sz w:val="24"/>
              </w:rPr>
              <w:t xml:space="preserve">) </w:t>
            </w:r>
            <w:proofErr w:type="spellStart"/>
            <w:r w:rsidRPr="002A2046">
              <w:rPr>
                <w:rFonts w:ascii="Times New Roman" w:hAnsi="Times New Roman"/>
                <w:sz w:val="24"/>
              </w:rPr>
              <w:t>yra</w:t>
            </w:r>
            <w:proofErr w:type="spellEnd"/>
            <w:r w:rsidRPr="002A2046">
              <w:rPr>
                <w:rFonts w:ascii="Times New Roman" w:hAnsi="Times New Roman"/>
                <w:sz w:val="24"/>
              </w:rPr>
              <w:t xml:space="preserve"> </w:t>
            </w:r>
            <w:proofErr w:type="spellStart"/>
            <w:r w:rsidRPr="002A2046">
              <w:rPr>
                <w:rFonts w:ascii="Times New Roman" w:hAnsi="Times New Roman"/>
                <w:sz w:val="24"/>
              </w:rPr>
              <w:t>didelė</w:t>
            </w:r>
            <w:proofErr w:type="spellEnd"/>
            <w:r w:rsidRPr="002A2046">
              <w:rPr>
                <w:rFonts w:ascii="Times New Roman" w:hAnsi="Times New Roman"/>
                <w:sz w:val="24"/>
              </w:rPr>
              <w:t xml:space="preserve"> </w:t>
            </w:r>
            <w:proofErr w:type="spellStart"/>
            <w:r w:rsidRPr="002A2046">
              <w:rPr>
                <w:rFonts w:ascii="Times New Roman" w:hAnsi="Times New Roman"/>
                <w:sz w:val="24"/>
              </w:rPr>
              <w:t>bei</w:t>
            </w:r>
            <w:proofErr w:type="spellEnd"/>
            <w:r w:rsidRPr="002A2046">
              <w:rPr>
                <w:rFonts w:ascii="Times New Roman" w:hAnsi="Times New Roman"/>
                <w:sz w:val="24"/>
              </w:rPr>
              <w:t xml:space="preserve"> </w:t>
            </w:r>
            <w:proofErr w:type="spellStart"/>
            <w:r w:rsidRPr="002A2046">
              <w:rPr>
                <w:rFonts w:ascii="Times New Roman" w:hAnsi="Times New Roman"/>
                <w:sz w:val="24"/>
              </w:rPr>
              <w:t>kurių</w:t>
            </w:r>
            <w:proofErr w:type="spellEnd"/>
            <w:r w:rsidRPr="002A2046">
              <w:rPr>
                <w:rFonts w:ascii="Times New Roman" w:hAnsi="Times New Roman"/>
                <w:sz w:val="24"/>
              </w:rPr>
              <w:t xml:space="preserve"> </w:t>
            </w:r>
            <w:proofErr w:type="spellStart"/>
            <w:r w:rsidRPr="002A2046">
              <w:rPr>
                <w:rFonts w:ascii="Times New Roman" w:hAnsi="Times New Roman"/>
                <w:sz w:val="24"/>
              </w:rPr>
              <w:t>skaitmeninimas</w:t>
            </w:r>
            <w:proofErr w:type="spellEnd"/>
            <w:r w:rsidRPr="002A2046">
              <w:rPr>
                <w:rFonts w:ascii="Times New Roman" w:hAnsi="Times New Roman"/>
                <w:sz w:val="24"/>
              </w:rPr>
              <w:t xml:space="preserve"> </w:t>
            </w:r>
            <w:proofErr w:type="spellStart"/>
            <w:r w:rsidRPr="002A2046">
              <w:rPr>
                <w:rFonts w:ascii="Times New Roman" w:hAnsi="Times New Roman"/>
                <w:sz w:val="24"/>
              </w:rPr>
              <w:t>padėtų</w:t>
            </w:r>
            <w:proofErr w:type="spellEnd"/>
            <w:r w:rsidRPr="002A2046">
              <w:rPr>
                <w:rFonts w:ascii="Times New Roman" w:hAnsi="Times New Roman"/>
                <w:sz w:val="24"/>
              </w:rPr>
              <w:t xml:space="preserve"> </w:t>
            </w:r>
            <w:proofErr w:type="spellStart"/>
            <w:r w:rsidRPr="002A2046">
              <w:rPr>
                <w:rFonts w:ascii="Times New Roman" w:hAnsi="Times New Roman"/>
                <w:i/>
                <w:iCs/>
                <w:sz w:val="24"/>
              </w:rPr>
              <w:t>sutaupyti</w:t>
            </w:r>
            <w:proofErr w:type="spellEnd"/>
            <w:r w:rsidRPr="002A2046">
              <w:rPr>
                <w:rFonts w:ascii="Times New Roman" w:hAnsi="Times New Roman"/>
                <w:i/>
                <w:iCs/>
                <w:sz w:val="24"/>
              </w:rPr>
              <w:t xml:space="preserve"> </w:t>
            </w:r>
            <w:proofErr w:type="spellStart"/>
            <w:r w:rsidRPr="002A2046">
              <w:rPr>
                <w:rFonts w:ascii="Times New Roman" w:hAnsi="Times New Roman"/>
                <w:sz w:val="24"/>
              </w:rPr>
              <w:t>daugiausiai</w:t>
            </w:r>
            <w:proofErr w:type="spellEnd"/>
            <w:r w:rsidRPr="002A2046">
              <w:rPr>
                <w:rFonts w:ascii="Times New Roman" w:hAnsi="Times New Roman"/>
                <w:sz w:val="24"/>
              </w:rPr>
              <w:t>.</w:t>
            </w:r>
          </w:p>
          <w:p w:rsidR="00EB7681" w:rsidRPr="002A2046" w:rsidRDefault="00EB7681" w:rsidP="00EB7681">
            <w:pPr>
              <w:pStyle w:val="Sraassuenkleliais"/>
              <w:numPr>
                <w:ilvl w:val="0"/>
                <w:numId w:val="5"/>
              </w:numPr>
              <w:spacing w:after="0"/>
              <w:rPr>
                <w:rFonts w:ascii="Times New Roman" w:hAnsi="Times New Roman"/>
                <w:sz w:val="24"/>
              </w:rPr>
            </w:pPr>
            <w:proofErr w:type="spellStart"/>
            <w:r w:rsidRPr="002A2046">
              <w:rPr>
                <w:rFonts w:ascii="Times New Roman" w:hAnsi="Times New Roman"/>
                <w:sz w:val="24"/>
              </w:rPr>
              <w:t>Subsidijos</w:t>
            </w:r>
            <w:proofErr w:type="spellEnd"/>
            <w:r w:rsidRPr="002A2046">
              <w:rPr>
                <w:rFonts w:ascii="Times New Roman" w:hAnsi="Times New Roman"/>
                <w:sz w:val="24"/>
              </w:rPr>
              <w:t xml:space="preserve"> e. </w:t>
            </w:r>
            <w:proofErr w:type="spellStart"/>
            <w:r w:rsidRPr="002A2046">
              <w:rPr>
                <w:rFonts w:ascii="Times New Roman" w:hAnsi="Times New Roman"/>
                <w:sz w:val="24"/>
              </w:rPr>
              <w:t>sveikatos</w:t>
            </w:r>
            <w:proofErr w:type="spellEnd"/>
            <w:r w:rsidRPr="002A2046">
              <w:rPr>
                <w:rFonts w:ascii="Times New Roman" w:hAnsi="Times New Roman"/>
                <w:sz w:val="24"/>
              </w:rPr>
              <w:t xml:space="preserve"> </w:t>
            </w:r>
            <w:proofErr w:type="spellStart"/>
            <w:r w:rsidRPr="002A2046">
              <w:rPr>
                <w:rFonts w:ascii="Times New Roman" w:hAnsi="Times New Roman"/>
                <w:sz w:val="24"/>
              </w:rPr>
              <w:t>plėtrai</w:t>
            </w:r>
            <w:proofErr w:type="spellEnd"/>
            <w:r w:rsidRPr="002A2046">
              <w:rPr>
                <w:rFonts w:ascii="Times New Roman" w:hAnsi="Times New Roman"/>
                <w:sz w:val="24"/>
              </w:rPr>
              <w:t xml:space="preserve">: </w:t>
            </w:r>
            <w:proofErr w:type="spellStart"/>
            <w:r w:rsidRPr="002A2046">
              <w:rPr>
                <w:rFonts w:ascii="Times New Roman" w:hAnsi="Times New Roman"/>
                <w:sz w:val="24"/>
              </w:rPr>
              <w:t>bepopierinė</w:t>
            </w:r>
            <w:proofErr w:type="spellEnd"/>
            <w:r w:rsidRPr="002A2046">
              <w:rPr>
                <w:rFonts w:ascii="Times New Roman" w:hAnsi="Times New Roman"/>
                <w:sz w:val="24"/>
              </w:rPr>
              <w:t xml:space="preserve"> </w:t>
            </w:r>
            <w:proofErr w:type="spellStart"/>
            <w:r w:rsidRPr="002A2046">
              <w:rPr>
                <w:rFonts w:ascii="Times New Roman" w:hAnsi="Times New Roman"/>
                <w:sz w:val="24"/>
              </w:rPr>
              <w:t>asmens</w:t>
            </w:r>
            <w:proofErr w:type="spellEnd"/>
            <w:r w:rsidRPr="002A2046">
              <w:rPr>
                <w:rFonts w:ascii="Times New Roman" w:hAnsi="Times New Roman"/>
                <w:sz w:val="24"/>
              </w:rPr>
              <w:t xml:space="preserve"> </w:t>
            </w:r>
            <w:proofErr w:type="spellStart"/>
            <w:r w:rsidRPr="002A2046">
              <w:rPr>
                <w:rFonts w:ascii="Times New Roman" w:hAnsi="Times New Roman"/>
                <w:sz w:val="24"/>
              </w:rPr>
              <w:t>sveikatos</w:t>
            </w:r>
            <w:proofErr w:type="spellEnd"/>
            <w:r w:rsidRPr="002A2046">
              <w:rPr>
                <w:rFonts w:ascii="Times New Roman" w:hAnsi="Times New Roman"/>
                <w:sz w:val="24"/>
              </w:rPr>
              <w:t xml:space="preserve"> </w:t>
            </w:r>
            <w:proofErr w:type="spellStart"/>
            <w:r w:rsidRPr="002A2046">
              <w:rPr>
                <w:rFonts w:ascii="Times New Roman" w:hAnsi="Times New Roman"/>
                <w:sz w:val="24"/>
              </w:rPr>
              <w:t>istorija</w:t>
            </w:r>
            <w:proofErr w:type="spellEnd"/>
            <w:r w:rsidRPr="002A2046">
              <w:rPr>
                <w:rFonts w:ascii="Times New Roman" w:hAnsi="Times New Roman"/>
                <w:sz w:val="24"/>
              </w:rPr>
              <w:t xml:space="preserve">; </w:t>
            </w:r>
            <w:proofErr w:type="spellStart"/>
            <w:r w:rsidRPr="002A2046">
              <w:rPr>
                <w:rFonts w:ascii="Times New Roman" w:hAnsi="Times New Roman"/>
                <w:sz w:val="24"/>
              </w:rPr>
              <w:t>didžiųjų</w:t>
            </w:r>
            <w:proofErr w:type="spellEnd"/>
            <w:r w:rsidRPr="002A2046">
              <w:rPr>
                <w:rFonts w:ascii="Times New Roman" w:hAnsi="Times New Roman"/>
                <w:sz w:val="24"/>
              </w:rPr>
              <w:t xml:space="preserve"> </w:t>
            </w:r>
            <w:proofErr w:type="spellStart"/>
            <w:r w:rsidRPr="002A2046">
              <w:rPr>
                <w:rFonts w:ascii="Times New Roman" w:hAnsi="Times New Roman"/>
                <w:sz w:val="24"/>
              </w:rPr>
              <w:t>duomenų</w:t>
            </w:r>
            <w:proofErr w:type="spellEnd"/>
            <w:r w:rsidRPr="002A2046">
              <w:rPr>
                <w:rFonts w:ascii="Times New Roman" w:hAnsi="Times New Roman"/>
                <w:sz w:val="24"/>
              </w:rPr>
              <w:t xml:space="preserve"> </w:t>
            </w:r>
            <w:proofErr w:type="spellStart"/>
            <w:r w:rsidRPr="002A2046">
              <w:rPr>
                <w:rFonts w:ascii="Times New Roman" w:hAnsi="Times New Roman"/>
                <w:sz w:val="24"/>
              </w:rPr>
              <w:t>analitikos</w:t>
            </w:r>
            <w:proofErr w:type="spellEnd"/>
            <w:r w:rsidRPr="002A2046">
              <w:rPr>
                <w:rFonts w:ascii="Times New Roman" w:hAnsi="Times New Roman"/>
                <w:sz w:val="24"/>
              </w:rPr>
              <w:t xml:space="preserve"> </w:t>
            </w:r>
            <w:proofErr w:type="spellStart"/>
            <w:r w:rsidRPr="002A2046">
              <w:rPr>
                <w:rFonts w:ascii="Times New Roman" w:hAnsi="Times New Roman"/>
                <w:sz w:val="24"/>
              </w:rPr>
              <w:t>įrankių</w:t>
            </w:r>
            <w:proofErr w:type="spellEnd"/>
            <w:r w:rsidRPr="002A2046">
              <w:rPr>
                <w:rFonts w:ascii="Times New Roman" w:hAnsi="Times New Roman"/>
                <w:sz w:val="24"/>
              </w:rPr>
              <w:t xml:space="preserve"> </w:t>
            </w:r>
            <w:proofErr w:type="spellStart"/>
            <w:r w:rsidRPr="002A2046">
              <w:rPr>
                <w:rFonts w:ascii="Times New Roman" w:hAnsi="Times New Roman"/>
                <w:sz w:val="24"/>
              </w:rPr>
              <w:t>kūrimas</w:t>
            </w:r>
            <w:proofErr w:type="spellEnd"/>
            <w:r w:rsidRPr="002A2046">
              <w:rPr>
                <w:rFonts w:ascii="Times New Roman" w:hAnsi="Times New Roman"/>
                <w:sz w:val="24"/>
              </w:rPr>
              <w:t xml:space="preserve"> </w:t>
            </w:r>
            <w:proofErr w:type="spellStart"/>
            <w:r w:rsidRPr="002A2046">
              <w:rPr>
                <w:rFonts w:ascii="Times New Roman" w:hAnsi="Times New Roman"/>
                <w:sz w:val="24"/>
              </w:rPr>
              <w:t>ir</w:t>
            </w:r>
            <w:proofErr w:type="spellEnd"/>
            <w:r w:rsidRPr="002A2046">
              <w:rPr>
                <w:rFonts w:ascii="Times New Roman" w:hAnsi="Times New Roman"/>
                <w:sz w:val="24"/>
              </w:rPr>
              <w:t xml:space="preserve"> </w:t>
            </w:r>
            <w:proofErr w:type="spellStart"/>
            <w:r w:rsidRPr="002A2046">
              <w:rPr>
                <w:rFonts w:ascii="Times New Roman" w:hAnsi="Times New Roman"/>
                <w:sz w:val="24"/>
              </w:rPr>
              <w:t>diegimas</w:t>
            </w:r>
            <w:proofErr w:type="spellEnd"/>
            <w:r w:rsidRPr="002A2046">
              <w:rPr>
                <w:rFonts w:ascii="Times New Roman" w:hAnsi="Times New Roman"/>
                <w:sz w:val="24"/>
              </w:rPr>
              <w:t xml:space="preserve"> (</w:t>
            </w:r>
            <w:proofErr w:type="spellStart"/>
            <w:r w:rsidRPr="002A2046">
              <w:rPr>
                <w:rFonts w:ascii="Times New Roman" w:hAnsi="Times New Roman"/>
                <w:sz w:val="24"/>
              </w:rPr>
              <w:t>taikant</w:t>
            </w:r>
            <w:proofErr w:type="spellEnd"/>
            <w:r w:rsidRPr="002A2046">
              <w:rPr>
                <w:rFonts w:ascii="Times New Roman" w:hAnsi="Times New Roman"/>
                <w:sz w:val="24"/>
              </w:rPr>
              <w:t xml:space="preserve"> </w:t>
            </w:r>
            <w:proofErr w:type="spellStart"/>
            <w:r w:rsidRPr="002A2046">
              <w:rPr>
                <w:rFonts w:ascii="Times New Roman" w:hAnsi="Times New Roman"/>
                <w:sz w:val="24"/>
              </w:rPr>
              <w:t>dirbtinio</w:t>
            </w:r>
            <w:proofErr w:type="spellEnd"/>
            <w:r w:rsidRPr="002A2046">
              <w:rPr>
                <w:rFonts w:ascii="Times New Roman" w:hAnsi="Times New Roman"/>
                <w:sz w:val="24"/>
              </w:rPr>
              <w:t xml:space="preserve"> </w:t>
            </w:r>
            <w:proofErr w:type="spellStart"/>
            <w:r w:rsidRPr="002A2046">
              <w:rPr>
                <w:rFonts w:ascii="Times New Roman" w:hAnsi="Times New Roman"/>
                <w:sz w:val="24"/>
              </w:rPr>
              <w:t>intelekto</w:t>
            </w:r>
            <w:proofErr w:type="spellEnd"/>
            <w:r w:rsidRPr="002A2046">
              <w:rPr>
                <w:rFonts w:ascii="Times New Roman" w:hAnsi="Times New Roman"/>
                <w:sz w:val="24"/>
              </w:rPr>
              <w:t xml:space="preserve"> </w:t>
            </w:r>
            <w:proofErr w:type="spellStart"/>
            <w:r w:rsidRPr="002A2046">
              <w:rPr>
                <w:rFonts w:ascii="Times New Roman" w:hAnsi="Times New Roman"/>
                <w:sz w:val="24"/>
              </w:rPr>
              <w:t>technologijas</w:t>
            </w:r>
            <w:proofErr w:type="spellEnd"/>
            <w:r w:rsidRPr="002A2046">
              <w:rPr>
                <w:rFonts w:ascii="Times New Roman" w:hAnsi="Times New Roman"/>
                <w:sz w:val="24"/>
              </w:rPr>
              <w:t>).</w:t>
            </w:r>
          </w:p>
          <w:p w:rsidR="00EB7681" w:rsidRPr="002A2046" w:rsidRDefault="00EB7681" w:rsidP="00EB7681">
            <w:pPr>
              <w:pStyle w:val="Sraassuenkleliais"/>
              <w:numPr>
                <w:ilvl w:val="0"/>
                <w:numId w:val="5"/>
              </w:numPr>
              <w:spacing w:after="0"/>
              <w:rPr>
                <w:rFonts w:ascii="Times New Roman" w:hAnsi="Times New Roman"/>
                <w:sz w:val="24"/>
              </w:rPr>
            </w:pPr>
            <w:proofErr w:type="spellStart"/>
            <w:r w:rsidRPr="002A2046">
              <w:rPr>
                <w:rFonts w:ascii="Times New Roman" w:hAnsi="Times New Roman"/>
                <w:sz w:val="24"/>
              </w:rPr>
              <w:t>Subsidijos</w:t>
            </w:r>
            <w:proofErr w:type="spellEnd"/>
            <w:r w:rsidRPr="002A2046">
              <w:rPr>
                <w:rFonts w:ascii="Times New Roman" w:hAnsi="Times New Roman"/>
                <w:sz w:val="24"/>
              </w:rPr>
              <w:t xml:space="preserve"> </w:t>
            </w:r>
            <w:proofErr w:type="spellStart"/>
            <w:r w:rsidRPr="002A2046">
              <w:rPr>
                <w:rFonts w:ascii="Times New Roman" w:hAnsi="Times New Roman"/>
                <w:sz w:val="24"/>
              </w:rPr>
              <w:t>pagrindinės</w:t>
            </w:r>
            <w:proofErr w:type="spellEnd"/>
            <w:r w:rsidRPr="002A2046">
              <w:rPr>
                <w:rFonts w:ascii="Times New Roman" w:hAnsi="Times New Roman"/>
                <w:sz w:val="24"/>
              </w:rPr>
              <w:t xml:space="preserve"> </w:t>
            </w:r>
            <w:proofErr w:type="spellStart"/>
            <w:r w:rsidRPr="002A2046">
              <w:rPr>
                <w:rFonts w:ascii="Times New Roman" w:hAnsi="Times New Roman"/>
                <w:sz w:val="24"/>
              </w:rPr>
              <w:t>infrastruktūros</w:t>
            </w:r>
            <w:proofErr w:type="spellEnd"/>
            <w:r w:rsidRPr="002A2046">
              <w:rPr>
                <w:rFonts w:ascii="Times New Roman" w:hAnsi="Times New Roman"/>
                <w:sz w:val="24"/>
              </w:rPr>
              <w:t xml:space="preserve"> </w:t>
            </w:r>
            <w:proofErr w:type="spellStart"/>
            <w:r w:rsidRPr="002A2046">
              <w:rPr>
                <w:rFonts w:ascii="Times New Roman" w:hAnsi="Times New Roman"/>
                <w:sz w:val="24"/>
              </w:rPr>
              <w:t>diegimui</w:t>
            </w:r>
            <w:proofErr w:type="spellEnd"/>
            <w:r w:rsidRPr="002A2046">
              <w:rPr>
                <w:rFonts w:ascii="Times New Roman" w:hAnsi="Times New Roman"/>
                <w:sz w:val="24"/>
              </w:rPr>
              <w:t xml:space="preserve"> </w:t>
            </w:r>
            <w:proofErr w:type="spellStart"/>
            <w:r w:rsidRPr="002A2046">
              <w:rPr>
                <w:rFonts w:ascii="Times New Roman" w:hAnsi="Times New Roman"/>
                <w:sz w:val="24"/>
              </w:rPr>
              <w:t>ir</w:t>
            </w:r>
            <w:proofErr w:type="spellEnd"/>
            <w:r w:rsidRPr="002A2046">
              <w:rPr>
                <w:rFonts w:ascii="Times New Roman" w:hAnsi="Times New Roman"/>
                <w:sz w:val="24"/>
              </w:rPr>
              <w:t xml:space="preserve"> </w:t>
            </w:r>
            <w:proofErr w:type="spellStart"/>
            <w:r w:rsidRPr="002A2046">
              <w:rPr>
                <w:rFonts w:ascii="Times New Roman" w:hAnsi="Times New Roman"/>
                <w:sz w:val="24"/>
              </w:rPr>
              <w:t>tobulinimui</w:t>
            </w:r>
            <w:proofErr w:type="spellEnd"/>
            <w:r w:rsidRPr="002A2046">
              <w:rPr>
                <w:rFonts w:ascii="Times New Roman" w:hAnsi="Times New Roman"/>
                <w:sz w:val="24"/>
              </w:rPr>
              <w:t xml:space="preserve"> (</w:t>
            </w:r>
            <w:proofErr w:type="spellStart"/>
            <w:r w:rsidRPr="002A2046">
              <w:rPr>
                <w:rFonts w:ascii="Times New Roman" w:hAnsi="Times New Roman"/>
                <w:sz w:val="24"/>
              </w:rPr>
              <w:t>pavyzdžiui</w:t>
            </w:r>
            <w:proofErr w:type="spellEnd"/>
            <w:r w:rsidRPr="002A2046">
              <w:rPr>
                <w:rFonts w:ascii="Times New Roman" w:hAnsi="Times New Roman"/>
                <w:sz w:val="24"/>
              </w:rPr>
              <w:t xml:space="preserve">, VIISP </w:t>
            </w:r>
            <w:proofErr w:type="spellStart"/>
            <w:r w:rsidRPr="002A2046">
              <w:rPr>
                <w:rFonts w:ascii="Times New Roman" w:hAnsi="Times New Roman"/>
                <w:sz w:val="24"/>
              </w:rPr>
              <w:t>platforma</w:t>
            </w:r>
            <w:proofErr w:type="spellEnd"/>
            <w:r w:rsidRPr="002A2046">
              <w:rPr>
                <w:rFonts w:ascii="Times New Roman" w:hAnsi="Times New Roman"/>
                <w:sz w:val="24"/>
              </w:rPr>
              <w:t xml:space="preserve">, </w:t>
            </w:r>
            <w:proofErr w:type="spellStart"/>
            <w:r w:rsidRPr="002A2046">
              <w:rPr>
                <w:rFonts w:ascii="Times New Roman" w:hAnsi="Times New Roman"/>
                <w:sz w:val="24"/>
              </w:rPr>
              <w:t>paslaugų</w:t>
            </w:r>
            <w:proofErr w:type="spellEnd"/>
            <w:r w:rsidRPr="002A2046">
              <w:rPr>
                <w:rFonts w:ascii="Times New Roman" w:hAnsi="Times New Roman"/>
                <w:sz w:val="24"/>
              </w:rPr>
              <w:t xml:space="preserve"> </w:t>
            </w:r>
            <w:proofErr w:type="spellStart"/>
            <w:r w:rsidRPr="002A2046">
              <w:rPr>
                <w:rFonts w:ascii="Times New Roman" w:hAnsi="Times New Roman"/>
                <w:sz w:val="24"/>
              </w:rPr>
              <w:t>prieinamumo</w:t>
            </w:r>
            <w:proofErr w:type="spellEnd"/>
            <w:r w:rsidRPr="002A2046">
              <w:rPr>
                <w:rFonts w:ascii="Times New Roman" w:hAnsi="Times New Roman"/>
                <w:sz w:val="24"/>
              </w:rPr>
              <w:t xml:space="preserve"> </w:t>
            </w:r>
            <w:proofErr w:type="spellStart"/>
            <w:r w:rsidRPr="002A2046">
              <w:rPr>
                <w:rFonts w:ascii="Times New Roman" w:hAnsi="Times New Roman"/>
                <w:sz w:val="24"/>
              </w:rPr>
              <w:t>technologijos</w:t>
            </w:r>
            <w:proofErr w:type="spellEnd"/>
            <w:r w:rsidRPr="002A2046">
              <w:rPr>
                <w:rFonts w:ascii="Times New Roman" w:hAnsi="Times New Roman"/>
                <w:sz w:val="24"/>
              </w:rPr>
              <w:t xml:space="preserve"> </w:t>
            </w:r>
            <w:proofErr w:type="spellStart"/>
            <w:r w:rsidRPr="002A2046">
              <w:rPr>
                <w:rFonts w:ascii="Times New Roman" w:hAnsi="Times New Roman"/>
                <w:sz w:val="24"/>
              </w:rPr>
              <w:t>žmonėms</w:t>
            </w:r>
            <w:proofErr w:type="spellEnd"/>
            <w:r w:rsidRPr="002A2046">
              <w:rPr>
                <w:rFonts w:ascii="Times New Roman" w:hAnsi="Times New Roman"/>
                <w:sz w:val="24"/>
              </w:rPr>
              <w:t xml:space="preserve"> </w:t>
            </w:r>
            <w:proofErr w:type="spellStart"/>
            <w:r w:rsidRPr="002A2046">
              <w:rPr>
                <w:rFonts w:ascii="Times New Roman" w:hAnsi="Times New Roman"/>
                <w:sz w:val="24"/>
              </w:rPr>
              <w:t>su</w:t>
            </w:r>
            <w:proofErr w:type="spellEnd"/>
            <w:r w:rsidRPr="002A2046">
              <w:rPr>
                <w:rFonts w:ascii="Times New Roman" w:hAnsi="Times New Roman"/>
                <w:sz w:val="24"/>
              </w:rPr>
              <w:t xml:space="preserve"> </w:t>
            </w:r>
            <w:proofErr w:type="spellStart"/>
            <w:r w:rsidRPr="002A2046">
              <w:rPr>
                <w:rFonts w:ascii="Times New Roman" w:hAnsi="Times New Roman"/>
                <w:sz w:val="24"/>
              </w:rPr>
              <w:t>negalia</w:t>
            </w:r>
            <w:proofErr w:type="spellEnd"/>
            <w:r w:rsidRPr="002A2046">
              <w:rPr>
                <w:rFonts w:ascii="Times New Roman" w:hAnsi="Times New Roman"/>
                <w:sz w:val="24"/>
              </w:rPr>
              <w:t xml:space="preserve"> </w:t>
            </w:r>
            <w:proofErr w:type="spellStart"/>
            <w:r w:rsidRPr="002A2046">
              <w:rPr>
                <w:rFonts w:ascii="Times New Roman" w:hAnsi="Times New Roman"/>
                <w:sz w:val="24"/>
              </w:rPr>
              <w:t>ar</w:t>
            </w:r>
            <w:proofErr w:type="spellEnd"/>
            <w:r w:rsidRPr="002A2046">
              <w:rPr>
                <w:rFonts w:ascii="Times New Roman" w:hAnsi="Times New Roman"/>
                <w:sz w:val="24"/>
              </w:rPr>
              <w:t xml:space="preserve"> </w:t>
            </w:r>
            <w:proofErr w:type="spellStart"/>
            <w:r w:rsidRPr="002A2046">
              <w:rPr>
                <w:rFonts w:ascii="Times New Roman" w:hAnsi="Times New Roman"/>
                <w:sz w:val="24"/>
              </w:rPr>
              <w:t>nekalbantiems</w:t>
            </w:r>
            <w:proofErr w:type="spellEnd"/>
            <w:r w:rsidRPr="002A2046">
              <w:rPr>
                <w:rFonts w:ascii="Times New Roman" w:hAnsi="Times New Roman"/>
                <w:sz w:val="24"/>
              </w:rPr>
              <w:t xml:space="preserve"> </w:t>
            </w:r>
            <w:proofErr w:type="spellStart"/>
            <w:r w:rsidRPr="002A2046">
              <w:rPr>
                <w:rFonts w:ascii="Times New Roman" w:hAnsi="Times New Roman"/>
                <w:sz w:val="24"/>
              </w:rPr>
              <w:t>lietuviškai</w:t>
            </w:r>
            <w:proofErr w:type="spellEnd"/>
            <w:r w:rsidRPr="002A2046">
              <w:rPr>
                <w:rFonts w:ascii="Times New Roman" w:hAnsi="Times New Roman"/>
                <w:sz w:val="24"/>
              </w:rPr>
              <w:t>).</w:t>
            </w:r>
          </w:p>
          <w:p w:rsidR="00EB7681" w:rsidRPr="002A2046" w:rsidRDefault="00EB7681" w:rsidP="007B25F9">
            <w:pPr>
              <w:pStyle w:val="Sraopastraipa"/>
              <w:ind w:left="360"/>
              <w:contextualSpacing w:val="0"/>
              <w:jc w:val="both"/>
            </w:pPr>
            <w:r w:rsidRPr="009F5CDD">
              <w:rPr>
                <w:bCs/>
                <w:i/>
              </w:rPr>
              <w:t xml:space="preserve">d) Valstybės debesų kompiuterijos infrastruktūros </w:t>
            </w:r>
            <w:proofErr w:type="spellStart"/>
            <w:r w:rsidRPr="009F5CDD">
              <w:rPr>
                <w:bCs/>
                <w:i/>
              </w:rPr>
              <w:t>įveiklinimas</w:t>
            </w:r>
            <w:proofErr w:type="spellEnd"/>
            <w:r w:rsidRPr="002A2046">
              <w:t xml:space="preserve">, sudarant galimybes užtikrinti informacinių sistemų ir registrų </w:t>
            </w:r>
            <w:proofErr w:type="spellStart"/>
            <w:r w:rsidRPr="002A2046">
              <w:t>sąveikumą</w:t>
            </w:r>
            <w:proofErr w:type="spellEnd"/>
            <w:r w:rsidRPr="002A2046">
              <w:t xml:space="preserve"> „valstybei realiu laiku“ įgyvendinti bei duomenims atverti, pavyzdžiui:</w:t>
            </w:r>
          </w:p>
          <w:p w:rsidR="00EB7681" w:rsidRPr="002A2046" w:rsidRDefault="00EB7681" w:rsidP="00EB7681">
            <w:pPr>
              <w:numPr>
                <w:ilvl w:val="0"/>
                <w:numId w:val="3"/>
              </w:numPr>
              <w:ind w:left="709" w:hanging="425"/>
              <w:jc w:val="both"/>
              <w:rPr>
                <w:iCs/>
              </w:rPr>
            </w:pPr>
            <w:r w:rsidRPr="002A2046">
              <w:t xml:space="preserve">Subsidijos valstybės debesų kompiuterijos infrastruktūros plėtrai, siekiant į valstybės </w:t>
            </w:r>
            <w:proofErr w:type="spellStart"/>
            <w:r w:rsidRPr="002A2046">
              <w:t>debesijos</w:t>
            </w:r>
            <w:proofErr w:type="spellEnd"/>
            <w:r w:rsidRPr="002A2046">
              <w:t xml:space="preserve"> infrastruktūrą perkelti viešojo sektoriaus informacines sistemas ir registrus</w:t>
            </w:r>
          </w:p>
          <w:p w:rsidR="00EB7681" w:rsidRPr="002A2046" w:rsidRDefault="00EB7681" w:rsidP="00EB7681">
            <w:pPr>
              <w:numPr>
                <w:ilvl w:val="0"/>
                <w:numId w:val="3"/>
              </w:numPr>
              <w:ind w:left="709" w:hanging="425"/>
              <w:jc w:val="both"/>
              <w:rPr>
                <w:iCs/>
              </w:rPr>
            </w:pPr>
            <w:r w:rsidRPr="002A2046">
              <w:t xml:space="preserve">Subsidijos informacinių sistemų ir registrų migravimui į </w:t>
            </w:r>
            <w:proofErr w:type="spellStart"/>
            <w:r w:rsidRPr="002A2046">
              <w:t>debesijos</w:t>
            </w:r>
            <w:proofErr w:type="spellEnd"/>
            <w:r w:rsidRPr="002A2046">
              <w:t xml:space="preserve"> kompiuteriją. Esant ribotiems finansiniams ištekliams, prioriteto tvarka, padedant ES investicijoms, migruoti turėtų tos informacinės sistemos ir registrai, kurie: talpina </w:t>
            </w:r>
            <w:r w:rsidRPr="002A2046">
              <w:rPr>
                <w:i/>
                <w:iCs/>
              </w:rPr>
              <w:t>aukštos vertės duomenų rinkinius</w:t>
            </w:r>
            <w:r w:rsidRPr="002A2046">
              <w:t xml:space="preserve"> pagal Atvirų duomenų direktyvą, </w:t>
            </w:r>
            <w:r w:rsidRPr="002A2046">
              <w:rPr>
                <w:iCs/>
              </w:rPr>
              <w:t xml:space="preserve">yra </w:t>
            </w:r>
            <w:r w:rsidRPr="002A2046">
              <w:rPr>
                <w:i/>
              </w:rPr>
              <w:t>labiausiai technologiškai pasenę</w:t>
            </w:r>
            <w:r w:rsidRPr="002A2046">
              <w:rPr>
                <w:iCs/>
              </w:rPr>
              <w:t xml:space="preserve">; turi </w:t>
            </w:r>
            <w:r w:rsidRPr="002A2046">
              <w:rPr>
                <w:i/>
              </w:rPr>
              <w:t>daugiausiai sąsajų</w:t>
            </w:r>
            <w:r w:rsidRPr="002A2046">
              <w:rPr>
                <w:iCs/>
              </w:rPr>
              <w:t xml:space="preserve"> su kitomis informacinėmis sistemomis ir registrais (gauna/teikia duomenis); kurių </w:t>
            </w:r>
            <w:r w:rsidRPr="002A2046">
              <w:rPr>
                <w:i/>
              </w:rPr>
              <w:t>duomenų atvėrimo kaštai</w:t>
            </w:r>
            <w:r w:rsidRPr="002A2046">
              <w:rPr>
                <w:iCs/>
              </w:rPr>
              <w:t xml:space="preserve"> tuo atveju, jei sistema nemigruotų į </w:t>
            </w:r>
            <w:proofErr w:type="spellStart"/>
            <w:r w:rsidRPr="002A2046">
              <w:rPr>
                <w:iCs/>
              </w:rPr>
              <w:t>debesijos</w:t>
            </w:r>
            <w:proofErr w:type="spellEnd"/>
            <w:r w:rsidRPr="002A2046">
              <w:rPr>
                <w:iCs/>
              </w:rPr>
              <w:t xml:space="preserve"> infrastruktūrą, bū</w:t>
            </w:r>
            <w:r>
              <w:rPr>
                <w:iCs/>
              </w:rPr>
              <w:t>t</w:t>
            </w:r>
            <w:r w:rsidRPr="002A2046">
              <w:rPr>
                <w:iCs/>
              </w:rPr>
              <w:t xml:space="preserve">ų </w:t>
            </w:r>
            <w:r w:rsidRPr="002A2046">
              <w:rPr>
                <w:i/>
              </w:rPr>
              <w:t>didžiausi.</w:t>
            </w:r>
          </w:p>
          <w:p w:rsidR="00EB7681" w:rsidRDefault="00EB7681" w:rsidP="007B25F9">
            <w:pPr>
              <w:pStyle w:val="Sraopastraipa"/>
              <w:ind w:left="360"/>
              <w:contextualSpacing w:val="0"/>
              <w:jc w:val="both"/>
            </w:pPr>
            <w:r>
              <w:rPr>
                <w:b/>
                <w:bCs/>
              </w:rPr>
              <w:t xml:space="preserve">e) </w:t>
            </w:r>
            <w:r w:rsidRPr="009F5CDD">
              <w:rPr>
                <w:bCs/>
                <w:i/>
              </w:rPr>
              <w:t>Elektroninės atpažinties priemonių ir elektroninių operacijų patikimumo paslaugų transformacija</w:t>
            </w:r>
            <w:r w:rsidRPr="009F5CDD">
              <w:rPr>
                <w:i/>
              </w:rPr>
              <w:t xml:space="preserve"> </w:t>
            </w:r>
            <w:r w:rsidRPr="002A2046">
              <w:t xml:space="preserve">(jei </w:t>
            </w:r>
            <w:proofErr w:type="spellStart"/>
            <w:r w:rsidRPr="002A2046">
              <w:t>eIDAS</w:t>
            </w:r>
            <w:proofErr w:type="spellEnd"/>
            <w:r w:rsidRPr="002A2046">
              <w:t xml:space="preserve"> reglamento peržiūros rezultatai pareikalaus stipriai koreguoti šalyje veikiančią el. atpažinties ir el. operacijų patikimumo sistemą).</w:t>
            </w: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Default="00EB7681" w:rsidP="007B25F9">
            <w:pPr>
              <w:pStyle w:val="Sraopastraipa"/>
              <w:ind w:left="360"/>
              <w:contextualSpacing w:val="0"/>
              <w:jc w:val="both"/>
            </w:pPr>
          </w:p>
          <w:p w:rsidR="00EB7681" w:rsidRPr="002A2046" w:rsidRDefault="00EB7681" w:rsidP="007B25F9">
            <w:pPr>
              <w:pStyle w:val="Sraopastraipa"/>
              <w:ind w:left="360"/>
              <w:contextualSpacing w:val="0"/>
              <w:jc w:val="both"/>
            </w:pPr>
            <w:r>
              <w:lastRenderedPageBreak/>
              <w:t xml:space="preserve">1 schema Visuomenės </w:t>
            </w:r>
            <w:proofErr w:type="spellStart"/>
            <w:r>
              <w:t>skaitmeninimo</w:t>
            </w:r>
            <w:proofErr w:type="spellEnd"/>
            <w:r>
              <w:t xml:space="preserve"> gairės</w:t>
            </w:r>
          </w:p>
        </w:tc>
      </w:tr>
    </w:tbl>
    <w:p w:rsidR="00F316BE" w:rsidRDefault="00EB7681">
      <w:bookmarkStart w:id="1" w:name="_GoBack"/>
      <w:r w:rsidRPr="00EB4E93">
        <w:rPr>
          <w:noProof/>
        </w:rPr>
        <w:lastRenderedPageBreak/>
        <w:drawing>
          <wp:inline distT="0" distB="0" distL="0" distR="0" wp14:anchorId="45D2A757" wp14:editId="3D6A7D23">
            <wp:extent cx="5622587" cy="5295314"/>
            <wp:effectExtent l="19050" t="19050" r="16510" b="1968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3567" cy="5315073"/>
                    </a:xfrm>
                    <a:prstGeom prst="rect">
                      <a:avLst/>
                    </a:prstGeom>
                    <a:noFill/>
                    <a:ln>
                      <a:solidFill>
                        <a:schemeClr val="tx1"/>
                      </a:solidFill>
                    </a:ln>
                  </pic:spPr>
                </pic:pic>
              </a:graphicData>
            </a:graphic>
          </wp:inline>
        </w:drawing>
      </w:r>
      <w:bookmarkEnd w:id="1"/>
    </w:p>
    <w:sectPr w:rsidR="00F316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C6EE2E"/>
    <w:lvl w:ilvl="0">
      <w:start w:val="1"/>
      <w:numFmt w:val="decimal"/>
      <w:pStyle w:val="Sraassuenkleliais"/>
      <w:lvlText w:val="%1."/>
      <w:lvlJc w:val="left"/>
      <w:pPr>
        <w:tabs>
          <w:tab w:val="num" w:pos="360"/>
        </w:tabs>
        <w:ind w:left="360" w:hanging="360"/>
      </w:pPr>
      <w:rPr>
        <w:rFonts w:cs="Times New Roman"/>
      </w:rPr>
    </w:lvl>
  </w:abstractNum>
  <w:abstractNum w:abstractNumId="1">
    <w:nsid w:val="25EE4EE8"/>
    <w:multiLevelType w:val="hybridMultilevel"/>
    <w:tmpl w:val="3DE02C68"/>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nsid w:val="28F870DA"/>
    <w:multiLevelType w:val="multilevel"/>
    <w:tmpl w:val="6F56D39E"/>
    <w:lvl w:ilvl="0">
      <w:start w:val="1"/>
      <w:numFmt w:val="bullet"/>
      <w:lvlText w:val=""/>
      <w:lvlJc w:val="left"/>
      <w:pPr>
        <w:ind w:left="360" w:hanging="360"/>
      </w:pPr>
      <w:rPr>
        <w:rFonts w:ascii="Symbol" w:hAnsi="Symbol"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nsid w:val="475303A7"/>
    <w:multiLevelType w:val="hybridMultilevel"/>
    <w:tmpl w:val="B490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6E7E2F2E"/>
    <w:multiLevelType w:val="hybridMultilevel"/>
    <w:tmpl w:val="815C1B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7A"/>
    <w:rsid w:val="004A3390"/>
    <w:rsid w:val="00C1167A"/>
    <w:rsid w:val="00EB7681"/>
    <w:rsid w:val="00F316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768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99"/>
    <w:qFormat/>
    <w:rsid w:val="00EB7681"/>
    <w:pPr>
      <w:ind w:left="720"/>
      <w:contextualSpacing/>
    </w:pPr>
  </w:style>
  <w:style w:type="paragraph" w:customStyle="1" w:styleId="Text">
    <w:name w:val="Text"/>
    <w:basedOn w:val="prastasis"/>
    <w:link w:val="TextChar"/>
    <w:qFormat/>
    <w:rsid w:val="00EB7681"/>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EB7681"/>
    <w:rPr>
      <w:rFonts w:ascii="Cambria" w:eastAsia="Times New Roman" w:hAnsi="Cambria" w:cs="Times New Roman"/>
      <w:noProof/>
      <w:sz w:val="24"/>
      <w:lang w:eastAsia="lt-LT"/>
    </w:rPr>
  </w:style>
  <w:style w:type="paragraph" w:styleId="Pagrindinistekstas">
    <w:name w:val="Body Text"/>
    <w:basedOn w:val="prastasis"/>
    <w:link w:val="PagrindinistekstasDiagrama"/>
    <w:unhideWhenUsed/>
    <w:qFormat/>
    <w:rsid w:val="00EB7681"/>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EB7681"/>
    <w:rPr>
      <w:rFonts w:ascii="Georgia" w:eastAsia="MS Mincho" w:hAnsi="Georgia" w:cs="Times New Roman"/>
      <w:sz w:val="20"/>
      <w:szCs w:val="20"/>
      <w:lang w:val="en-GB"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99"/>
    <w:qFormat/>
    <w:locked/>
    <w:rsid w:val="00EB7681"/>
    <w:rPr>
      <w:rFonts w:ascii="Times New Roman" w:eastAsia="Times New Roman" w:hAnsi="Times New Roman" w:cs="Times New Roman"/>
      <w:sz w:val="24"/>
      <w:szCs w:val="24"/>
      <w:lang w:eastAsia="lt-LT"/>
    </w:rPr>
  </w:style>
  <w:style w:type="paragraph" w:styleId="Sraassuenkleliais">
    <w:name w:val="List Bullet"/>
    <w:basedOn w:val="Pagrindinistekstas"/>
    <w:uiPriority w:val="99"/>
    <w:rsid w:val="00EB7681"/>
    <w:pPr>
      <w:numPr>
        <w:numId w:val="1"/>
      </w:numPr>
      <w:spacing w:after="120" w:line="240" w:lineRule="auto"/>
      <w:jc w:val="both"/>
    </w:pPr>
    <w:rPr>
      <w:rFonts w:eastAsia="Times New Roman"/>
      <w:szCs w:val="24"/>
      <w:lang w:eastAsia="et-EE"/>
    </w:rPr>
  </w:style>
  <w:style w:type="table" w:styleId="Lentelstinklelis">
    <w:name w:val="Table Grid"/>
    <w:aliases w:val="Standard,Table Heading Background"/>
    <w:basedOn w:val="prastojilentel"/>
    <w:uiPriority w:val="39"/>
    <w:rsid w:val="00EB768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B76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7681"/>
    <w:rPr>
      <w:rFonts w:ascii="Tahoma" w:eastAsia="Times New Roman" w:hAnsi="Tahoma" w:cs="Tahoma"/>
      <w:sz w:val="16"/>
      <w:szCs w:val="16"/>
      <w:lang w:eastAsia="lt-LT"/>
    </w:rPr>
  </w:style>
  <w:style w:type="paragraph" w:styleId="Betarp">
    <w:name w:val="No Spacing"/>
    <w:uiPriority w:val="1"/>
    <w:qFormat/>
    <w:rsid w:val="004A3390"/>
    <w:pPr>
      <w:spacing w:after="0"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768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99"/>
    <w:qFormat/>
    <w:rsid w:val="00EB7681"/>
    <w:pPr>
      <w:ind w:left="720"/>
      <w:contextualSpacing/>
    </w:pPr>
  </w:style>
  <w:style w:type="paragraph" w:customStyle="1" w:styleId="Text">
    <w:name w:val="Text"/>
    <w:basedOn w:val="prastasis"/>
    <w:link w:val="TextChar"/>
    <w:qFormat/>
    <w:rsid w:val="00EB7681"/>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EB7681"/>
    <w:rPr>
      <w:rFonts w:ascii="Cambria" w:eastAsia="Times New Roman" w:hAnsi="Cambria" w:cs="Times New Roman"/>
      <w:noProof/>
      <w:sz w:val="24"/>
      <w:lang w:eastAsia="lt-LT"/>
    </w:rPr>
  </w:style>
  <w:style w:type="paragraph" w:styleId="Pagrindinistekstas">
    <w:name w:val="Body Text"/>
    <w:basedOn w:val="prastasis"/>
    <w:link w:val="PagrindinistekstasDiagrama"/>
    <w:unhideWhenUsed/>
    <w:qFormat/>
    <w:rsid w:val="00EB7681"/>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EB7681"/>
    <w:rPr>
      <w:rFonts w:ascii="Georgia" w:eastAsia="MS Mincho" w:hAnsi="Georgia" w:cs="Times New Roman"/>
      <w:sz w:val="20"/>
      <w:szCs w:val="20"/>
      <w:lang w:val="en-GB"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99"/>
    <w:qFormat/>
    <w:locked/>
    <w:rsid w:val="00EB7681"/>
    <w:rPr>
      <w:rFonts w:ascii="Times New Roman" w:eastAsia="Times New Roman" w:hAnsi="Times New Roman" w:cs="Times New Roman"/>
      <w:sz w:val="24"/>
      <w:szCs w:val="24"/>
      <w:lang w:eastAsia="lt-LT"/>
    </w:rPr>
  </w:style>
  <w:style w:type="paragraph" w:styleId="Sraassuenkleliais">
    <w:name w:val="List Bullet"/>
    <w:basedOn w:val="Pagrindinistekstas"/>
    <w:uiPriority w:val="99"/>
    <w:rsid w:val="00EB7681"/>
    <w:pPr>
      <w:numPr>
        <w:numId w:val="1"/>
      </w:numPr>
      <w:spacing w:after="120" w:line="240" w:lineRule="auto"/>
      <w:jc w:val="both"/>
    </w:pPr>
    <w:rPr>
      <w:rFonts w:eastAsia="Times New Roman"/>
      <w:szCs w:val="24"/>
      <w:lang w:eastAsia="et-EE"/>
    </w:rPr>
  </w:style>
  <w:style w:type="table" w:styleId="Lentelstinklelis">
    <w:name w:val="Table Grid"/>
    <w:aliases w:val="Standard,Table Heading Background"/>
    <w:basedOn w:val="prastojilentel"/>
    <w:uiPriority w:val="39"/>
    <w:rsid w:val="00EB768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B76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7681"/>
    <w:rPr>
      <w:rFonts w:ascii="Tahoma" w:eastAsia="Times New Roman" w:hAnsi="Tahoma" w:cs="Tahoma"/>
      <w:sz w:val="16"/>
      <w:szCs w:val="16"/>
      <w:lang w:eastAsia="lt-LT"/>
    </w:rPr>
  </w:style>
  <w:style w:type="paragraph" w:styleId="Betarp">
    <w:name w:val="No Spacing"/>
    <w:uiPriority w:val="1"/>
    <w:qFormat/>
    <w:rsid w:val="004A3390"/>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6180</Words>
  <Characters>3524</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Šemetienė</dc:creator>
  <cp:lastModifiedBy>Vilija Šemetienė</cp:lastModifiedBy>
  <cp:revision>3</cp:revision>
  <dcterms:created xsi:type="dcterms:W3CDTF">2020-11-19T22:27:00Z</dcterms:created>
  <dcterms:modified xsi:type="dcterms:W3CDTF">2020-11-19T22:30:00Z</dcterms:modified>
</cp:coreProperties>
</file>