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7B" w:rsidRDefault="0094647B" w:rsidP="00FE0870">
      <w:pPr>
        <w:jc w:val="both"/>
        <w:rPr>
          <w:b/>
          <w:bCs/>
        </w:rPr>
      </w:pPr>
    </w:p>
    <w:p w:rsidR="0094647B" w:rsidRPr="007348C3" w:rsidRDefault="0094647B" w:rsidP="0094647B">
      <w:pPr>
        <w:pStyle w:val="Betarp"/>
        <w:jc w:val="center"/>
      </w:pPr>
      <w:r w:rsidRPr="007348C3">
        <w:t>Vertinimo apžvalga</w:t>
      </w:r>
    </w:p>
    <w:p w:rsidR="0094647B" w:rsidRPr="007348C3" w:rsidRDefault="0094647B" w:rsidP="0094647B">
      <w:pPr>
        <w:pStyle w:val="Betarp"/>
      </w:pPr>
      <w:r w:rsidRPr="007348C3">
        <w:t>Finansų politikos departamento Ekonominės analizės ir vertinimo skyriaus darbo dokumentas</w:t>
      </w:r>
    </w:p>
    <w:p w:rsidR="0094647B" w:rsidRDefault="0094647B" w:rsidP="0094647B">
      <w:pPr>
        <w:pStyle w:val="Betarp"/>
        <w:jc w:val="center"/>
        <w:rPr>
          <w:b/>
        </w:rPr>
      </w:pPr>
    </w:p>
    <w:p w:rsidR="00FE0870" w:rsidRDefault="00FE0870" w:rsidP="00FE0870">
      <w:pPr>
        <w:jc w:val="both"/>
        <w:rPr>
          <w:b/>
          <w:bCs/>
        </w:rPr>
      </w:pPr>
      <w:r w:rsidRPr="00FE0870">
        <w:rPr>
          <w:b/>
          <w:bCs/>
        </w:rPr>
        <w:t xml:space="preserve">Europos Sąjungos fondų investicijų poveikio Europos Sąjungos Baltijos jūros regiono strategijos įgyvendinimui vertinimas </w:t>
      </w:r>
    </w:p>
    <w:p w:rsidR="0094647B" w:rsidRDefault="0094647B" w:rsidP="00FE0870">
      <w:pPr>
        <w:jc w:val="both"/>
        <w:rPr>
          <w:b/>
          <w:bCs/>
        </w:rPr>
      </w:pPr>
    </w:p>
    <w:p w:rsidR="00FE0870" w:rsidRPr="00EB3F02" w:rsidRDefault="00FE0870" w:rsidP="00FE0870">
      <w:pPr>
        <w:jc w:val="both"/>
        <w:rPr>
          <w:color w:val="000000"/>
        </w:rPr>
      </w:pPr>
      <w:r w:rsidRPr="00EB3F02">
        <w:rPr>
          <w:color w:val="000000"/>
        </w:rPr>
        <w:t>Užsakovas: Lietuvos Respublikos finansų ministerija (FM)</w:t>
      </w:r>
    </w:p>
    <w:p w:rsidR="00FE0870" w:rsidRPr="00EB3F02" w:rsidRDefault="00FE0870" w:rsidP="00FE0870">
      <w:pPr>
        <w:jc w:val="both"/>
        <w:rPr>
          <w:color w:val="000000"/>
        </w:rPr>
      </w:pPr>
      <w:r w:rsidRPr="00EB3F02">
        <w:rPr>
          <w:color w:val="000000"/>
        </w:rPr>
        <w:t xml:space="preserve">Vertinimą atliko: </w:t>
      </w:r>
      <w:r w:rsidRPr="00EB3F02">
        <w:t>UAB „</w:t>
      </w:r>
      <w:r>
        <w:t xml:space="preserve">BGI </w:t>
      </w:r>
      <w:proofErr w:type="spellStart"/>
      <w:r>
        <w:t>Consulting</w:t>
      </w:r>
      <w:proofErr w:type="spellEnd"/>
      <w:r w:rsidRPr="00EB3F02">
        <w:t xml:space="preserve">“, </w:t>
      </w:r>
      <w:r w:rsidRPr="00EB3F02">
        <w:rPr>
          <w:color w:val="000000"/>
        </w:rPr>
        <w:t>20</w:t>
      </w:r>
      <w:r>
        <w:rPr>
          <w:color w:val="000000"/>
        </w:rPr>
        <w:t>20</w:t>
      </w:r>
      <w:r w:rsidR="0052636A">
        <w:rPr>
          <w:color w:val="000000"/>
        </w:rPr>
        <w:t xml:space="preserve"> </w:t>
      </w:r>
      <w:r w:rsidRPr="00EB3F02">
        <w:rPr>
          <w:color w:val="000000"/>
        </w:rPr>
        <w:t>m.</w:t>
      </w:r>
    </w:p>
    <w:p w:rsidR="00FE0870" w:rsidRPr="00EB3F02" w:rsidRDefault="00FE0870" w:rsidP="00FE0870">
      <w:pPr>
        <w:autoSpaceDE w:val="0"/>
        <w:autoSpaceDN w:val="0"/>
        <w:adjustRightInd w:val="0"/>
        <w:jc w:val="both"/>
        <w:rPr>
          <w:b/>
          <w:color w:val="000000"/>
        </w:rPr>
      </w:pPr>
    </w:p>
    <w:p w:rsidR="00FE0870" w:rsidRPr="00EB3F02" w:rsidRDefault="00FE0870" w:rsidP="00FE0870">
      <w:pPr>
        <w:autoSpaceDE w:val="0"/>
        <w:autoSpaceDN w:val="0"/>
        <w:adjustRightInd w:val="0"/>
        <w:jc w:val="both"/>
        <w:rPr>
          <w:b/>
          <w:color w:val="000000"/>
        </w:rPr>
      </w:pPr>
      <w:r w:rsidRPr="00EB3F02">
        <w:rPr>
          <w:b/>
          <w:color w:val="000000"/>
        </w:rPr>
        <w:t>Vertinimo tikslas, uždaviniai, apimtis, metodai</w:t>
      </w:r>
    </w:p>
    <w:p w:rsidR="00FE0870" w:rsidRPr="00FE0870" w:rsidRDefault="00FE0870" w:rsidP="00FE0870">
      <w:pPr>
        <w:overflowPunct w:val="0"/>
        <w:autoSpaceDE w:val="0"/>
        <w:autoSpaceDN w:val="0"/>
        <w:adjustRightInd w:val="0"/>
        <w:jc w:val="both"/>
        <w:textAlignment w:val="baseline"/>
        <w:rPr>
          <w:color w:val="000000"/>
        </w:rPr>
      </w:pPr>
      <w:r w:rsidRPr="00FE0870">
        <w:rPr>
          <w:b/>
          <w:color w:val="000000"/>
        </w:rPr>
        <w:t>Vertinimo tikslas</w:t>
      </w:r>
      <w:r w:rsidRPr="00FE0870">
        <w:rPr>
          <w:color w:val="000000"/>
        </w:rPr>
        <w:t xml:space="preserve"> – nustatyti, kaip Lietuvoje Europos Sąjungos (ES) fondai ir kiti finansavimo šaltiniai prisideda prie Europos Sąjungos Baltijos jūros regiono strategijos (BJRS) įgyvendinimo.</w:t>
      </w:r>
    </w:p>
    <w:p w:rsidR="00FE0870" w:rsidRPr="00FE0870" w:rsidRDefault="00FE0870" w:rsidP="00FE0870">
      <w:pPr>
        <w:overflowPunct w:val="0"/>
        <w:autoSpaceDE w:val="0"/>
        <w:autoSpaceDN w:val="0"/>
        <w:adjustRightInd w:val="0"/>
        <w:jc w:val="both"/>
        <w:textAlignment w:val="baseline"/>
        <w:rPr>
          <w:b/>
          <w:color w:val="000000"/>
        </w:rPr>
      </w:pPr>
      <w:r w:rsidRPr="00FE0870">
        <w:rPr>
          <w:b/>
          <w:color w:val="000000"/>
        </w:rPr>
        <w:t>Vertinimo uždaviniai:</w:t>
      </w:r>
    </w:p>
    <w:p w:rsidR="00FE0870" w:rsidRPr="00FE0870" w:rsidRDefault="00FE0870" w:rsidP="00FE0870">
      <w:pPr>
        <w:overflowPunct w:val="0"/>
        <w:autoSpaceDE w:val="0"/>
        <w:autoSpaceDN w:val="0"/>
        <w:adjustRightInd w:val="0"/>
        <w:jc w:val="both"/>
        <w:textAlignment w:val="baseline"/>
        <w:rPr>
          <w:color w:val="000000"/>
        </w:rPr>
      </w:pPr>
      <w:r>
        <w:rPr>
          <w:color w:val="000000"/>
        </w:rPr>
        <w:t>1</w:t>
      </w:r>
      <w:r w:rsidRPr="00FE0870">
        <w:rPr>
          <w:color w:val="000000"/>
        </w:rPr>
        <w:t>. Įvertinti BJRS įgyvendinimo tinkamumą, finansinių išteklių pakankamumą (pagal įvairius finansavimo šaltinius), suderinamumą ir efektyvumą, siekiant BJRS nustatytų tikslų;</w:t>
      </w:r>
    </w:p>
    <w:p w:rsidR="00FE0870" w:rsidRPr="00FE0870" w:rsidRDefault="00FE0870" w:rsidP="00FE0870">
      <w:pPr>
        <w:overflowPunct w:val="0"/>
        <w:autoSpaceDE w:val="0"/>
        <w:autoSpaceDN w:val="0"/>
        <w:adjustRightInd w:val="0"/>
        <w:jc w:val="both"/>
        <w:textAlignment w:val="baseline"/>
        <w:rPr>
          <w:color w:val="000000"/>
        </w:rPr>
      </w:pPr>
      <w:r>
        <w:rPr>
          <w:color w:val="000000"/>
        </w:rPr>
        <w:t>2</w:t>
      </w:r>
      <w:r w:rsidRPr="00FE0870">
        <w:rPr>
          <w:color w:val="000000"/>
        </w:rPr>
        <w:t>. Įvertinti, kaip Veiksmų programos prioritetų konkretūs uždaviniai ir priemonės tiesiogiai prisideda prie BJRS tikslų įgyvendinimo ir koks investicijų poveikis;</w:t>
      </w:r>
    </w:p>
    <w:p w:rsidR="00FE0870" w:rsidRDefault="00FE0870" w:rsidP="00FE0870">
      <w:pPr>
        <w:overflowPunct w:val="0"/>
        <w:autoSpaceDE w:val="0"/>
        <w:autoSpaceDN w:val="0"/>
        <w:adjustRightInd w:val="0"/>
        <w:jc w:val="both"/>
        <w:textAlignment w:val="baseline"/>
        <w:rPr>
          <w:b/>
          <w:color w:val="000000"/>
        </w:rPr>
      </w:pPr>
      <w:r>
        <w:rPr>
          <w:color w:val="000000"/>
        </w:rPr>
        <w:t>3</w:t>
      </w:r>
      <w:r w:rsidRPr="00FE0870">
        <w:rPr>
          <w:color w:val="000000"/>
        </w:rPr>
        <w:t>. Pateikti pasiūlymus, kaip paskatinti tarptautinį bendradarbiavimą, sprendžiant Baltijos jūros regiono problemas 2021–2027 m. laikotarpiu</w:t>
      </w:r>
      <w:r w:rsidRPr="00FE0870">
        <w:rPr>
          <w:b/>
          <w:color w:val="000000"/>
        </w:rPr>
        <w:t>.</w:t>
      </w:r>
    </w:p>
    <w:p w:rsidR="00FE0870" w:rsidRPr="00EB3F02" w:rsidRDefault="00FE0870" w:rsidP="00FE0870">
      <w:pPr>
        <w:overflowPunct w:val="0"/>
        <w:autoSpaceDE w:val="0"/>
        <w:autoSpaceDN w:val="0"/>
        <w:adjustRightInd w:val="0"/>
        <w:jc w:val="both"/>
        <w:textAlignment w:val="baseline"/>
        <w:rPr>
          <w:b/>
          <w:color w:val="000000"/>
        </w:rPr>
      </w:pPr>
      <w:r w:rsidRPr="00EB3F02">
        <w:rPr>
          <w:b/>
          <w:color w:val="000000"/>
        </w:rPr>
        <w:t xml:space="preserve">Apimtis </w:t>
      </w:r>
    </w:p>
    <w:p w:rsidR="002C41A5" w:rsidRDefault="002C41A5" w:rsidP="00FE0870">
      <w:pPr>
        <w:autoSpaceDE w:val="0"/>
        <w:autoSpaceDN w:val="0"/>
        <w:adjustRightInd w:val="0"/>
        <w:jc w:val="both"/>
      </w:pPr>
      <w:r>
        <w:t>Šio vertinimo objektas yra i</w:t>
      </w:r>
      <w:r w:rsidRPr="002C41A5">
        <w:t>š įvairių šaltinių Lietuvoje finansuotos intervencijos, prisidedančios prie BJRS įgyvendinimo (2009–2020 m.). Vertinimo objekto detalizavimas – konkrečių finansavimo šaltinių, kurių intervencijos prisideda prie BJRS įgyvendinimo, identifikavimas – yra šio vertinimo dalis.</w:t>
      </w:r>
    </w:p>
    <w:p w:rsidR="00FE0870" w:rsidRPr="00EB3F02" w:rsidRDefault="00FE0870" w:rsidP="00FE0870">
      <w:pPr>
        <w:autoSpaceDE w:val="0"/>
        <w:autoSpaceDN w:val="0"/>
        <w:adjustRightInd w:val="0"/>
        <w:jc w:val="both"/>
        <w:rPr>
          <w:rFonts w:eastAsia="Calibri"/>
          <w:b/>
          <w:color w:val="000000"/>
        </w:rPr>
      </w:pPr>
      <w:r w:rsidRPr="00EB3F02">
        <w:rPr>
          <w:rFonts w:eastAsia="Calibri"/>
          <w:b/>
          <w:color w:val="000000"/>
        </w:rPr>
        <w:t xml:space="preserve">Naudoti metodai </w:t>
      </w:r>
    </w:p>
    <w:p w:rsidR="00FE0870" w:rsidRDefault="00FE0870" w:rsidP="00FE0870">
      <w:pPr>
        <w:autoSpaceDE w:val="0"/>
        <w:autoSpaceDN w:val="0"/>
        <w:adjustRightInd w:val="0"/>
        <w:jc w:val="both"/>
        <w:rPr>
          <w:rFonts w:eastAsia="Calibri"/>
          <w:color w:val="000000"/>
        </w:rPr>
      </w:pPr>
      <w:r w:rsidRPr="00FE0870">
        <w:rPr>
          <w:rFonts w:eastAsia="Calibri"/>
          <w:color w:val="000000"/>
        </w:rPr>
        <w:t xml:space="preserve">Dokumentų analizė, antrinių šaltinių analizė, </w:t>
      </w:r>
      <w:proofErr w:type="spellStart"/>
      <w:r w:rsidRPr="00FE0870">
        <w:rPr>
          <w:rFonts w:eastAsia="Calibri"/>
          <w:color w:val="000000"/>
        </w:rPr>
        <w:t>stebėsenos</w:t>
      </w:r>
      <w:proofErr w:type="spellEnd"/>
      <w:r w:rsidRPr="00FE0870">
        <w:rPr>
          <w:rFonts w:eastAsia="Calibri"/>
          <w:color w:val="000000"/>
        </w:rPr>
        <w:t xml:space="preserve"> duomenų analizė, viešai prieinamos informacijos analizė, pusiau struktūruoti interviu, intervencijų logikos analizė, lyginamoji analizė, </w:t>
      </w:r>
      <w:proofErr w:type="spellStart"/>
      <w:r w:rsidRPr="00FE0870">
        <w:rPr>
          <w:rFonts w:eastAsia="Calibri"/>
          <w:color w:val="000000"/>
        </w:rPr>
        <w:t>metaanalizė</w:t>
      </w:r>
      <w:proofErr w:type="spellEnd"/>
      <w:r w:rsidRPr="00FE0870">
        <w:rPr>
          <w:rFonts w:eastAsia="Calibri"/>
          <w:color w:val="000000"/>
        </w:rPr>
        <w:t>, ekspertinis vertinimas, atvejo studijos.</w:t>
      </w:r>
    </w:p>
    <w:p w:rsidR="00FE0870" w:rsidRPr="00EB3F02" w:rsidRDefault="00FE0870" w:rsidP="00FE0870">
      <w:pPr>
        <w:autoSpaceDE w:val="0"/>
        <w:autoSpaceDN w:val="0"/>
        <w:adjustRightInd w:val="0"/>
        <w:jc w:val="both"/>
        <w:rPr>
          <w:b/>
        </w:rPr>
      </w:pPr>
      <w:r w:rsidRPr="00EB3F02">
        <w:rPr>
          <w:b/>
        </w:rPr>
        <w:t xml:space="preserve">Pagrindiniai vertinimo rezultatai </w:t>
      </w:r>
    </w:p>
    <w:p w:rsidR="002C41A5" w:rsidRDefault="002C41A5" w:rsidP="0052636A">
      <w:pPr>
        <w:pStyle w:val="Sraopastraipa"/>
        <w:numPr>
          <w:ilvl w:val="0"/>
          <w:numId w:val="4"/>
        </w:numPr>
        <w:autoSpaceDE w:val="0"/>
        <w:autoSpaceDN w:val="0"/>
        <w:adjustRightInd w:val="0"/>
        <w:jc w:val="both"/>
      </w:pPr>
      <w:r>
        <w:t>Kadangi BJRS</w:t>
      </w:r>
      <w:r w:rsidR="003C231B">
        <w:t xml:space="preserve"> neturi atskiro finansavimo, 20</w:t>
      </w:r>
      <w:r w:rsidRPr="002C41A5">
        <w:t xml:space="preserve">09–2020 m. laikotarpiu </w:t>
      </w:r>
      <w:r>
        <w:t xml:space="preserve">BJRS </w:t>
      </w:r>
      <w:r w:rsidRPr="002C41A5">
        <w:t xml:space="preserve">aktualios intervencijos Lietuvoje buvo </w:t>
      </w:r>
      <w:r w:rsidRPr="0052636A">
        <w:rPr>
          <w:b/>
        </w:rPr>
        <w:t>finansuotos bent 41 skirtingo finansavimo šaltinio lėšomis.</w:t>
      </w:r>
      <w:r w:rsidRPr="002C41A5">
        <w:t xml:space="preserve"> Lietuvos subjektai dalyvavo daugiau </w:t>
      </w:r>
      <w:r w:rsidRPr="0052636A">
        <w:rPr>
          <w:b/>
        </w:rPr>
        <w:t>kaip 2,7 tūkst. prie BJRS įgyvendinimo prisidėjusių projektų,</w:t>
      </w:r>
      <w:r w:rsidRPr="002C41A5">
        <w:t xml:space="preserve"> kurių </w:t>
      </w:r>
      <w:r w:rsidRPr="0052636A">
        <w:rPr>
          <w:b/>
        </w:rPr>
        <w:t>bendra finansinė apimtis viršijo 5,6 mlrd. EUR</w:t>
      </w:r>
      <w:r w:rsidRPr="002C41A5">
        <w:t xml:space="preserve">. </w:t>
      </w:r>
    </w:p>
    <w:p w:rsidR="002C41A5" w:rsidRPr="0052636A" w:rsidRDefault="002C41A5" w:rsidP="0052636A">
      <w:pPr>
        <w:pStyle w:val="Sraopastraipa"/>
        <w:numPr>
          <w:ilvl w:val="0"/>
          <w:numId w:val="4"/>
        </w:numPr>
        <w:autoSpaceDE w:val="0"/>
        <w:autoSpaceDN w:val="0"/>
        <w:adjustRightInd w:val="0"/>
        <w:jc w:val="both"/>
        <w:rPr>
          <w:b/>
        </w:rPr>
      </w:pPr>
      <w:r w:rsidRPr="002C41A5">
        <w:t xml:space="preserve">Absoliuti dauguma prie BJRS įgyvendinimo prisidėjusių investicijų finansuotos nacionalinių veiksmų programų lėšomis, trečdalis – įvairių ES sektorinių programų lėšomis, dar dešimtadalis – daugiašalių Europos teritorinio bendradarbiavimo tikslo (ETBT) programų lėšomis, likusi nedidelė dalis – dvišalių ir trišalių ETBT programų, Europos ekonominės erdvės (EEE) ir Norvegijos finansinių mechanizmų bei kitų ETBT programų lėšomis. Vis dėlto, </w:t>
      </w:r>
      <w:r w:rsidRPr="0052636A">
        <w:rPr>
          <w:b/>
        </w:rPr>
        <w:t>daugelio šių investicinių programų intervencijų indėlis į BJRS įgyvendinimą buvo atsitiktinis</w:t>
      </w:r>
      <w:r w:rsidRPr="002C41A5">
        <w:t xml:space="preserve"> (ne tikslingai planuotas), o poveikis – netiesioginis. </w:t>
      </w:r>
      <w:r w:rsidRPr="0052636A">
        <w:rPr>
          <w:b/>
        </w:rPr>
        <w:t xml:space="preserve">Tik daugiašalių ETBT programų ir pavienių ES sektorinių programų projektų indėlis įgyvendinant strategiją buvo tikslingas, o poveikis – tiesioginis. </w:t>
      </w:r>
    </w:p>
    <w:p w:rsidR="003C231B" w:rsidRDefault="002C41A5" w:rsidP="0052636A">
      <w:pPr>
        <w:pStyle w:val="Sraopastraipa"/>
        <w:numPr>
          <w:ilvl w:val="0"/>
          <w:numId w:val="4"/>
        </w:numPr>
        <w:autoSpaceDE w:val="0"/>
        <w:autoSpaceDN w:val="0"/>
        <w:adjustRightInd w:val="0"/>
        <w:jc w:val="both"/>
      </w:pPr>
      <w:r w:rsidRPr="002C41A5">
        <w:t xml:space="preserve">Finansiniu požiūriu BJRS aktualios intervencijos labiausiai prisidėjo prie strategijos politikos sričių „Transportas“, „Maistinės medžiagos“ ir „Pavojingos medžiagos“ bei „Energetika“, tačiau politikos </w:t>
      </w:r>
      <w:r w:rsidRPr="0052636A">
        <w:rPr>
          <w:b/>
        </w:rPr>
        <w:t>srityse „</w:t>
      </w:r>
      <w:proofErr w:type="spellStart"/>
      <w:r w:rsidRPr="0052636A">
        <w:rPr>
          <w:b/>
        </w:rPr>
        <w:t>Bioekonomika</w:t>
      </w:r>
      <w:proofErr w:type="spellEnd"/>
      <w:r w:rsidRPr="0052636A">
        <w:rPr>
          <w:b/>
        </w:rPr>
        <w:t>“ ir „Inovacijos“ įgyvendinti projektai pasižymėjo santykinai stipriau išreikšta bendradarbiavimo Baltijos jūros regione dimensija</w:t>
      </w:r>
      <w:r w:rsidRPr="002C41A5">
        <w:t xml:space="preserve">. Reikšminga dalis šiose srityse plėtoto bendradarbiavimo su Baltijos jūros regiono šalimis apėmė ne atsitiktinę, o tikslingą, į regiono plėtrą nukreiptą partnerystę. </w:t>
      </w:r>
    </w:p>
    <w:p w:rsidR="002C41A5" w:rsidRPr="002C41A5" w:rsidRDefault="003C231B" w:rsidP="0052636A">
      <w:pPr>
        <w:pStyle w:val="Sraopastraipa"/>
        <w:numPr>
          <w:ilvl w:val="0"/>
          <w:numId w:val="4"/>
        </w:numPr>
        <w:autoSpaceDE w:val="0"/>
        <w:autoSpaceDN w:val="0"/>
        <w:adjustRightInd w:val="0"/>
        <w:jc w:val="both"/>
      </w:pPr>
      <w:r>
        <w:t>B</w:t>
      </w:r>
      <w:r w:rsidR="002C41A5" w:rsidRPr="002C41A5">
        <w:t xml:space="preserve">endradarbiavimo Baltijos jūros regione poreikis skiriasi tarp BJRS politikos sričių, todėl ir strategijos, kaip bendradarbiavimo </w:t>
      </w:r>
      <w:proofErr w:type="spellStart"/>
      <w:r w:rsidR="002C41A5" w:rsidRPr="002C41A5">
        <w:t>makroregiono</w:t>
      </w:r>
      <w:proofErr w:type="spellEnd"/>
      <w:r w:rsidR="002C41A5" w:rsidRPr="002C41A5">
        <w:t xml:space="preserve"> lygmeniu skatinimo platformos, </w:t>
      </w:r>
      <w:r w:rsidR="002C41A5" w:rsidRPr="0052636A">
        <w:rPr>
          <w:b/>
        </w:rPr>
        <w:t>pridėtinė vertė įvairiose politikos srityse yra nevienoda:</w:t>
      </w:r>
      <w:r w:rsidR="002C41A5" w:rsidRPr="002C41A5">
        <w:t xml:space="preserve"> politikos srityse „</w:t>
      </w:r>
      <w:proofErr w:type="spellStart"/>
      <w:r w:rsidR="002C41A5" w:rsidRPr="002C41A5">
        <w:t>Bioekonomika</w:t>
      </w:r>
      <w:proofErr w:type="spellEnd"/>
      <w:r w:rsidR="002C41A5" w:rsidRPr="002C41A5">
        <w:t xml:space="preserve">“ ir „Inovacijos“ – didelė, politikos srityse „Maistinės medžiagos“ ir „Pavojingos medžiagos“, </w:t>
      </w:r>
      <w:r w:rsidR="002C41A5" w:rsidRPr="002C41A5">
        <w:lastRenderedPageBreak/>
        <w:t>„Transportas“ bei „Energetika“ – vidutinė, politikos srityse „Civilinė sauga“, „Kultūra“, „Turizmas“ ir „Švietimas“ – maža.</w:t>
      </w:r>
    </w:p>
    <w:p w:rsidR="003C231B" w:rsidRDefault="002C41A5" w:rsidP="0052636A">
      <w:pPr>
        <w:pStyle w:val="Sraopastraipa"/>
        <w:numPr>
          <w:ilvl w:val="0"/>
          <w:numId w:val="4"/>
        </w:numPr>
        <w:autoSpaceDE w:val="0"/>
        <w:autoSpaceDN w:val="0"/>
        <w:adjustRightInd w:val="0"/>
        <w:jc w:val="both"/>
      </w:pPr>
      <w:r w:rsidRPr="002C41A5">
        <w:t xml:space="preserve">Nesant tikslinio </w:t>
      </w:r>
      <w:r w:rsidR="003C231B">
        <w:t>BJRS</w:t>
      </w:r>
      <w:r w:rsidRPr="002C41A5">
        <w:t xml:space="preserve"> finansavimo šaltinio </w:t>
      </w:r>
      <w:r w:rsidRPr="0052636A">
        <w:rPr>
          <w:b/>
        </w:rPr>
        <w:t>politinis dėmesys BJRS įg</w:t>
      </w:r>
      <w:r w:rsidR="003C231B" w:rsidRPr="0052636A">
        <w:rPr>
          <w:b/>
        </w:rPr>
        <w:t>yvendinimui Lietuvoje yra mažas,</w:t>
      </w:r>
      <w:r w:rsidRPr="0052636A">
        <w:rPr>
          <w:b/>
        </w:rPr>
        <w:t xml:space="preserve"> </w:t>
      </w:r>
      <w:r w:rsidR="003C231B" w:rsidRPr="0052636A">
        <w:rPr>
          <w:b/>
        </w:rPr>
        <w:t xml:space="preserve">BJRS </w:t>
      </w:r>
      <w:r w:rsidRPr="0052636A">
        <w:rPr>
          <w:b/>
        </w:rPr>
        <w:t>įgyvendinimo koordinavimo sistema šalyje yra neefektyvi</w:t>
      </w:r>
      <w:r w:rsidRPr="002C41A5">
        <w:t xml:space="preserve"> – neužtikrinamas su BJRS įgyvendinimo koordinavimu susijusių žmogiškųjų išteklių pakankamumas ir tvarumas, trūksta </w:t>
      </w:r>
      <w:proofErr w:type="spellStart"/>
      <w:r w:rsidRPr="002C41A5">
        <w:t>tarpinstitucinio</w:t>
      </w:r>
      <w:proofErr w:type="spellEnd"/>
      <w:r w:rsidRPr="002C41A5">
        <w:t xml:space="preserve"> bendradarbiavimo tarp skirtingas BJRS politikos sritis ir horizontaliuosius veiksmus koordinuojančių institucijų, BJRS politikos sričių koordinatorių nacionaliniu lygmeniu vaidmenį atliekančios institucijos į strategijos įgyvendinimą įsitraukia pasyviai. </w:t>
      </w:r>
    </w:p>
    <w:p w:rsidR="003C231B" w:rsidRDefault="002C41A5" w:rsidP="0052636A">
      <w:pPr>
        <w:pStyle w:val="Sraopastraipa"/>
        <w:numPr>
          <w:ilvl w:val="0"/>
          <w:numId w:val="4"/>
        </w:numPr>
        <w:autoSpaceDE w:val="0"/>
        <w:autoSpaceDN w:val="0"/>
        <w:adjustRightInd w:val="0"/>
        <w:jc w:val="both"/>
      </w:pPr>
      <w:r w:rsidRPr="002C41A5">
        <w:t>Dėl nepakankamo</w:t>
      </w:r>
      <w:r w:rsidR="003C231B">
        <w:t xml:space="preserve"> dėmesio</w:t>
      </w:r>
      <w:r w:rsidRPr="002C41A5">
        <w:t xml:space="preserve"> </w:t>
      </w:r>
      <w:r w:rsidR="003C231B">
        <w:t>BJRS</w:t>
      </w:r>
      <w:r w:rsidRPr="002C41A5">
        <w:t xml:space="preserve"> Lietuvos politiniame ir instituciniame lygmenyje, </w:t>
      </w:r>
      <w:r w:rsidRPr="0052636A">
        <w:rPr>
          <w:b/>
        </w:rPr>
        <w:t>nacionalinėje strateginėje darbotvarkėje įtvirtintos sąsajos su BJRS yra daugiausiai deklaratyvios.</w:t>
      </w:r>
      <w:r w:rsidRPr="002C41A5">
        <w:t xml:space="preserve"> </w:t>
      </w:r>
    </w:p>
    <w:p w:rsidR="00FE0870" w:rsidRPr="0052636A" w:rsidRDefault="003C231B" w:rsidP="0052636A">
      <w:pPr>
        <w:pStyle w:val="Sraopastraipa"/>
        <w:numPr>
          <w:ilvl w:val="0"/>
          <w:numId w:val="4"/>
        </w:numPr>
        <w:autoSpaceDE w:val="0"/>
        <w:autoSpaceDN w:val="0"/>
        <w:adjustRightInd w:val="0"/>
        <w:jc w:val="both"/>
        <w:rPr>
          <w:b/>
        </w:rPr>
      </w:pPr>
      <w:r>
        <w:t>R</w:t>
      </w:r>
      <w:r w:rsidR="002C41A5" w:rsidRPr="002C41A5">
        <w:t>engiant ir įgyvendinant įvairias investicines programas</w:t>
      </w:r>
      <w:r>
        <w:t>,</w:t>
      </w:r>
      <w:r w:rsidR="002C41A5" w:rsidRPr="002C41A5">
        <w:t xml:space="preserve"> </w:t>
      </w:r>
      <w:r w:rsidR="002C41A5" w:rsidRPr="0052636A">
        <w:rPr>
          <w:b/>
        </w:rPr>
        <w:t>tiek instituciniame lygmenyje, tiek visuomenėje trūksta informuotumo apie galimų BJRS aktualių intervencijų finansavimo šaltinių įvairovę.</w:t>
      </w:r>
    </w:p>
    <w:p w:rsidR="00FE0870" w:rsidRPr="00EB3F02" w:rsidRDefault="00FE0870" w:rsidP="00FE0870">
      <w:pPr>
        <w:autoSpaceDE w:val="0"/>
        <w:autoSpaceDN w:val="0"/>
        <w:adjustRightInd w:val="0"/>
        <w:jc w:val="both"/>
        <w:rPr>
          <w:b/>
        </w:rPr>
      </w:pPr>
      <w:r w:rsidRPr="00EB3F02">
        <w:rPr>
          <w:b/>
        </w:rPr>
        <w:t>Vertinimo rekomendacijos</w:t>
      </w:r>
    </w:p>
    <w:p w:rsidR="0052636A" w:rsidRDefault="00FE0870" w:rsidP="0052636A">
      <w:pPr>
        <w:autoSpaceDE w:val="0"/>
        <w:autoSpaceDN w:val="0"/>
        <w:adjustRightInd w:val="0"/>
        <w:jc w:val="both"/>
      </w:pPr>
      <w:r w:rsidRPr="00EB3F02">
        <w:t xml:space="preserve">1. </w:t>
      </w:r>
      <w:r w:rsidR="0052636A">
        <w:t xml:space="preserve">Siekiant aiškiau </w:t>
      </w:r>
      <w:proofErr w:type="spellStart"/>
      <w:r w:rsidR="0052636A">
        <w:t>pozicionuoti</w:t>
      </w:r>
      <w:proofErr w:type="spellEnd"/>
      <w:r w:rsidR="0052636A">
        <w:t xml:space="preserve"> BJRS planuojant ir įgyvendinant įvairių investicinių programų intervencijas bei sukurti didesnę pridėtinę vertę Lietuvai, siūloma atskirose viešosios politikos srityse politiniu lygmeniu išskirti prioritetines bendradarbiavimo Baltijos jūros regione sritis ir partnerystės kryptis – klausimus, kuriais bendradarbiauti BJR yra svarbiausia, ir BJR valstybes, su kuriomis bendradarbiauti yra santykinai svarbiausia.</w:t>
      </w:r>
    </w:p>
    <w:p w:rsidR="0052636A" w:rsidRDefault="0052636A" w:rsidP="0052636A">
      <w:pPr>
        <w:autoSpaceDE w:val="0"/>
        <w:autoSpaceDN w:val="0"/>
        <w:adjustRightInd w:val="0"/>
        <w:jc w:val="both"/>
      </w:pPr>
      <w:r>
        <w:t xml:space="preserve">2. Siekiant užtikrinti BJRS koordinavime dalyvaujančių Lietuvos institucijų žmogiškųjų pakankamumą ir tvarumą, kiekvienoje iš šių institucijų ar bent svarbiausiose (nacionalinio koordinatoriaus ir (arba) BJRS politikos srities koordinatoriaus </w:t>
      </w:r>
      <w:proofErr w:type="spellStart"/>
      <w:r>
        <w:t>makroregiono</w:t>
      </w:r>
      <w:proofErr w:type="spellEnd"/>
      <w:r>
        <w:t xml:space="preserve"> lygmeniu vaidmenis atliekančiose) institucijose siūloma numatyti tam tikrą darbuotojų etatų, skirtų konkrečiai BJRS koordinavimo funkcijoms atlikti, skaičių ir su juo susijusį darbo užmokesčio fondą. </w:t>
      </w:r>
    </w:p>
    <w:p w:rsidR="0052636A" w:rsidRDefault="0052636A" w:rsidP="0052636A">
      <w:pPr>
        <w:autoSpaceDE w:val="0"/>
        <w:autoSpaceDN w:val="0"/>
        <w:adjustRightInd w:val="0"/>
        <w:jc w:val="both"/>
      </w:pPr>
      <w:r>
        <w:t xml:space="preserve">3.   Siekiant užtikrinti faktinį susietumą tarp BJRS tikslų bei politikos sričių ir įvairių investicinių programų prioritetų bei uždavinių, siūloma inicijuoti BJRS politikos sričių įgyvendinimo koordinavime </w:t>
      </w:r>
      <w:proofErr w:type="spellStart"/>
      <w:r>
        <w:t>makroregiono</w:t>
      </w:r>
      <w:proofErr w:type="spellEnd"/>
      <w:r>
        <w:t xml:space="preserve"> ar nacionaliniu lygmeniu Lietuvoje dalyvaujančių institucijų atstovų įsitraukimą į įvairių Lietuvoje rengiamų investicinių programų intervencijų planavimą.</w:t>
      </w:r>
    </w:p>
    <w:p w:rsidR="0052636A" w:rsidRDefault="0052636A" w:rsidP="0052636A">
      <w:pPr>
        <w:autoSpaceDE w:val="0"/>
        <w:autoSpaceDN w:val="0"/>
        <w:adjustRightInd w:val="0"/>
        <w:jc w:val="both"/>
      </w:pPr>
      <w:r>
        <w:t xml:space="preserve"> 4.  Siekiant didinti į BJRS koordinavimą nacionaliniu lygmeniu įtrauktų institucijų atstovų suvokimą apie jų vaidmenį BJRS įgyvendinime ir skatinti aktyvesnį jų dalyvavimą, rekomenduojama aktyvinti Nacionalinę BJRS įgyvendinimo priežiūros komisiją – jos rėmuose reguliariai organizuoti BJRS koordinavime dalyvaujančių institucijų ir kitų suinteresuotų šalių susitikimus, kuriuose būtų aptariami skirtingų BJRS koordinavime dalyvaujančių institucijų vaidmenys, BJRS įgyvendinimo finansavimo šaltinių įvairovė ir prieinamumas, pažanga įgyvendinant BJRS aktualius tikslus įvairiose viešosios politikos srityse ir pan. </w:t>
      </w:r>
    </w:p>
    <w:p w:rsidR="00FE0870" w:rsidRPr="00EB3F02" w:rsidRDefault="0052636A" w:rsidP="0052636A">
      <w:pPr>
        <w:autoSpaceDE w:val="0"/>
        <w:autoSpaceDN w:val="0"/>
        <w:adjustRightInd w:val="0"/>
        <w:jc w:val="both"/>
      </w:pPr>
      <w:r>
        <w:t xml:space="preserve">   </w:t>
      </w:r>
      <w:r w:rsidR="00973324">
        <w:t>5.</w:t>
      </w:r>
      <w:r>
        <w:t xml:space="preserve"> Siekiant didinti informuotumą apie BJRS ir paskatinti įvairių finansavimo šaltinių lėšų nukreipimą jos įgyvendinimui, rekomenduojama sukurti konsoliduotą informacijos apie BJRS platformą, kurioje būtų pateikiama svarbiausia informacija apie įvairius BJRS įgyvendinimo aspektus – paskirtį, intervencijų logiką, valdymo sistemą, įgyvendinimo mechanizmus ir pan., bei esamose informacijos platformose viešinti apie galimybes prisidėti prie BJRS įgyvendinimo, dalyvavimo įgyvendinant BJRS kuriamą pridėtinę vertę programoms ir projektams bei gerąją intervencijų, prisidedančių prie BJRS įgyvendinimo, patirtį.</w:t>
      </w:r>
    </w:p>
    <w:p w:rsidR="0083450F" w:rsidRDefault="0083450F">
      <w:bookmarkStart w:id="0" w:name="_GoBack"/>
      <w:bookmarkEnd w:id="0"/>
    </w:p>
    <w:sectPr w:rsidR="0083450F" w:rsidSect="0052636A">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A3C"/>
    <w:multiLevelType w:val="hybridMultilevel"/>
    <w:tmpl w:val="261AF5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C1C34BA"/>
    <w:multiLevelType w:val="hybridMultilevel"/>
    <w:tmpl w:val="FF2846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5B133DD"/>
    <w:multiLevelType w:val="hybridMultilevel"/>
    <w:tmpl w:val="B486F8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7DF73A49"/>
    <w:multiLevelType w:val="hybridMultilevel"/>
    <w:tmpl w:val="AA503F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870"/>
    <w:rsid w:val="002C41A5"/>
    <w:rsid w:val="003C231B"/>
    <w:rsid w:val="0052636A"/>
    <w:rsid w:val="0083450F"/>
    <w:rsid w:val="0094647B"/>
    <w:rsid w:val="00973324"/>
    <w:rsid w:val="00FE08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8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EY,List Paragraph1,Gaia List Paragraph,Table of contents numbered,List Paragraph 1,Numbering,ERP-List Paragraph,List Paragraph11,List Paragraph2,Paragraphe de liste 2,Reference list,Normal bullet 2,Numbered List,lp1,Bullet 1"/>
    <w:basedOn w:val="prastasis"/>
    <w:link w:val="SraopastraipaDiagrama"/>
    <w:uiPriority w:val="26"/>
    <w:qFormat/>
    <w:rsid w:val="00FE0870"/>
    <w:pPr>
      <w:ind w:left="720"/>
      <w:contextualSpacing/>
    </w:pPr>
  </w:style>
  <w:style w:type="character" w:customStyle="1" w:styleId="SraopastraipaDiagrama">
    <w:name w:val="Sąrašo pastraipa Diagrama"/>
    <w:aliases w:val="Bullet EY Diagrama,List Paragraph1 Diagrama,Gaia List Paragraph Diagrama,Table of contents numbered Diagrama,List Paragraph 1 Diagrama,Numbering Diagrama,ERP-List Paragraph Diagrama,List Paragraph11 Diagrama,lp1 Diagrama"/>
    <w:link w:val="Sraopastraipa"/>
    <w:uiPriority w:val="26"/>
    <w:qFormat/>
    <w:locked/>
    <w:rsid w:val="00FE0870"/>
    <w:rPr>
      <w:rFonts w:ascii="Times New Roman" w:eastAsia="Times New Roman" w:hAnsi="Times New Roman" w:cs="Times New Roman"/>
      <w:sz w:val="24"/>
      <w:szCs w:val="24"/>
      <w:lang w:eastAsia="lt-LT"/>
    </w:rPr>
  </w:style>
  <w:style w:type="paragraph" w:styleId="Betarp">
    <w:name w:val="No Spacing"/>
    <w:uiPriority w:val="1"/>
    <w:qFormat/>
    <w:rsid w:val="0094647B"/>
    <w:pPr>
      <w:spacing w:after="0"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8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EY,List Paragraph1,Gaia List Paragraph,Table of contents numbered,List Paragraph 1,Numbering,ERP-List Paragraph,List Paragraph11,List Paragraph2,Paragraphe de liste 2,Reference list,Normal bullet 2,Numbered List,lp1,Bullet 1"/>
    <w:basedOn w:val="prastasis"/>
    <w:link w:val="SraopastraipaDiagrama"/>
    <w:uiPriority w:val="26"/>
    <w:qFormat/>
    <w:rsid w:val="00FE0870"/>
    <w:pPr>
      <w:ind w:left="720"/>
      <w:contextualSpacing/>
    </w:pPr>
  </w:style>
  <w:style w:type="character" w:customStyle="1" w:styleId="SraopastraipaDiagrama">
    <w:name w:val="Sąrašo pastraipa Diagrama"/>
    <w:aliases w:val="Bullet EY Diagrama,List Paragraph1 Diagrama,Gaia List Paragraph Diagrama,Table of contents numbered Diagrama,List Paragraph 1 Diagrama,Numbering Diagrama,ERP-List Paragraph Diagrama,List Paragraph11 Diagrama,lp1 Diagrama"/>
    <w:link w:val="Sraopastraipa"/>
    <w:uiPriority w:val="26"/>
    <w:qFormat/>
    <w:locked/>
    <w:rsid w:val="00FE0870"/>
    <w:rPr>
      <w:rFonts w:ascii="Times New Roman" w:eastAsia="Times New Roman" w:hAnsi="Times New Roman" w:cs="Times New Roman"/>
      <w:sz w:val="24"/>
      <w:szCs w:val="24"/>
      <w:lang w:eastAsia="lt-LT"/>
    </w:rPr>
  </w:style>
  <w:style w:type="paragraph" w:styleId="Betarp">
    <w:name w:val="No Spacing"/>
    <w:uiPriority w:val="1"/>
    <w:qFormat/>
    <w:rsid w:val="0094647B"/>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4597</Words>
  <Characters>2621</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Burakienė</dc:creator>
  <cp:lastModifiedBy>Vilija Šemetienė</cp:lastModifiedBy>
  <cp:revision>2</cp:revision>
  <dcterms:created xsi:type="dcterms:W3CDTF">2020-11-09T12:37:00Z</dcterms:created>
  <dcterms:modified xsi:type="dcterms:W3CDTF">2020-11-19T14:48:00Z</dcterms:modified>
</cp:coreProperties>
</file>