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9A0" w:rsidRPr="006F0676" w:rsidRDefault="00FE0825">
      <w:pPr>
        <w:jc w:val="center"/>
        <w:rPr>
          <w:b/>
          <w:lang w:val="lt-LT"/>
        </w:rPr>
      </w:pPr>
      <w:r>
        <w:rPr>
          <w:b/>
          <w:lang w:val="lt-LT"/>
        </w:rPr>
        <w:t>PASIŪLYMAS</w:t>
      </w:r>
      <w:r w:rsidR="00804349" w:rsidRPr="006F0676">
        <w:rPr>
          <w:b/>
          <w:lang w:val="lt-LT"/>
        </w:rPr>
        <w:t xml:space="preserve"> DĖL </w:t>
      </w:r>
      <w:r w:rsidR="00E319A0" w:rsidRPr="006F0676">
        <w:rPr>
          <w:b/>
          <w:lang w:val="lt-LT"/>
        </w:rPr>
        <w:t>PROJEK</w:t>
      </w:r>
      <w:r>
        <w:rPr>
          <w:b/>
          <w:lang w:val="lt-LT"/>
        </w:rPr>
        <w:t>TŲ ATRANKOS KRITERIJAUS</w:t>
      </w:r>
      <w:r w:rsidR="00DD2988" w:rsidRPr="006F0676">
        <w:rPr>
          <w:b/>
          <w:lang w:val="lt-LT"/>
        </w:rPr>
        <w:t xml:space="preserve"> NUSTATYMO</w:t>
      </w:r>
    </w:p>
    <w:p w:rsidR="00E319A0" w:rsidRPr="006F0676" w:rsidRDefault="00E319A0">
      <w:pPr>
        <w:spacing w:line="240" w:lineRule="exact"/>
        <w:jc w:val="center"/>
        <w:rPr>
          <w:lang w:val="lt-LT"/>
        </w:rPr>
      </w:pPr>
    </w:p>
    <w:p w:rsidR="00804349" w:rsidRDefault="00804349">
      <w:pPr>
        <w:spacing w:line="240" w:lineRule="exact"/>
        <w:jc w:val="center"/>
        <w:rPr>
          <w:lang w:val="lt-LT"/>
        </w:rPr>
      </w:pPr>
      <w:r w:rsidRPr="006F0676">
        <w:rPr>
          <w:lang w:val="lt-LT"/>
        </w:rPr>
        <w:t>20</w:t>
      </w:r>
      <w:r w:rsidR="00AC6616">
        <w:t>20</w:t>
      </w:r>
      <w:r w:rsidR="00E319A0" w:rsidRPr="006F0676">
        <w:rPr>
          <w:lang w:val="lt-LT"/>
        </w:rPr>
        <w:t xml:space="preserve"> m.</w:t>
      </w:r>
      <w:r w:rsidR="00F16E80" w:rsidRPr="006F0676">
        <w:rPr>
          <w:lang w:val="lt-LT"/>
        </w:rPr>
        <w:t xml:space="preserve"> </w:t>
      </w:r>
      <w:r w:rsidR="005011C9">
        <w:rPr>
          <w:lang w:val="lt-LT"/>
        </w:rPr>
        <w:t>lapkričio</w:t>
      </w:r>
      <w:r w:rsidR="00F16E80" w:rsidRPr="006F0676">
        <w:rPr>
          <w:lang w:val="lt-LT"/>
        </w:rPr>
        <w:t xml:space="preserve"> </w:t>
      </w:r>
      <w:r w:rsidR="004E5288">
        <w:t>6</w:t>
      </w:r>
      <w:r w:rsidR="00F16E80" w:rsidRPr="006F0676">
        <w:rPr>
          <w:lang w:val="lt-LT"/>
        </w:rPr>
        <w:t xml:space="preserve"> </w:t>
      </w:r>
      <w:r w:rsidR="00E319A0" w:rsidRPr="006F0676">
        <w:rPr>
          <w:lang w:val="lt-LT"/>
        </w:rPr>
        <w:t>d.</w:t>
      </w:r>
    </w:p>
    <w:p w:rsidR="005011C9" w:rsidRDefault="005011C9">
      <w:pPr>
        <w:spacing w:line="240" w:lineRule="exact"/>
        <w:jc w:val="center"/>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9008"/>
      </w:tblGrid>
      <w:tr w:rsidR="002348C3" w:rsidRPr="00F60DB3" w:rsidTr="00D2065C">
        <w:tc>
          <w:tcPr>
            <w:tcW w:w="6345" w:type="dxa"/>
            <w:shd w:val="clear" w:color="auto" w:fill="auto"/>
          </w:tcPr>
          <w:p w:rsidR="002348C3" w:rsidRPr="00F60DB3" w:rsidRDefault="002348C3" w:rsidP="00555636">
            <w:pPr>
              <w:spacing w:line="276" w:lineRule="auto"/>
              <w:jc w:val="left"/>
              <w:rPr>
                <w:b/>
                <w:sz w:val="22"/>
                <w:szCs w:val="22"/>
                <w:lang w:val="lt-LT"/>
              </w:rPr>
            </w:pPr>
            <w:r w:rsidRPr="00F60DB3">
              <w:rPr>
                <w:b/>
                <w:sz w:val="22"/>
                <w:szCs w:val="22"/>
                <w:lang w:val="lt-LT"/>
              </w:rPr>
              <w:t>Pasiūlymus dėl projektų atrankos kriterijų nustatymo ir (ar) keitimo teikianti institucija:</w:t>
            </w:r>
          </w:p>
        </w:tc>
        <w:tc>
          <w:tcPr>
            <w:tcW w:w="9008" w:type="dxa"/>
            <w:shd w:val="clear" w:color="auto" w:fill="auto"/>
          </w:tcPr>
          <w:p w:rsidR="002348C3" w:rsidRPr="00F60DB3" w:rsidRDefault="002348C3" w:rsidP="00555636">
            <w:pPr>
              <w:spacing w:line="276" w:lineRule="auto"/>
              <w:rPr>
                <w:sz w:val="22"/>
                <w:szCs w:val="22"/>
                <w:lang w:val="lt-LT"/>
              </w:rPr>
            </w:pPr>
            <w:r w:rsidRPr="00F60DB3">
              <w:rPr>
                <w:sz w:val="22"/>
                <w:szCs w:val="22"/>
                <w:lang w:val="lt-LT"/>
              </w:rPr>
              <w:t>Lietuvos Respublikos socialinės apsaugos ir darbo ministerija</w:t>
            </w:r>
          </w:p>
        </w:tc>
      </w:tr>
      <w:tr w:rsidR="002348C3" w:rsidRPr="00F60DB3" w:rsidTr="00D2065C">
        <w:tc>
          <w:tcPr>
            <w:tcW w:w="6345" w:type="dxa"/>
            <w:shd w:val="clear" w:color="auto" w:fill="auto"/>
          </w:tcPr>
          <w:p w:rsidR="002348C3" w:rsidRPr="00F60DB3" w:rsidRDefault="002348C3" w:rsidP="00555636">
            <w:pPr>
              <w:spacing w:line="276" w:lineRule="auto"/>
              <w:jc w:val="left"/>
              <w:rPr>
                <w:b/>
                <w:sz w:val="22"/>
                <w:szCs w:val="22"/>
                <w:lang w:val="lt-LT"/>
              </w:rPr>
            </w:pPr>
            <w:r w:rsidRPr="00F60DB3">
              <w:rPr>
                <w:b/>
                <w:sz w:val="22"/>
                <w:szCs w:val="22"/>
                <w:lang w:val="lt-LT"/>
              </w:rPr>
              <w:t>Veiksmų programos prioriteto numeris ir pavadinimas:</w:t>
            </w:r>
          </w:p>
        </w:tc>
        <w:tc>
          <w:tcPr>
            <w:tcW w:w="9008" w:type="dxa"/>
            <w:shd w:val="clear" w:color="auto" w:fill="auto"/>
          </w:tcPr>
          <w:p w:rsidR="002348C3" w:rsidRPr="00F60DB3" w:rsidRDefault="00FE0825" w:rsidP="0004783A">
            <w:pPr>
              <w:spacing w:line="276" w:lineRule="auto"/>
              <w:rPr>
                <w:sz w:val="22"/>
                <w:szCs w:val="22"/>
                <w:highlight w:val="green"/>
                <w:lang w:val="lt-LT"/>
              </w:rPr>
            </w:pPr>
            <w:r>
              <w:rPr>
                <w:sz w:val="22"/>
                <w:szCs w:val="22"/>
                <w:lang w:val="lt-LT"/>
              </w:rPr>
              <w:t>14</w:t>
            </w:r>
            <w:r w:rsidR="004D7F00">
              <w:rPr>
                <w:sz w:val="22"/>
                <w:szCs w:val="22"/>
                <w:lang w:val="lt-LT"/>
              </w:rPr>
              <w:t xml:space="preserve"> prioritetas</w:t>
            </w:r>
            <w:r w:rsidR="002348C3" w:rsidRPr="00F60DB3">
              <w:rPr>
                <w:sz w:val="22"/>
                <w:szCs w:val="22"/>
                <w:lang w:val="lt-LT"/>
              </w:rPr>
              <w:t xml:space="preserve"> </w:t>
            </w:r>
            <w:r w:rsidR="002348C3" w:rsidRPr="002A00B9">
              <w:rPr>
                <w:sz w:val="22"/>
                <w:szCs w:val="22"/>
                <w:lang w:val="lt-LT"/>
              </w:rPr>
              <w:t>„</w:t>
            </w:r>
            <w:r w:rsidR="0004783A" w:rsidRPr="002A00B9">
              <w:rPr>
                <w:bCs/>
                <w:color w:val="000000"/>
                <w:sz w:val="22"/>
                <w:szCs w:val="22"/>
                <w:lang w:val="lt-LT" w:eastAsia="lt-LT"/>
              </w:rPr>
              <w:t>Veiksmų, skirtų COVID-19 pandemijos sukeltai krizei įveikti, skatinimas, siekiant didinti užimtumą ir socialinę įtrauktį“</w:t>
            </w:r>
          </w:p>
        </w:tc>
      </w:tr>
      <w:tr w:rsidR="002348C3" w:rsidRPr="00F60DB3" w:rsidTr="00D2065C">
        <w:tc>
          <w:tcPr>
            <w:tcW w:w="6345" w:type="dxa"/>
            <w:shd w:val="clear" w:color="auto" w:fill="auto"/>
          </w:tcPr>
          <w:p w:rsidR="002348C3" w:rsidRPr="00F60DB3" w:rsidRDefault="002348C3" w:rsidP="00555636">
            <w:pPr>
              <w:spacing w:line="276" w:lineRule="auto"/>
              <w:jc w:val="left"/>
              <w:rPr>
                <w:b/>
                <w:sz w:val="22"/>
                <w:szCs w:val="22"/>
                <w:lang w:val="lt-LT"/>
              </w:rPr>
            </w:pPr>
            <w:r w:rsidRPr="00F60DB3">
              <w:rPr>
                <w:b/>
                <w:sz w:val="22"/>
                <w:szCs w:val="22"/>
                <w:lang w:val="lt-LT"/>
              </w:rPr>
              <w:t>Veiksmų programos konkretaus uždavinio numeris ir pavadinimas:</w:t>
            </w:r>
          </w:p>
        </w:tc>
        <w:tc>
          <w:tcPr>
            <w:tcW w:w="9008" w:type="dxa"/>
            <w:shd w:val="clear" w:color="auto" w:fill="auto"/>
          </w:tcPr>
          <w:p w:rsidR="002348C3" w:rsidRPr="00F60DB3" w:rsidRDefault="00FE0825" w:rsidP="00555636">
            <w:pPr>
              <w:spacing w:line="276" w:lineRule="auto"/>
              <w:rPr>
                <w:sz w:val="22"/>
                <w:szCs w:val="22"/>
                <w:lang w:val="lt-LT"/>
              </w:rPr>
            </w:pPr>
            <w:r>
              <w:rPr>
                <w:sz w:val="22"/>
                <w:szCs w:val="22"/>
                <w:lang w:val="lt-LT"/>
              </w:rPr>
              <w:t>14</w:t>
            </w:r>
            <w:r w:rsidR="002348C3" w:rsidRPr="00F60DB3">
              <w:rPr>
                <w:sz w:val="22"/>
                <w:szCs w:val="22"/>
                <w:lang w:val="lt-LT"/>
              </w:rPr>
              <w:t>.1.1 uždavinys „</w:t>
            </w:r>
            <w:r w:rsidR="002348C3" w:rsidRPr="00F60DB3">
              <w:rPr>
                <w:rFonts w:eastAsia="Calibri"/>
                <w:sz w:val="22"/>
                <w:szCs w:val="22"/>
                <w:lang w:val="lt-LT"/>
              </w:rPr>
              <w:t>Didinti gyventojų užimtumą, prisitaikymą pr</w:t>
            </w:r>
            <w:r w:rsidR="0004783A">
              <w:rPr>
                <w:rFonts w:eastAsia="Calibri"/>
                <w:sz w:val="22"/>
                <w:szCs w:val="22"/>
                <w:lang w:val="lt-LT"/>
              </w:rPr>
              <w:t>ie besikeičiančios darbo rinkos</w:t>
            </w:r>
            <w:r w:rsidR="002348C3" w:rsidRPr="00F60DB3">
              <w:rPr>
                <w:rFonts w:eastAsia="Calibri"/>
                <w:sz w:val="22"/>
                <w:szCs w:val="22"/>
                <w:lang w:val="lt-LT"/>
              </w:rPr>
              <w:t xml:space="preserve"> ir atsparumą pandemijos sukeliamiems kasdieniams iššūkiams</w:t>
            </w:r>
            <w:r w:rsidR="002348C3" w:rsidRPr="00F60DB3">
              <w:rPr>
                <w:sz w:val="22"/>
                <w:szCs w:val="22"/>
                <w:lang w:val="lt-LT"/>
              </w:rPr>
              <w:t>“</w:t>
            </w:r>
          </w:p>
        </w:tc>
      </w:tr>
      <w:tr w:rsidR="002348C3" w:rsidRPr="00F60DB3" w:rsidTr="00D2065C">
        <w:tc>
          <w:tcPr>
            <w:tcW w:w="6345" w:type="dxa"/>
            <w:shd w:val="clear" w:color="auto" w:fill="auto"/>
          </w:tcPr>
          <w:p w:rsidR="002348C3" w:rsidRPr="00F60DB3" w:rsidRDefault="002348C3" w:rsidP="00555636">
            <w:pPr>
              <w:spacing w:line="276" w:lineRule="auto"/>
              <w:jc w:val="left"/>
              <w:rPr>
                <w:b/>
                <w:sz w:val="22"/>
                <w:szCs w:val="22"/>
                <w:lang w:val="lt-LT"/>
              </w:rPr>
            </w:pPr>
            <w:r w:rsidRPr="00F60DB3">
              <w:rPr>
                <w:b/>
                <w:sz w:val="22"/>
                <w:szCs w:val="22"/>
                <w:lang w:val="lt-LT"/>
              </w:rPr>
              <w:t>Veiksmų programos įgyvendinimo priemonės (toliau – priemonė) kodas ir pavadinimas:</w:t>
            </w:r>
          </w:p>
        </w:tc>
        <w:tc>
          <w:tcPr>
            <w:tcW w:w="9008" w:type="dxa"/>
            <w:shd w:val="clear" w:color="auto" w:fill="auto"/>
          </w:tcPr>
          <w:p w:rsidR="002348C3" w:rsidRPr="00F60DB3" w:rsidRDefault="002348C3" w:rsidP="00555636">
            <w:pPr>
              <w:spacing w:line="276" w:lineRule="auto"/>
              <w:rPr>
                <w:sz w:val="22"/>
                <w:szCs w:val="22"/>
                <w:lang w:val="lt-LT"/>
              </w:rPr>
            </w:pPr>
            <w:r w:rsidRPr="00F60DB3">
              <w:rPr>
                <w:sz w:val="22"/>
                <w:szCs w:val="22"/>
                <w:lang w:val="lt-LT"/>
              </w:rPr>
              <w:t xml:space="preserve">Priemonė Nr. </w:t>
            </w:r>
            <w:r w:rsidR="00FE0825">
              <w:rPr>
                <w:rFonts w:eastAsia="Calibri"/>
                <w:sz w:val="22"/>
                <w:szCs w:val="22"/>
                <w:lang w:val="lt-LT"/>
              </w:rPr>
              <w:t>14</w:t>
            </w:r>
            <w:r w:rsidRPr="00F60DB3">
              <w:rPr>
                <w:rFonts w:eastAsia="Calibri"/>
                <w:sz w:val="22"/>
                <w:szCs w:val="22"/>
                <w:lang w:val="lt-LT"/>
              </w:rPr>
              <w:t>.1.1-ESFA-V-xxx „</w:t>
            </w:r>
            <w:r w:rsidRPr="00F60DB3">
              <w:rPr>
                <w:iCs/>
                <w:sz w:val="22"/>
                <w:szCs w:val="22"/>
                <w:lang w:val="lt-LT"/>
              </w:rPr>
              <w:t>Aktyvios darbo rinkos politikos priemonių įgyvendinimas, mažinant pandemijos</w:t>
            </w:r>
            <w:r w:rsidRPr="00F60DB3">
              <w:rPr>
                <w:rFonts w:eastAsia="Calibri"/>
                <w:sz w:val="22"/>
                <w:szCs w:val="22"/>
                <w:lang w:val="lt-LT"/>
              </w:rPr>
              <w:t xml:space="preserve"> </w:t>
            </w:r>
            <w:r w:rsidRPr="00F60DB3">
              <w:rPr>
                <w:iCs/>
                <w:sz w:val="22"/>
                <w:szCs w:val="22"/>
                <w:lang w:val="lt-LT"/>
              </w:rPr>
              <w:t>poveikį užimtumui</w:t>
            </w:r>
            <w:r w:rsidRPr="00F60DB3">
              <w:rPr>
                <w:rFonts w:eastAsia="Calibri"/>
                <w:sz w:val="22"/>
                <w:szCs w:val="22"/>
                <w:lang w:val="lt-LT"/>
              </w:rPr>
              <w:t>“</w:t>
            </w:r>
          </w:p>
        </w:tc>
      </w:tr>
      <w:tr w:rsidR="002348C3" w:rsidRPr="00F60DB3" w:rsidTr="00D2065C">
        <w:tc>
          <w:tcPr>
            <w:tcW w:w="6345" w:type="dxa"/>
            <w:shd w:val="clear" w:color="auto" w:fill="auto"/>
          </w:tcPr>
          <w:p w:rsidR="002348C3" w:rsidRPr="00F60DB3" w:rsidRDefault="002348C3" w:rsidP="00555636">
            <w:pPr>
              <w:spacing w:line="276" w:lineRule="auto"/>
              <w:rPr>
                <w:b/>
                <w:sz w:val="22"/>
                <w:szCs w:val="22"/>
                <w:lang w:val="lt-LT"/>
              </w:rPr>
            </w:pPr>
            <w:r w:rsidRPr="00F60DB3">
              <w:rPr>
                <w:b/>
                <w:sz w:val="22"/>
                <w:szCs w:val="22"/>
                <w:lang w:val="lt-LT"/>
              </w:rPr>
              <w:t>Priemonei skirtų Europos Sąjungos struktūrinių fondų lėšų suma, mln. Eur:</w:t>
            </w:r>
          </w:p>
        </w:tc>
        <w:tc>
          <w:tcPr>
            <w:tcW w:w="9008" w:type="dxa"/>
            <w:shd w:val="clear" w:color="auto" w:fill="auto"/>
          </w:tcPr>
          <w:p w:rsidR="002348C3" w:rsidRPr="00F60DB3" w:rsidRDefault="002348C3" w:rsidP="00555636">
            <w:pPr>
              <w:spacing w:line="276" w:lineRule="auto"/>
              <w:rPr>
                <w:bCs/>
                <w:sz w:val="22"/>
                <w:szCs w:val="22"/>
                <w:highlight w:val="green"/>
                <w:lang w:eastAsia="lt-LT"/>
              </w:rPr>
            </w:pPr>
            <w:r w:rsidRPr="00F60DB3">
              <w:rPr>
                <w:bCs/>
                <w:sz w:val="22"/>
                <w:szCs w:val="22"/>
                <w:lang w:eastAsia="lt-LT"/>
              </w:rPr>
              <w:t>46</w:t>
            </w:r>
            <w:r w:rsidR="00BB5330">
              <w:rPr>
                <w:bCs/>
                <w:sz w:val="22"/>
                <w:szCs w:val="22"/>
                <w:lang w:eastAsia="lt-LT"/>
              </w:rPr>
              <w:t>,00</w:t>
            </w:r>
          </w:p>
        </w:tc>
      </w:tr>
      <w:tr w:rsidR="002348C3" w:rsidRPr="00F60DB3" w:rsidTr="00D2065C">
        <w:tc>
          <w:tcPr>
            <w:tcW w:w="6345" w:type="dxa"/>
            <w:tcBorders>
              <w:bottom w:val="single" w:sz="4" w:space="0" w:color="auto"/>
            </w:tcBorders>
            <w:shd w:val="clear" w:color="auto" w:fill="auto"/>
          </w:tcPr>
          <w:p w:rsidR="002348C3" w:rsidRPr="00F60DB3" w:rsidRDefault="002348C3" w:rsidP="00555636">
            <w:pPr>
              <w:spacing w:line="276" w:lineRule="auto"/>
              <w:rPr>
                <w:b/>
                <w:sz w:val="22"/>
                <w:szCs w:val="22"/>
                <w:lang w:val="lt-LT"/>
              </w:rPr>
            </w:pPr>
            <w:r w:rsidRPr="00F60DB3">
              <w:rPr>
                <w:b/>
                <w:sz w:val="22"/>
                <w:szCs w:val="22"/>
                <w:lang w:val="lt-LT"/>
              </w:rPr>
              <w:t>Pagal priemonę remiamos veiklos:</w:t>
            </w:r>
          </w:p>
        </w:tc>
        <w:tc>
          <w:tcPr>
            <w:tcW w:w="9008" w:type="dxa"/>
            <w:tcBorders>
              <w:bottom w:val="single" w:sz="4" w:space="0" w:color="auto"/>
            </w:tcBorders>
            <w:shd w:val="clear" w:color="auto" w:fill="auto"/>
          </w:tcPr>
          <w:p w:rsidR="002348C3" w:rsidRPr="00F60DB3" w:rsidRDefault="002348C3" w:rsidP="00555636">
            <w:pPr>
              <w:tabs>
                <w:tab w:val="left" w:pos="318"/>
                <w:tab w:val="left" w:pos="1452"/>
                <w:tab w:val="left" w:pos="1594"/>
                <w:tab w:val="left" w:pos="2013"/>
                <w:tab w:val="left" w:pos="2163"/>
              </w:tabs>
              <w:spacing w:line="276" w:lineRule="auto"/>
              <w:rPr>
                <w:sz w:val="22"/>
                <w:szCs w:val="22"/>
                <w:lang w:val="lt-LT"/>
              </w:rPr>
            </w:pPr>
            <w:r w:rsidRPr="00F60DB3">
              <w:rPr>
                <w:sz w:val="22"/>
                <w:szCs w:val="22"/>
                <w:lang w:val="lt-LT"/>
              </w:rPr>
              <w:t>Aktyvios darbo rinkos politikos (toliau – ADRP) priemonių įgyvendinimas (profesinis mokymas ir neformalusis švietimas, konsultavimas ir profesinis orientavimas, darbo įgūdžių įgijimo rėmimas, įdarbinimas subsidijuojant, darbo rotacija, parama bedarbių teritoriniam judumui, savarankiško užimtumo rėmimas, darbo vietų steigimo (pritaikymo) subsidijavimas, vietinių užimtumo iniciatyvų projektų įgyvendinimas, kitos bedarbių užimtumo gebėjimus ir galimybes didinančios ADRP priemonės), kitos užimtumo skatinimo ir motyvavimo priemonės ir paslaugos, skatinančios asmens perėjimą nuo nedarbo prie užimtumo darbo rinkoje arba užtikrinančios nedarbo prevenciją</w:t>
            </w:r>
            <w:r w:rsidRPr="00F60DB3">
              <w:rPr>
                <w:rFonts w:eastAsia="Calibri"/>
                <w:sz w:val="22"/>
                <w:szCs w:val="22"/>
                <w:lang w:val="lt-LT"/>
              </w:rPr>
              <w:t>.</w:t>
            </w:r>
          </w:p>
        </w:tc>
      </w:tr>
      <w:tr w:rsidR="002348C3" w:rsidRPr="00F60DB3" w:rsidTr="00D2065C">
        <w:tc>
          <w:tcPr>
            <w:tcW w:w="6345" w:type="dxa"/>
            <w:tcBorders>
              <w:bottom w:val="single" w:sz="4" w:space="0" w:color="auto"/>
            </w:tcBorders>
            <w:shd w:val="clear" w:color="auto" w:fill="auto"/>
          </w:tcPr>
          <w:p w:rsidR="002348C3" w:rsidRPr="00F60DB3" w:rsidRDefault="002348C3" w:rsidP="00555636">
            <w:pPr>
              <w:spacing w:line="276" w:lineRule="auto"/>
              <w:rPr>
                <w:b/>
                <w:sz w:val="22"/>
                <w:szCs w:val="22"/>
                <w:lang w:val="lt-LT"/>
              </w:rPr>
            </w:pPr>
            <w:r w:rsidRPr="00F60DB3">
              <w:rPr>
                <w:b/>
                <w:sz w:val="22"/>
                <w:szCs w:val="22"/>
                <w:lang w:val="lt-LT"/>
              </w:rPr>
              <w:t>Pagal priemonę remiamos veiklos arba dalis veiklų bus vykdomos:</w:t>
            </w:r>
          </w:p>
          <w:p w:rsidR="002348C3" w:rsidRPr="00F60DB3" w:rsidRDefault="002348C3" w:rsidP="00555636">
            <w:pPr>
              <w:spacing w:line="276" w:lineRule="auto"/>
              <w:rPr>
                <w:b/>
                <w:sz w:val="22"/>
                <w:szCs w:val="22"/>
                <w:lang w:val="lt-LT"/>
              </w:rPr>
            </w:pPr>
          </w:p>
        </w:tc>
        <w:tc>
          <w:tcPr>
            <w:tcW w:w="9008" w:type="dxa"/>
            <w:tcBorders>
              <w:bottom w:val="single" w:sz="4" w:space="0" w:color="auto"/>
            </w:tcBorders>
            <w:shd w:val="clear" w:color="auto" w:fill="auto"/>
          </w:tcPr>
          <w:p w:rsidR="002348C3" w:rsidRPr="00F60DB3" w:rsidRDefault="002348C3" w:rsidP="003F74F7">
            <w:pPr>
              <w:spacing w:line="276" w:lineRule="auto"/>
              <w:rPr>
                <w:b/>
                <w:bCs/>
                <w:sz w:val="22"/>
                <w:szCs w:val="22"/>
                <w:lang w:val="lt-LT" w:eastAsia="lt-LT"/>
              </w:rPr>
            </w:pPr>
            <w:r w:rsidRPr="00F60DB3">
              <w:rPr>
                <w:b/>
                <w:sz w:val="22"/>
                <w:szCs w:val="22"/>
                <w:lang w:val="lt-LT"/>
              </w:rPr>
              <w:t>Stebėsenos komiteto pritarimas nereikalingas, nes:</w:t>
            </w:r>
          </w:p>
          <w:p w:rsidR="002348C3" w:rsidRPr="00F60DB3" w:rsidRDefault="002348C3" w:rsidP="003F74F7">
            <w:pPr>
              <w:spacing w:line="276" w:lineRule="auto"/>
              <w:rPr>
                <w:sz w:val="22"/>
                <w:szCs w:val="22"/>
                <w:lang w:val="lt-LT"/>
              </w:rPr>
            </w:pPr>
            <w:r w:rsidRPr="00F60DB3">
              <w:rPr>
                <w:b/>
                <w:bCs/>
                <w:sz w:val="22"/>
                <w:szCs w:val="22"/>
                <w:lang w:val="lt-LT" w:eastAsia="lt-LT"/>
              </w:rPr>
              <w:t xml:space="preserve">X </w:t>
            </w:r>
            <w:r w:rsidRPr="00F60DB3">
              <w:rPr>
                <w:sz w:val="22"/>
                <w:szCs w:val="22"/>
                <w:lang w:val="lt-LT"/>
              </w:rPr>
              <w:t>veiklos bus vykdomos  Lietuvoje (arba ES šalyse, kai projektai finansuojami iš Europos socialinio fondo);</w:t>
            </w:r>
          </w:p>
          <w:p w:rsidR="002348C3" w:rsidRPr="00F60DB3" w:rsidRDefault="002348C3" w:rsidP="003F74F7">
            <w:pPr>
              <w:spacing w:line="276" w:lineRule="auto"/>
              <w:rPr>
                <w:sz w:val="22"/>
                <w:szCs w:val="22"/>
                <w:lang w:val="lt-LT"/>
              </w:rPr>
            </w:pPr>
            <w:r w:rsidRPr="00F60DB3">
              <w:rPr>
                <w:b/>
                <w:bCs/>
                <w:sz w:val="22"/>
                <w:szCs w:val="22"/>
                <w:lang w:val="lt-LT" w:eastAsia="lt-LT"/>
              </w:rPr>
              <w:sym w:font="Times New Roman" w:char="F07F"/>
            </w:r>
            <w:r w:rsidRPr="00F60DB3">
              <w:rPr>
                <w:b/>
                <w:bCs/>
                <w:sz w:val="22"/>
                <w:szCs w:val="22"/>
                <w:lang w:val="lt-LT" w:eastAsia="lt-LT"/>
              </w:rPr>
              <w:t xml:space="preserve"> </w:t>
            </w:r>
            <w:r w:rsidRPr="00F60DB3">
              <w:rPr>
                <w:sz w:val="22"/>
                <w:szCs w:val="22"/>
                <w:lang w:val="lt-LT" w:eastAsia="lt-LT"/>
              </w:rPr>
              <w:t>bus vykdomos projektų veiklos, susijusios su teminiu tikslu, pagal reglamento (ES) Nr. 1303/2013 9 straipsnio pirmosios pastraipos 1 punktą;</w:t>
            </w:r>
          </w:p>
          <w:p w:rsidR="002348C3" w:rsidRPr="00F60DB3" w:rsidRDefault="002348C3" w:rsidP="003F74F7">
            <w:pPr>
              <w:spacing w:line="276" w:lineRule="auto"/>
              <w:rPr>
                <w:b/>
                <w:bCs/>
                <w:sz w:val="22"/>
                <w:szCs w:val="22"/>
                <w:lang w:val="lt-LT" w:eastAsia="lt-LT"/>
              </w:rPr>
            </w:pPr>
            <w:r w:rsidRPr="00F60DB3">
              <w:rPr>
                <w:b/>
                <w:bCs/>
                <w:sz w:val="22"/>
                <w:szCs w:val="22"/>
                <w:lang w:val="lt-LT" w:eastAsia="lt-LT"/>
              </w:rPr>
              <w:sym w:font="Times New Roman" w:char="F07F"/>
            </w:r>
            <w:r w:rsidRPr="00F60DB3">
              <w:rPr>
                <w:b/>
                <w:bCs/>
                <w:sz w:val="22"/>
                <w:szCs w:val="22"/>
                <w:lang w:val="lt-LT" w:eastAsia="lt-LT"/>
              </w:rPr>
              <w:t xml:space="preserve"> </w:t>
            </w:r>
            <w:r w:rsidRPr="00F60DB3">
              <w:rPr>
                <w:sz w:val="22"/>
                <w:szCs w:val="22"/>
                <w:lang w:val="lt-LT"/>
              </w:rPr>
              <w:t>apribojimai veiklų vykdymo teritorijai netaikomi</w:t>
            </w:r>
          </w:p>
        </w:tc>
      </w:tr>
      <w:tr w:rsidR="002348C3" w:rsidRPr="00F60DB3" w:rsidTr="00D2065C">
        <w:tc>
          <w:tcPr>
            <w:tcW w:w="6345" w:type="dxa"/>
            <w:tcBorders>
              <w:bottom w:val="single" w:sz="12" w:space="0" w:color="auto"/>
            </w:tcBorders>
            <w:shd w:val="clear" w:color="auto" w:fill="auto"/>
          </w:tcPr>
          <w:p w:rsidR="002348C3" w:rsidRPr="00F60DB3" w:rsidRDefault="002348C3" w:rsidP="00555636">
            <w:pPr>
              <w:spacing w:line="276" w:lineRule="auto"/>
              <w:rPr>
                <w:b/>
                <w:sz w:val="22"/>
                <w:szCs w:val="22"/>
                <w:lang w:val="lt-LT"/>
              </w:rPr>
            </w:pPr>
            <w:r w:rsidRPr="00F60DB3">
              <w:rPr>
                <w:b/>
                <w:sz w:val="22"/>
                <w:szCs w:val="22"/>
                <w:lang w:val="lt-LT"/>
              </w:rPr>
              <w:t>Projektų atrankos būdas (finansavimo forma finansinių priemonių atveju):</w:t>
            </w:r>
          </w:p>
        </w:tc>
        <w:tc>
          <w:tcPr>
            <w:tcW w:w="9008" w:type="dxa"/>
            <w:tcBorders>
              <w:bottom w:val="single" w:sz="12" w:space="0" w:color="auto"/>
            </w:tcBorders>
            <w:shd w:val="clear" w:color="auto" w:fill="auto"/>
          </w:tcPr>
          <w:p w:rsidR="002348C3" w:rsidRPr="00F60DB3" w:rsidRDefault="002348C3" w:rsidP="003F74F7">
            <w:pPr>
              <w:spacing w:line="276" w:lineRule="auto"/>
              <w:rPr>
                <w:sz w:val="22"/>
                <w:szCs w:val="22"/>
                <w:lang w:val="lt-LT"/>
              </w:rPr>
            </w:pPr>
            <w:r w:rsidRPr="00F60DB3">
              <w:rPr>
                <w:b/>
                <w:bCs/>
                <w:sz w:val="22"/>
                <w:szCs w:val="22"/>
                <w:lang w:val="lt-LT" w:eastAsia="lt-LT"/>
              </w:rPr>
              <w:t>X</w:t>
            </w:r>
            <w:r w:rsidRPr="00F60DB3">
              <w:rPr>
                <w:sz w:val="22"/>
                <w:szCs w:val="22"/>
                <w:lang w:val="lt-LT"/>
              </w:rPr>
              <w:t xml:space="preserve"> Valstybės projektų planavimas</w:t>
            </w:r>
          </w:p>
          <w:p w:rsidR="002348C3" w:rsidRPr="00F60DB3" w:rsidRDefault="002348C3" w:rsidP="003F74F7">
            <w:pPr>
              <w:spacing w:line="276" w:lineRule="auto"/>
              <w:rPr>
                <w:sz w:val="22"/>
                <w:szCs w:val="22"/>
                <w:lang w:val="lt-LT"/>
              </w:rPr>
            </w:pPr>
            <w:r w:rsidRPr="00F60DB3">
              <w:rPr>
                <w:b/>
                <w:bCs/>
                <w:sz w:val="22"/>
                <w:szCs w:val="22"/>
                <w:lang w:val="lt-LT" w:eastAsia="lt-LT"/>
              </w:rPr>
              <w:sym w:font="Times New Roman" w:char="F07F"/>
            </w:r>
            <w:r w:rsidRPr="00F60DB3">
              <w:rPr>
                <w:sz w:val="22"/>
                <w:szCs w:val="22"/>
                <w:lang w:val="lt-LT"/>
              </w:rPr>
              <w:t xml:space="preserve"> Regionų projektų planavimas</w:t>
            </w:r>
          </w:p>
          <w:p w:rsidR="002348C3" w:rsidRPr="00F60DB3" w:rsidRDefault="002348C3" w:rsidP="003F74F7">
            <w:pPr>
              <w:spacing w:line="276" w:lineRule="auto"/>
              <w:rPr>
                <w:sz w:val="22"/>
                <w:szCs w:val="22"/>
                <w:lang w:val="lt-LT"/>
              </w:rPr>
            </w:pPr>
            <w:r w:rsidRPr="00F60DB3">
              <w:rPr>
                <w:b/>
                <w:bCs/>
                <w:sz w:val="22"/>
                <w:szCs w:val="22"/>
                <w:lang w:val="lt-LT" w:eastAsia="lt-LT"/>
              </w:rPr>
              <w:sym w:font="Times New Roman" w:char="F07F"/>
            </w:r>
            <w:r w:rsidRPr="00F60DB3">
              <w:rPr>
                <w:sz w:val="22"/>
                <w:szCs w:val="22"/>
                <w:lang w:val="lt-LT"/>
              </w:rPr>
              <w:t xml:space="preserve"> Projektų konkursas</w:t>
            </w:r>
          </w:p>
          <w:p w:rsidR="002348C3" w:rsidRPr="00F60DB3" w:rsidRDefault="002348C3" w:rsidP="003F74F7">
            <w:pPr>
              <w:spacing w:line="276" w:lineRule="auto"/>
              <w:rPr>
                <w:sz w:val="22"/>
                <w:szCs w:val="22"/>
                <w:lang w:val="lt-LT"/>
              </w:rPr>
            </w:pPr>
            <w:r w:rsidRPr="00F60DB3">
              <w:rPr>
                <w:b/>
                <w:bCs/>
                <w:sz w:val="22"/>
                <w:szCs w:val="22"/>
                <w:lang w:val="lt-LT" w:eastAsia="lt-LT"/>
              </w:rPr>
              <w:sym w:font="Times New Roman" w:char="F07F"/>
            </w:r>
            <w:r w:rsidRPr="00F60DB3">
              <w:rPr>
                <w:sz w:val="22"/>
                <w:szCs w:val="22"/>
                <w:lang w:val="lt-LT"/>
              </w:rPr>
              <w:t xml:space="preserve"> Tęstinė projektų atranka</w:t>
            </w:r>
          </w:p>
          <w:p w:rsidR="002348C3" w:rsidRPr="00F60DB3" w:rsidRDefault="002348C3" w:rsidP="003F74F7">
            <w:pPr>
              <w:spacing w:line="276" w:lineRule="auto"/>
              <w:rPr>
                <w:sz w:val="22"/>
                <w:szCs w:val="22"/>
                <w:lang w:val="lt-LT"/>
              </w:rPr>
            </w:pPr>
            <w:r w:rsidRPr="00F60DB3">
              <w:rPr>
                <w:b/>
                <w:bCs/>
                <w:sz w:val="22"/>
                <w:szCs w:val="22"/>
                <w:lang w:val="lt-LT" w:eastAsia="lt-LT"/>
              </w:rPr>
              <w:sym w:font="Times New Roman" w:char="F07F"/>
            </w:r>
            <w:r w:rsidRPr="00F60DB3">
              <w:rPr>
                <w:b/>
                <w:bCs/>
                <w:sz w:val="22"/>
                <w:szCs w:val="22"/>
                <w:lang w:val="lt-LT" w:eastAsia="lt-LT"/>
              </w:rPr>
              <w:t xml:space="preserve"> </w:t>
            </w:r>
            <w:r w:rsidRPr="00F60DB3">
              <w:rPr>
                <w:bCs/>
                <w:sz w:val="22"/>
                <w:szCs w:val="22"/>
                <w:lang w:val="lt-LT" w:eastAsia="lt-LT"/>
              </w:rPr>
              <w:t>Finansinė priemonė</w:t>
            </w:r>
          </w:p>
        </w:tc>
      </w:tr>
    </w:tbl>
    <w:p w:rsidR="002348C3" w:rsidRPr="00F60DB3" w:rsidRDefault="002348C3" w:rsidP="00555636">
      <w:pPr>
        <w:spacing w:line="276" w:lineRule="auto"/>
        <w:jc w:val="center"/>
        <w:rPr>
          <w:sz w:val="22"/>
          <w:szCs w:val="22"/>
          <w:lang w:val="lt-LT"/>
        </w:rPr>
      </w:pPr>
    </w:p>
    <w:p w:rsidR="002348C3" w:rsidRPr="00F60DB3" w:rsidRDefault="002348C3" w:rsidP="00555636">
      <w:pPr>
        <w:spacing w:line="276" w:lineRule="auto"/>
        <w:jc w:val="center"/>
        <w:rPr>
          <w:sz w:val="22"/>
          <w:szCs w:val="22"/>
          <w:lang w:val="lt-LT"/>
        </w:rPr>
      </w:pPr>
    </w:p>
    <w:p w:rsidR="002348C3" w:rsidRPr="00F60DB3" w:rsidRDefault="002348C3" w:rsidP="00555636">
      <w:pPr>
        <w:spacing w:line="276" w:lineRule="auto"/>
        <w:jc w:val="center"/>
        <w:rPr>
          <w:sz w:val="22"/>
          <w:szCs w:val="22"/>
          <w:lang w:val="lt-LT"/>
        </w:rPr>
      </w:pPr>
    </w:p>
    <w:p w:rsidR="002348C3" w:rsidRPr="00F60DB3" w:rsidRDefault="002348C3" w:rsidP="00555636">
      <w:pPr>
        <w:spacing w:line="276" w:lineRule="auto"/>
        <w:jc w:val="center"/>
        <w:rPr>
          <w:sz w:val="22"/>
          <w:szCs w:val="22"/>
          <w:lang w:val="lt-LT"/>
        </w:rPr>
      </w:pPr>
    </w:p>
    <w:p w:rsidR="002348C3" w:rsidRPr="00F60DB3" w:rsidRDefault="002348C3" w:rsidP="00555636">
      <w:pPr>
        <w:spacing w:line="276" w:lineRule="auto"/>
        <w:jc w:val="center"/>
        <w:rPr>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9008"/>
      </w:tblGrid>
      <w:tr w:rsidR="002348C3" w:rsidRPr="00F60DB3" w:rsidTr="00D2065C">
        <w:tc>
          <w:tcPr>
            <w:tcW w:w="6345" w:type="dxa"/>
            <w:tcBorders>
              <w:top w:val="single" w:sz="12" w:space="0" w:color="auto"/>
              <w:left w:val="single" w:sz="12" w:space="0" w:color="auto"/>
              <w:bottom w:val="single" w:sz="2" w:space="0" w:color="auto"/>
              <w:right w:val="single" w:sz="2" w:space="0" w:color="auto"/>
            </w:tcBorders>
            <w:shd w:val="clear" w:color="auto" w:fill="auto"/>
          </w:tcPr>
          <w:p w:rsidR="002348C3" w:rsidRPr="00F60DB3" w:rsidRDefault="002348C3" w:rsidP="00555636">
            <w:pPr>
              <w:spacing w:line="276" w:lineRule="auto"/>
              <w:rPr>
                <w:b/>
                <w:bCs/>
                <w:sz w:val="22"/>
                <w:szCs w:val="22"/>
                <w:lang w:val="lt-LT" w:eastAsia="lt-LT"/>
              </w:rPr>
            </w:pPr>
            <w:r w:rsidRPr="00F60DB3">
              <w:rPr>
                <w:sz w:val="22"/>
                <w:szCs w:val="22"/>
                <w:lang w:val="lt-LT"/>
              </w:rPr>
              <w:br w:type="page"/>
            </w:r>
            <w:r w:rsidRPr="00F60DB3">
              <w:rPr>
                <w:b/>
                <w:bCs/>
                <w:sz w:val="22"/>
                <w:szCs w:val="22"/>
                <w:lang w:val="lt-LT" w:eastAsia="lt-LT"/>
              </w:rPr>
              <w:t>Teikiamas tvirtinti:</w:t>
            </w:r>
          </w:p>
          <w:p w:rsidR="002348C3" w:rsidRPr="00F60DB3" w:rsidRDefault="002348C3" w:rsidP="00555636">
            <w:pPr>
              <w:spacing w:line="276" w:lineRule="auto"/>
              <w:rPr>
                <w:b/>
                <w:bCs/>
                <w:sz w:val="22"/>
                <w:szCs w:val="22"/>
                <w:lang w:val="lt-LT" w:eastAsia="lt-LT"/>
              </w:rPr>
            </w:pPr>
            <w:r w:rsidRPr="00F60DB3">
              <w:rPr>
                <w:b/>
                <w:bCs/>
                <w:sz w:val="22"/>
                <w:szCs w:val="22"/>
                <w:lang w:val="lt-LT" w:eastAsia="lt-LT"/>
              </w:rPr>
              <w:t xml:space="preserve">X SPECIALUSIS PROJEKTŲ ATRANKOS KRITERIJUS </w:t>
            </w:r>
          </w:p>
          <w:p w:rsidR="002348C3" w:rsidRPr="00F60DB3" w:rsidRDefault="002348C3" w:rsidP="00555636">
            <w:pPr>
              <w:spacing w:line="276" w:lineRule="auto"/>
              <w:rPr>
                <w:b/>
                <w:bCs/>
                <w:sz w:val="22"/>
                <w:szCs w:val="22"/>
                <w:lang w:val="lt-LT" w:eastAsia="lt-LT"/>
              </w:rPr>
            </w:pPr>
            <w:r w:rsidRPr="00F60DB3">
              <w:rPr>
                <w:b/>
                <w:bCs/>
                <w:sz w:val="22"/>
                <w:szCs w:val="22"/>
                <w:lang w:val="lt-LT" w:eastAsia="lt-LT"/>
              </w:rPr>
              <w:sym w:font="Times New Roman" w:char="F07F"/>
            </w:r>
            <w:r w:rsidRPr="00F60DB3">
              <w:rPr>
                <w:b/>
                <w:bCs/>
                <w:sz w:val="22"/>
                <w:szCs w:val="22"/>
                <w:lang w:val="lt-LT" w:eastAsia="lt-LT"/>
              </w:rPr>
              <w:t xml:space="preserve"> PRIORITETINIS PROJEKTŲ ATRANKOS KRITERIJUS</w:t>
            </w:r>
          </w:p>
        </w:tc>
        <w:tc>
          <w:tcPr>
            <w:tcW w:w="9008" w:type="dxa"/>
            <w:tcBorders>
              <w:top w:val="single" w:sz="12" w:space="0" w:color="auto"/>
              <w:left w:val="single" w:sz="2" w:space="0" w:color="auto"/>
              <w:bottom w:val="single" w:sz="2" w:space="0" w:color="auto"/>
              <w:right w:val="single" w:sz="12" w:space="0" w:color="auto"/>
            </w:tcBorders>
            <w:shd w:val="clear" w:color="auto" w:fill="auto"/>
          </w:tcPr>
          <w:p w:rsidR="002348C3" w:rsidRPr="00F60DB3" w:rsidRDefault="002348C3" w:rsidP="00555636">
            <w:pPr>
              <w:spacing w:line="276" w:lineRule="auto"/>
              <w:rPr>
                <w:b/>
                <w:bCs/>
                <w:sz w:val="22"/>
                <w:szCs w:val="22"/>
                <w:lang w:val="lt-LT" w:eastAsia="lt-LT"/>
              </w:rPr>
            </w:pPr>
            <w:r w:rsidRPr="00F60DB3">
              <w:rPr>
                <w:b/>
                <w:bCs/>
                <w:sz w:val="22"/>
                <w:szCs w:val="22"/>
                <w:lang w:val="lt-LT" w:eastAsia="lt-LT"/>
              </w:rPr>
              <w:t>X Nustatymas</w:t>
            </w:r>
          </w:p>
          <w:p w:rsidR="002348C3" w:rsidRPr="00F60DB3" w:rsidRDefault="002348C3" w:rsidP="00555636">
            <w:pPr>
              <w:spacing w:line="276" w:lineRule="auto"/>
              <w:rPr>
                <w:b/>
                <w:bCs/>
                <w:sz w:val="22"/>
                <w:szCs w:val="22"/>
                <w:lang w:val="lt-LT" w:eastAsia="lt-LT"/>
              </w:rPr>
            </w:pPr>
            <w:r w:rsidRPr="00F60DB3">
              <w:rPr>
                <w:b/>
                <w:bCs/>
                <w:sz w:val="22"/>
                <w:szCs w:val="22"/>
                <w:lang w:val="lt-LT" w:eastAsia="lt-LT"/>
              </w:rPr>
              <w:sym w:font="Times New Roman" w:char="F07F"/>
            </w:r>
            <w:r w:rsidRPr="00F60DB3">
              <w:rPr>
                <w:b/>
                <w:bCs/>
                <w:sz w:val="22"/>
                <w:szCs w:val="22"/>
                <w:lang w:val="lt-LT" w:eastAsia="lt-LT"/>
              </w:rPr>
              <w:t xml:space="preserve"> Keitimas</w:t>
            </w:r>
          </w:p>
        </w:tc>
      </w:tr>
      <w:tr w:rsidR="002348C3" w:rsidRPr="00F60DB3" w:rsidTr="00D2065C">
        <w:tc>
          <w:tcPr>
            <w:tcW w:w="6345" w:type="dxa"/>
            <w:tcBorders>
              <w:top w:val="single" w:sz="2" w:space="0" w:color="auto"/>
              <w:left w:val="single" w:sz="12" w:space="0" w:color="auto"/>
              <w:bottom w:val="single" w:sz="2" w:space="0" w:color="auto"/>
              <w:right w:val="single" w:sz="2" w:space="0" w:color="auto"/>
            </w:tcBorders>
            <w:shd w:val="clear" w:color="auto" w:fill="auto"/>
          </w:tcPr>
          <w:p w:rsidR="002348C3" w:rsidRPr="00F60DB3" w:rsidRDefault="002348C3" w:rsidP="00555636">
            <w:pPr>
              <w:spacing w:line="276" w:lineRule="auto"/>
              <w:jc w:val="left"/>
              <w:rPr>
                <w:b/>
                <w:bCs/>
                <w:sz w:val="22"/>
                <w:szCs w:val="22"/>
                <w:lang w:val="lt-LT" w:eastAsia="lt-LT"/>
              </w:rPr>
            </w:pPr>
            <w:r w:rsidRPr="00F60DB3">
              <w:rPr>
                <w:b/>
                <w:bCs/>
                <w:sz w:val="22"/>
                <w:szCs w:val="22"/>
                <w:lang w:val="lt-LT" w:eastAsia="lt-LT"/>
              </w:rPr>
              <w:t>Projektų atrankos kriterijaus numeris ir pavadinimas: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2348C3" w:rsidRPr="00F60DB3" w:rsidRDefault="00CF3590" w:rsidP="00555636">
            <w:pPr>
              <w:spacing w:line="276" w:lineRule="auto"/>
              <w:rPr>
                <w:bCs/>
                <w:i/>
                <w:sz w:val="22"/>
                <w:szCs w:val="22"/>
                <w:lang w:val="lt-LT" w:eastAsia="lt-LT"/>
              </w:rPr>
            </w:pPr>
            <w:r>
              <w:rPr>
                <w:bCs/>
                <w:sz w:val="22"/>
                <w:szCs w:val="22"/>
                <w:lang w:val="lt-LT" w:eastAsia="lt-LT"/>
              </w:rPr>
              <w:t xml:space="preserve">1. </w:t>
            </w:r>
            <w:bookmarkStart w:id="0" w:name="_GoBack"/>
            <w:bookmarkEnd w:id="0"/>
            <w:r w:rsidR="00611701" w:rsidRPr="00F60DB3">
              <w:rPr>
                <w:bCs/>
                <w:sz w:val="22"/>
                <w:szCs w:val="22"/>
                <w:lang w:val="lt-LT" w:eastAsia="lt-LT"/>
              </w:rPr>
              <w:t>Projektai turi atitikti Lietuvos Respublikos užimtumo įstatymo nuostatas</w:t>
            </w:r>
            <w:r w:rsidR="002348C3" w:rsidRPr="00F60DB3">
              <w:rPr>
                <w:sz w:val="22"/>
                <w:szCs w:val="22"/>
                <w:lang w:val="lt-LT"/>
              </w:rPr>
              <w:t xml:space="preserve"> </w:t>
            </w:r>
          </w:p>
        </w:tc>
      </w:tr>
      <w:tr w:rsidR="002348C3" w:rsidRPr="00F60DB3" w:rsidTr="00D2065C">
        <w:tc>
          <w:tcPr>
            <w:tcW w:w="6345" w:type="dxa"/>
            <w:tcBorders>
              <w:top w:val="single" w:sz="2" w:space="0" w:color="auto"/>
              <w:left w:val="single" w:sz="12" w:space="0" w:color="auto"/>
              <w:bottom w:val="single" w:sz="2" w:space="0" w:color="auto"/>
              <w:right w:val="single" w:sz="2" w:space="0" w:color="auto"/>
            </w:tcBorders>
            <w:shd w:val="clear" w:color="auto" w:fill="auto"/>
          </w:tcPr>
          <w:p w:rsidR="002348C3" w:rsidRPr="00F60DB3" w:rsidRDefault="002348C3" w:rsidP="00555636">
            <w:pPr>
              <w:spacing w:line="276" w:lineRule="auto"/>
              <w:jc w:val="left"/>
              <w:rPr>
                <w:b/>
                <w:bCs/>
                <w:sz w:val="22"/>
                <w:szCs w:val="22"/>
                <w:lang w:val="lt-LT" w:eastAsia="lt-LT"/>
              </w:rPr>
            </w:pPr>
            <w:r w:rsidRPr="00F60DB3">
              <w:rPr>
                <w:b/>
                <w:bCs/>
                <w:sz w:val="22"/>
                <w:szCs w:val="22"/>
                <w:lang w:val="lt-LT" w:eastAsia="lt-LT"/>
              </w:rPr>
              <w:t>Projektų atrankos kriterijaus vertinimo aspektai ir paaiškinimai:</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2348C3" w:rsidRPr="00F60DB3" w:rsidRDefault="00611701" w:rsidP="00555636">
            <w:pPr>
              <w:spacing w:line="276" w:lineRule="auto"/>
              <w:rPr>
                <w:bCs/>
                <w:sz w:val="22"/>
                <w:szCs w:val="22"/>
                <w:lang w:val="lt-LT" w:eastAsia="lt-LT"/>
              </w:rPr>
            </w:pPr>
            <w:r w:rsidRPr="00F60DB3">
              <w:rPr>
                <w:bCs/>
                <w:sz w:val="22"/>
                <w:szCs w:val="22"/>
                <w:lang w:val="lt-LT" w:eastAsia="lt-LT"/>
              </w:rPr>
              <w:t xml:space="preserve">Vertinama projekto atitiktis </w:t>
            </w:r>
            <w:hyperlink r:id="rId9" w:history="1">
              <w:r w:rsidRPr="00555636">
                <w:rPr>
                  <w:rStyle w:val="Hipersaitas"/>
                  <w:bCs/>
                  <w:sz w:val="22"/>
                  <w:szCs w:val="22"/>
                  <w:lang w:val="lt-LT" w:eastAsia="lt-LT"/>
                </w:rPr>
                <w:t>Lietuvos Respublikos užimtumo įstatymo</w:t>
              </w:r>
            </w:hyperlink>
            <w:r w:rsidRPr="00F60DB3">
              <w:rPr>
                <w:rStyle w:val="Hipersaitas"/>
                <w:bCs/>
                <w:color w:val="auto"/>
                <w:sz w:val="22"/>
                <w:szCs w:val="22"/>
                <w:u w:val="none"/>
                <w:lang w:val="lt-LT" w:eastAsia="lt-LT"/>
              </w:rPr>
              <w:t xml:space="preserve"> nuostatoms</w:t>
            </w:r>
            <w:r w:rsidRPr="00F60DB3">
              <w:rPr>
                <w:bCs/>
                <w:sz w:val="22"/>
                <w:szCs w:val="22"/>
                <w:lang w:val="lt-LT" w:eastAsia="lt-LT"/>
              </w:rPr>
              <w:t>: tikslinės grupės, remiamos veiklos, remiamų veiklų finansavimo dydžiai. Vertinant būtina įsitikinti, ar projekto paraiškoje yra pateiktas pagrindimas, kaip projektas prisideda prie Lietuvos Respublikos užimtumo įstatymo 11 straipsnyje nustatyto užimtumo rėmimo sistemos tikslo ir uždavinių įgyvendinimo, ar projekte numatytos tikslinės grupės atitinka bent vieną iš Lietuvos Respublikos užimtumo įstatymo 25 straipsnyje nurodytų tikslinių grupių, ar veiklos atitinka bent vieną iš 36–47 straipsniuose nurodytų veiklų ir šių veiklų finansavimo nuostatas, taip pat, ar atsakingas projekto vykdytojas atitinka šio įstatymo 16 straipsnio nuostatas.</w:t>
            </w:r>
          </w:p>
        </w:tc>
      </w:tr>
      <w:tr w:rsidR="002348C3" w:rsidRPr="00F60DB3" w:rsidTr="00D2065C">
        <w:tc>
          <w:tcPr>
            <w:tcW w:w="6345" w:type="dxa"/>
            <w:tcBorders>
              <w:top w:val="single" w:sz="2" w:space="0" w:color="auto"/>
              <w:left w:val="single" w:sz="12" w:space="0" w:color="auto"/>
              <w:bottom w:val="single" w:sz="12" w:space="0" w:color="auto"/>
              <w:right w:val="single" w:sz="2" w:space="0" w:color="auto"/>
            </w:tcBorders>
            <w:shd w:val="clear" w:color="auto" w:fill="auto"/>
          </w:tcPr>
          <w:p w:rsidR="002348C3" w:rsidRPr="00F60DB3" w:rsidRDefault="002348C3" w:rsidP="00555636">
            <w:pPr>
              <w:spacing w:line="276" w:lineRule="auto"/>
              <w:jc w:val="left"/>
              <w:rPr>
                <w:b/>
                <w:bCs/>
                <w:sz w:val="22"/>
                <w:szCs w:val="22"/>
                <w:lang w:val="lt-LT" w:eastAsia="lt-LT"/>
              </w:rPr>
            </w:pPr>
            <w:r w:rsidRPr="00F60DB3">
              <w:rPr>
                <w:b/>
                <w:bCs/>
                <w:sz w:val="22"/>
                <w:szCs w:val="22"/>
                <w:lang w:val="lt-LT" w:eastAsia="lt-LT"/>
              </w:rPr>
              <w:t>Projektų atrankos kriterijaus pasirinkimo pagrindimas: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rsidR="002348C3" w:rsidRPr="00F60DB3" w:rsidRDefault="00930717" w:rsidP="00326392">
            <w:pPr>
              <w:spacing w:line="276" w:lineRule="auto"/>
              <w:rPr>
                <w:rFonts w:eastAsia="AngsanaUPC"/>
                <w:bCs/>
                <w:iCs/>
                <w:sz w:val="22"/>
                <w:szCs w:val="22"/>
                <w:lang w:val="lt-LT" w:eastAsia="lt-LT"/>
              </w:rPr>
            </w:pPr>
            <w:r w:rsidRPr="00F60DB3">
              <w:rPr>
                <w:bCs/>
                <w:sz w:val="22"/>
                <w:szCs w:val="22"/>
                <w:lang w:val="lt-LT" w:eastAsia="lt-LT"/>
              </w:rPr>
              <w:t xml:space="preserve">Kriterijus padės įvertinti, ar projektas prisideda prie Lietuvos Respublikos užimtumo įstatyme numatytų tikslų ir uždavinių įgyvendinimo. </w:t>
            </w:r>
            <w:r w:rsidR="002348C3" w:rsidRPr="00F60DB3">
              <w:rPr>
                <w:bCs/>
                <w:sz w:val="22"/>
                <w:szCs w:val="22"/>
                <w:lang w:val="lt-LT" w:eastAsia="lt-LT"/>
              </w:rPr>
              <w:t xml:space="preserve">Kriterijus pasirinktas siekiant užtikrinti investicijas į veiksmus, </w:t>
            </w:r>
            <w:r w:rsidR="002348C3" w:rsidRPr="00F60DB3">
              <w:rPr>
                <w:rFonts w:eastAsia="AngsanaUPC"/>
                <w:bCs/>
                <w:iCs/>
                <w:sz w:val="22"/>
                <w:szCs w:val="22"/>
                <w:lang w:val="lt-LT" w:eastAsia="lt-LT"/>
              </w:rPr>
              <w:t xml:space="preserve">skirtus įveikti COVID-19 pandemijos sukeltą krizę ir prisidėti prie </w:t>
            </w:r>
            <w:r w:rsidR="00FE0825">
              <w:rPr>
                <w:sz w:val="22"/>
                <w:szCs w:val="22"/>
                <w:lang w:val="lt-LT"/>
              </w:rPr>
              <w:t>Veiksmų programos 14</w:t>
            </w:r>
            <w:r w:rsidR="002348C3" w:rsidRPr="00F60DB3">
              <w:rPr>
                <w:sz w:val="22"/>
                <w:szCs w:val="22"/>
                <w:lang w:val="lt-LT"/>
              </w:rPr>
              <w:t>.1.1 uždavinio „</w:t>
            </w:r>
            <w:r w:rsidR="002348C3" w:rsidRPr="00F60DB3">
              <w:rPr>
                <w:rFonts w:eastAsia="Calibri"/>
                <w:sz w:val="22"/>
                <w:szCs w:val="22"/>
                <w:lang w:val="lt-LT"/>
              </w:rPr>
              <w:t>Didinti gyventojų užimtumą, prisitaikymą prie besikeičiančios darbo rinkos, ir atsparumą pandemijos sukeliamiems kasdieniams iššūkiams</w:t>
            </w:r>
            <w:r w:rsidR="002348C3" w:rsidRPr="00F60DB3">
              <w:rPr>
                <w:sz w:val="22"/>
                <w:szCs w:val="22"/>
                <w:lang w:val="lt-LT"/>
              </w:rPr>
              <w:t>“ įgyvendinimo</w:t>
            </w:r>
            <w:r w:rsidR="002348C3" w:rsidRPr="00F60DB3">
              <w:rPr>
                <w:rFonts w:eastAsia="AngsanaUPC"/>
                <w:bCs/>
                <w:iCs/>
                <w:sz w:val="22"/>
                <w:szCs w:val="22"/>
                <w:lang w:val="lt-LT" w:eastAsia="lt-LT"/>
              </w:rPr>
              <w:t xml:space="preserve">. </w:t>
            </w:r>
            <w:r w:rsidR="00326392">
              <w:rPr>
                <w:rFonts w:eastAsia="AngsanaUPC"/>
                <w:bCs/>
                <w:iCs/>
                <w:sz w:val="22"/>
                <w:szCs w:val="22"/>
                <w:lang w:val="lt-LT" w:eastAsia="lt-LT"/>
              </w:rPr>
              <w:t>ADRP</w:t>
            </w:r>
            <w:r w:rsidRPr="00F60DB3">
              <w:rPr>
                <w:rFonts w:eastAsia="AngsanaUPC"/>
                <w:bCs/>
                <w:iCs/>
                <w:sz w:val="22"/>
                <w:szCs w:val="22"/>
                <w:lang w:val="lt-LT" w:eastAsia="lt-LT"/>
              </w:rPr>
              <w:t xml:space="preserve"> yra vienas iš pagrindinių instrumentų reaguojant į korovaviruso Covid-19 pandemijos sukeltą poveikį užimtumui ir darbo rinkai. Šių priemonių taikymas padės darbo netekusiems asmenims</w:t>
            </w:r>
            <w:r w:rsidR="00F60DB3" w:rsidRPr="00F60DB3">
              <w:rPr>
                <w:rFonts w:eastAsia="AngsanaUPC"/>
                <w:bCs/>
                <w:iCs/>
                <w:sz w:val="22"/>
                <w:szCs w:val="22"/>
                <w:lang w:val="lt-LT" w:eastAsia="lt-LT"/>
              </w:rPr>
              <w:t xml:space="preserve"> greičiau</w:t>
            </w:r>
            <w:r w:rsidRPr="00F60DB3">
              <w:rPr>
                <w:rFonts w:eastAsia="AngsanaUPC"/>
                <w:bCs/>
                <w:iCs/>
                <w:sz w:val="22"/>
                <w:szCs w:val="22"/>
                <w:lang w:val="lt-LT" w:eastAsia="lt-LT"/>
              </w:rPr>
              <w:t xml:space="preserve"> sugrįžti į darbo rinką </w:t>
            </w:r>
            <w:r w:rsidR="00555636">
              <w:rPr>
                <w:rFonts w:eastAsia="AngsanaUPC"/>
                <w:bCs/>
                <w:iCs/>
                <w:sz w:val="22"/>
                <w:szCs w:val="22"/>
                <w:lang w:val="lt-LT" w:eastAsia="lt-LT"/>
              </w:rPr>
              <w:t>organizuojant profesinį orientavimą ir konsultavimą, kvalifikacijos suteikimą ir perkvalifikavimą</w:t>
            </w:r>
            <w:r w:rsidRPr="00F60DB3">
              <w:rPr>
                <w:rFonts w:eastAsia="AngsanaUPC"/>
                <w:bCs/>
                <w:iCs/>
                <w:sz w:val="22"/>
                <w:szCs w:val="22"/>
                <w:lang w:val="lt-LT" w:eastAsia="lt-LT"/>
              </w:rPr>
              <w:t xml:space="preserve">, remiant jų užimtumą, </w:t>
            </w:r>
            <w:r w:rsidR="00F60DB3" w:rsidRPr="00F60DB3">
              <w:rPr>
                <w:rFonts w:eastAsia="AngsanaUPC"/>
                <w:bCs/>
                <w:iCs/>
                <w:sz w:val="22"/>
                <w:szCs w:val="22"/>
                <w:lang w:val="lt-LT" w:eastAsia="lt-LT"/>
              </w:rPr>
              <w:t xml:space="preserve">teikiant paramą steigiantiems naujas darbo vietas sau ir kitiems. </w:t>
            </w:r>
          </w:p>
        </w:tc>
      </w:tr>
    </w:tbl>
    <w:p w:rsidR="002348C3" w:rsidRPr="00F60DB3" w:rsidRDefault="002348C3" w:rsidP="00555636">
      <w:pPr>
        <w:spacing w:line="276" w:lineRule="auto"/>
        <w:jc w:val="center"/>
        <w:rPr>
          <w:sz w:val="22"/>
          <w:szCs w:val="22"/>
          <w:lang w:val="lt-LT"/>
        </w:rPr>
      </w:pPr>
    </w:p>
    <w:p w:rsidR="004304DB" w:rsidRPr="00F60DB3" w:rsidRDefault="004304DB" w:rsidP="002348C3">
      <w:pPr>
        <w:spacing w:line="240" w:lineRule="exact"/>
        <w:rPr>
          <w:sz w:val="22"/>
          <w:szCs w:val="22"/>
          <w:lang w:val="lt-LT"/>
        </w:rPr>
      </w:pPr>
    </w:p>
    <w:p w:rsidR="00E319A0" w:rsidRPr="004304DB" w:rsidRDefault="002348C3" w:rsidP="00425C19">
      <w:pPr>
        <w:spacing w:line="240" w:lineRule="exact"/>
        <w:jc w:val="center"/>
        <w:rPr>
          <w:lang w:val="lt-LT"/>
        </w:rPr>
      </w:pPr>
      <w:r w:rsidRPr="00F60DB3">
        <w:rPr>
          <w:sz w:val="22"/>
          <w:szCs w:val="22"/>
          <w:lang w:val="lt-LT"/>
        </w:rPr>
        <w:t>Viceministras</w:t>
      </w:r>
      <w:r w:rsidR="008D73CE" w:rsidRPr="00F60DB3">
        <w:rPr>
          <w:sz w:val="22"/>
          <w:szCs w:val="22"/>
          <w:lang w:val="lt-LT"/>
        </w:rPr>
        <w:tab/>
        <w:t xml:space="preserve">     </w:t>
      </w:r>
      <w:r w:rsidR="00425C19" w:rsidRPr="00F60DB3">
        <w:rPr>
          <w:sz w:val="22"/>
          <w:szCs w:val="22"/>
          <w:lang w:val="lt-LT"/>
        </w:rPr>
        <w:tab/>
      </w:r>
      <w:r w:rsidR="008D73CE" w:rsidRPr="00F60DB3">
        <w:rPr>
          <w:sz w:val="22"/>
          <w:szCs w:val="22"/>
          <w:lang w:val="lt-LT"/>
        </w:rPr>
        <w:tab/>
      </w:r>
      <w:r w:rsidR="008D73CE" w:rsidRPr="00F60DB3">
        <w:rPr>
          <w:sz w:val="22"/>
          <w:szCs w:val="22"/>
          <w:lang w:val="lt-LT"/>
        </w:rPr>
        <w:tab/>
      </w:r>
      <w:r w:rsidR="008D73CE" w:rsidRPr="00F60DB3">
        <w:rPr>
          <w:sz w:val="22"/>
          <w:szCs w:val="22"/>
          <w:lang w:val="lt-LT"/>
        </w:rPr>
        <w:tab/>
      </w:r>
      <w:r w:rsidR="008D73CE" w:rsidRPr="00F60DB3">
        <w:rPr>
          <w:sz w:val="22"/>
          <w:szCs w:val="22"/>
          <w:lang w:val="lt-LT"/>
        </w:rPr>
        <w:tab/>
      </w:r>
      <w:r w:rsidR="006466B6" w:rsidRPr="004304DB">
        <w:rPr>
          <w:lang w:val="lt-LT"/>
        </w:rPr>
        <w:tab/>
      </w:r>
      <w:r>
        <w:rPr>
          <w:lang w:val="lt-LT"/>
        </w:rPr>
        <w:t>Eitvydas Bingelis</w:t>
      </w:r>
    </w:p>
    <w:sectPr w:rsidR="00E319A0" w:rsidRPr="004304DB" w:rsidSect="004404F3">
      <w:headerReference w:type="default" r:id="rId10"/>
      <w:pgSz w:w="16838" w:h="11906" w:orient="landscape" w:code="9"/>
      <w:pgMar w:top="1134" w:right="567" w:bottom="851" w:left="1134" w:header="567" w:footer="567" w:gutter="0"/>
      <w:cols w:space="1296"/>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113D45" w15:done="0"/>
  <w15:commentEx w15:paraId="466838D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454" w:rsidRDefault="005E3454" w:rsidP="0058389C">
      <w:pPr>
        <w:spacing w:line="240" w:lineRule="auto"/>
      </w:pPr>
      <w:r>
        <w:separator/>
      </w:r>
    </w:p>
  </w:endnote>
  <w:endnote w:type="continuationSeparator" w:id="0">
    <w:p w:rsidR="005E3454" w:rsidRDefault="005E3454" w:rsidP="005838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ngsanaUPC">
    <w:charset w:val="00"/>
    <w:family w:val="roman"/>
    <w:pitch w:val="variable"/>
    <w:sig w:usb0="81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454" w:rsidRDefault="005E3454" w:rsidP="0058389C">
      <w:pPr>
        <w:spacing w:line="240" w:lineRule="auto"/>
      </w:pPr>
      <w:r>
        <w:separator/>
      </w:r>
    </w:p>
  </w:footnote>
  <w:footnote w:type="continuationSeparator" w:id="0">
    <w:p w:rsidR="005E3454" w:rsidRDefault="005E3454" w:rsidP="0058389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613465"/>
      <w:docPartObj>
        <w:docPartGallery w:val="Page Numbers (Top of Page)"/>
        <w:docPartUnique/>
      </w:docPartObj>
    </w:sdtPr>
    <w:sdtEndPr/>
    <w:sdtContent>
      <w:p w:rsidR="0058389C" w:rsidRDefault="0058389C">
        <w:pPr>
          <w:pStyle w:val="Antrats"/>
          <w:jc w:val="center"/>
        </w:pPr>
        <w:r>
          <w:fldChar w:fldCharType="begin"/>
        </w:r>
        <w:r>
          <w:instrText>PAGE   \* MERGEFORMAT</w:instrText>
        </w:r>
        <w:r>
          <w:fldChar w:fldCharType="separate"/>
        </w:r>
        <w:r w:rsidR="00CF3590" w:rsidRPr="00CF3590">
          <w:rPr>
            <w:noProof/>
            <w:lang w:val="lt-LT"/>
          </w:rPr>
          <w:t>2</w:t>
        </w:r>
        <w:r>
          <w:fldChar w:fldCharType="end"/>
        </w:r>
      </w:p>
    </w:sdtContent>
  </w:sdt>
  <w:p w:rsidR="0058389C" w:rsidRDefault="0058389C">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5611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E656926"/>
    <w:multiLevelType w:val="multilevel"/>
    <w:tmpl w:val="5DC02D18"/>
    <w:lvl w:ilvl="0">
      <w:start w:val="2"/>
      <w:numFmt w:val="decimal"/>
      <w:suff w:val="space"/>
      <w:lvlText w:val="%1."/>
      <w:lvlJc w:val="left"/>
      <w:pPr>
        <w:ind w:left="360" w:hanging="360"/>
      </w:pPr>
      <w:rPr>
        <w:rFonts w:eastAsia="Calibri" w:hint="default"/>
      </w:rPr>
    </w:lvl>
    <w:lvl w:ilvl="1">
      <w:start w:val="1"/>
      <w:numFmt w:val="decimal"/>
      <w:suff w:val="space"/>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
    <w:nsid w:val="21754495"/>
    <w:multiLevelType w:val="multilevel"/>
    <w:tmpl w:val="60E833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78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32534AF0"/>
    <w:multiLevelType w:val="hybridMultilevel"/>
    <w:tmpl w:val="B956B05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48F658CC"/>
    <w:multiLevelType w:val="multilevel"/>
    <w:tmpl w:val="60E833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78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B97797D"/>
    <w:multiLevelType w:val="hybridMultilevel"/>
    <w:tmpl w:val="AFE443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6B3D56A8"/>
    <w:multiLevelType w:val="multilevel"/>
    <w:tmpl w:val="0CD463AC"/>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6BFF715F"/>
    <w:multiLevelType w:val="multilevel"/>
    <w:tmpl w:val="69F66732"/>
    <w:lvl w:ilvl="0">
      <w:start w:val="22"/>
      <w:numFmt w:val="decimal"/>
      <w:lvlText w:val="%1."/>
      <w:lvlJc w:val="left"/>
      <w:pPr>
        <w:ind w:left="480" w:hanging="480"/>
      </w:pPr>
      <w:rPr>
        <w:rFonts w:hint="default"/>
      </w:rPr>
    </w:lvl>
    <w:lvl w:ilvl="1">
      <w:start w:val="3"/>
      <w:numFmt w:val="decimal"/>
      <w:suff w:val="space"/>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abstractNumId w:val="3"/>
  </w:num>
  <w:num w:numId="2">
    <w:abstractNumId w:val="8"/>
  </w:num>
  <w:num w:numId="3">
    <w:abstractNumId w:val="2"/>
  </w:num>
  <w:num w:numId="4">
    <w:abstractNumId w:val="4"/>
  </w:num>
  <w:num w:numId="5">
    <w:abstractNumId w:val="6"/>
  </w:num>
  <w:num w:numId="6">
    <w:abstractNumId w:val="5"/>
  </w:num>
  <w:num w:numId="7">
    <w:abstractNumId w:val="0"/>
  </w:num>
  <w:num w:numId="8">
    <w:abstractNumId w:val="7"/>
  </w:num>
  <w:num w:numId="9">
    <w:abstractNumId w:val="1"/>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ta Kandzerauskaitė">
    <w15:presenceInfo w15:providerId="AD" w15:userId="S-1-5-21-2426571030-2855087441-3857961214-1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CA"/>
    <w:rsid w:val="00004B00"/>
    <w:rsid w:val="000059CB"/>
    <w:rsid w:val="000205E8"/>
    <w:rsid w:val="00020EC6"/>
    <w:rsid w:val="000326AE"/>
    <w:rsid w:val="00036887"/>
    <w:rsid w:val="000415A3"/>
    <w:rsid w:val="00044027"/>
    <w:rsid w:val="00045399"/>
    <w:rsid w:val="00046183"/>
    <w:rsid w:val="0004783A"/>
    <w:rsid w:val="00047DEF"/>
    <w:rsid w:val="00057F91"/>
    <w:rsid w:val="00062182"/>
    <w:rsid w:val="000654FD"/>
    <w:rsid w:val="00065D46"/>
    <w:rsid w:val="000754DE"/>
    <w:rsid w:val="000825AF"/>
    <w:rsid w:val="00084E8B"/>
    <w:rsid w:val="00093908"/>
    <w:rsid w:val="00093EB4"/>
    <w:rsid w:val="000A2441"/>
    <w:rsid w:val="000A4B62"/>
    <w:rsid w:val="000A69C7"/>
    <w:rsid w:val="000A72ED"/>
    <w:rsid w:val="000B4CE0"/>
    <w:rsid w:val="000B587F"/>
    <w:rsid w:val="000C054E"/>
    <w:rsid w:val="000C0CD8"/>
    <w:rsid w:val="000C4F52"/>
    <w:rsid w:val="000D2929"/>
    <w:rsid w:val="000E0F58"/>
    <w:rsid w:val="000E60DC"/>
    <w:rsid w:val="000E7AD9"/>
    <w:rsid w:val="00103A26"/>
    <w:rsid w:val="00104617"/>
    <w:rsid w:val="00104DBA"/>
    <w:rsid w:val="00110967"/>
    <w:rsid w:val="001114C2"/>
    <w:rsid w:val="0011201E"/>
    <w:rsid w:val="00112884"/>
    <w:rsid w:val="001133D5"/>
    <w:rsid w:val="0011770B"/>
    <w:rsid w:val="001232ED"/>
    <w:rsid w:val="00126BFC"/>
    <w:rsid w:val="0012784F"/>
    <w:rsid w:val="00131987"/>
    <w:rsid w:val="00134F92"/>
    <w:rsid w:val="0013572E"/>
    <w:rsid w:val="00135D1C"/>
    <w:rsid w:val="00136B30"/>
    <w:rsid w:val="00164275"/>
    <w:rsid w:val="00167B07"/>
    <w:rsid w:val="00174DD8"/>
    <w:rsid w:val="00186030"/>
    <w:rsid w:val="00186FE4"/>
    <w:rsid w:val="00195DE8"/>
    <w:rsid w:val="001A0965"/>
    <w:rsid w:val="001A0DE4"/>
    <w:rsid w:val="001A36FD"/>
    <w:rsid w:val="001A67CF"/>
    <w:rsid w:val="001B0BC1"/>
    <w:rsid w:val="001B2F10"/>
    <w:rsid w:val="001B4A9A"/>
    <w:rsid w:val="001B5549"/>
    <w:rsid w:val="001B5763"/>
    <w:rsid w:val="001B6277"/>
    <w:rsid w:val="001C79C3"/>
    <w:rsid w:val="001C7EFA"/>
    <w:rsid w:val="001E1429"/>
    <w:rsid w:val="001E1A85"/>
    <w:rsid w:val="001F59A3"/>
    <w:rsid w:val="001F5DA0"/>
    <w:rsid w:val="0020232D"/>
    <w:rsid w:val="002058CF"/>
    <w:rsid w:val="0020689C"/>
    <w:rsid w:val="002109DD"/>
    <w:rsid w:val="002156CB"/>
    <w:rsid w:val="002261B5"/>
    <w:rsid w:val="00231B46"/>
    <w:rsid w:val="00232554"/>
    <w:rsid w:val="002348C3"/>
    <w:rsid w:val="00237A21"/>
    <w:rsid w:val="00252C35"/>
    <w:rsid w:val="00256A6F"/>
    <w:rsid w:val="002631C8"/>
    <w:rsid w:val="00265482"/>
    <w:rsid w:val="0026793A"/>
    <w:rsid w:val="00271260"/>
    <w:rsid w:val="00294BF9"/>
    <w:rsid w:val="002A00B9"/>
    <w:rsid w:val="002A0B1D"/>
    <w:rsid w:val="002A5053"/>
    <w:rsid w:val="002B0D4F"/>
    <w:rsid w:val="002B5640"/>
    <w:rsid w:val="002C10DE"/>
    <w:rsid w:val="002C2B77"/>
    <w:rsid w:val="002C499F"/>
    <w:rsid w:val="002D569F"/>
    <w:rsid w:val="002E31B4"/>
    <w:rsid w:val="002F1C1C"/>
    <w:rsid w:val="002F5215"/>
    <w:rsid w:val="00302A68"/>
    <w:rsid w:val="003101E8"/>
    <w:rsid w:val="00310EC5"/>
    <w:rsid w:val="00317197"/>
    <w:rsid w:val="0031733F"/>
    <w:rsid w:val="00321FD4"/>
    <w:rsid w:val="00326392"/>
    <w:rsid w:val="003340D3"/>
    <w:rsid w:val="00341041"/>
    <w:rsid w:val="00341C70"/>
    <w:rsid w:val="003440E8"/>
    <w:rsid w:val="00344A11"/>
    <w:rsid w:val="00347D64"/>
    <w:rsid w:val="00352B4B"/>
    <w:rsid w:val="00355123"/>
    <w:rsid w:val="00361827"/>
    <w:rsid w:val="0036642A"/>
    <w:rsid w:val="003824BD"/>
    <w:rsid w:val="00390029"/>
    <w:rsid w:val="003908D6"/>
    <w:rsid w:val="00392323"/>
    <w:rsid w:val="003A3734"/>
    <w:rsid w:val="003A516C"/>
    <w:rsid w:val="003B48F0"/>
    <w:rsid w:val="003C26EC"/>
    <w:rsid w:val="003D5C39"/>
    <w:rsid w:val="003F27AF"/>
    <w:rsid w:val="003F74F7"/>
    <w:rsid w:val="00404338"/>
    <w:rsid w:val="00404C8F"/>
    <w:rsid w:val="004114BB"/>
    <w:rsid w:val="0041342D"/>
    <w:rsid w:val="004235F7"/>
    <w:rsid w:val="00425C19"/>
    <w:rsid w:val="00426102"/>
    <w:rsid w:val="0042785D"/>
    <w:rsid w:val="004304DB"/>
    <w:rsid w:val="0043573E"/>
    <w:rsid w:val="00436F00"/>
    <w:rsid w:val="004404F3"/>
    <w:rsid w:val="004406A1"/>
    <w:rsid w:val="00444905"/>
    <w:rsid w:val="00447537"/>
    <w:rsid w:val="00473F50"/>
    <w:rsid w:val="0047451D"/>
    <w:rsid w:val="00483E50"/>
    <w:rsid w:val="00487702"/>
    <w:rsid w:val="0048787A"/>
    <w:rsid w:val="004A503F"/>
    <w:rsid w:val="004B0FEE"/>
    <w:rsid w:val="004B2A17"/>
    <w:rsid w:val="004D02FC"/>
    <w:rsid w:val="004D7F00"/>
    <w:rsid w:val="004E5288"/>
    <w:rsid w:val="004E6289"/>
    <w:rsid w:val="004F3D9D"/>
    <w:rsid w:val="004F3F19"/>
    <w:rsid w:val="004F4F39"/>
    <w:rsid w:val="004F531B"/>
    <w:rsid w:val="004F5B10"/>
    <w:rsid w:val="004F612B"/>
    <w:rsid w:val="004F7F82"/>
    <w:rsid w:val="005011C9"/>
    <w:rsid w:val="00502B1F"/>
    <w:rsid w:val="00507840"/>
    <w:rsid w:val="00507894"/>
    <w:rsid w:val="00513E1E"/>
    <w:rsid w:val="005146CE"/>
    <w:rsid w:val="00522D91"/>
    <w:rsid w:val="00526F4C"/>
    <w:rsid w:val="00535DC9"/>
    <w:rsid w:val="00536B60"/>
    <w:rsid w:val="00543625"/>
    <w:rsid w:val="00545A4B"/>
    <w:rsid w:val="00553BD4"/>
    <w:rsid w:val="00555636"/>
    <w:rsid w:val="005558C1"/>
    <w:rsid w:val="00561982"/>
    <w:rsid w:val="0056258C"/>
    <w:rsid w:val="0056287C"/>
    <w:rsid w:val="005645F6"/>
    <w:rsid w:val="0057036C"/>
    <w:rsid w:val="0058389C"/>
    <w:rsid w:val="00585C3C"/>
    <w:rsid w:val="0059276B"/>
    <w:rsid w:val="005952A9"/>
    <w:rsid w:val="005A33C4"/>
    <w:rsid w:val="005A4077"/>
    <w:rsid w:val="005A40F3"/>
    <w:rsid w:val="005B496D"/>
    <w:rsid w:val="005C09FB"/>
    <w:rsid w:val="005D291B"/>
    <w:rsid w:val="005D3C70"/>
    <w:rsid w:val="005D4904"/>
    <w:rsid w:val="005D7E8A"/>
    <w:rsid w:val="005E3454"/>
    <w:rsid w:val="005E5BC4"/>
    <w:rsid w:val="005E6A08"/>
    <w:rsid w:val="005E70EB"/>
    <w:rsid w:val="005F27C5"/>
    <w:rsid w:val="005F769B"/>
    <w:rsid w:val="00604DC8"/>
    <w:rsid w:val="00611701"/>
    <w:rsid w:val="006246A8"/>
    <w:rsid w:val="00624A10"/>
    <w:rsid w:val="006439B3"/>
    <w:rsid w:val="006466B6"/>
    <w:rsid w:val="0064725B"/>
    <w:rsid w:val="00656298"/>
    <w:rsid w:val="0066296E"/>
    <w:rsid w:val="00662997"/>
    <w:rsid w:val="00662FA3"/>
    <w:rsid w:val="00672B3C"/>
    <w:rsid w:val="00673105"/>
    <w:rsid w:val="00673811"/>
    <w:rsid w:val="00677A7A"/>
    <w:rsid w:val="00681A85"/>
    <w:rsid w:val="00692F7E"/>
    <w:rsid w:val="006A14AD"/>
    <w:rsid w:val="006A70B6"/>
    <w:rsid w:val="006A71BC"/>
    <w:rsid w:val="006B7150"/>
    <w:rsid w:val="006D3F45"/>
    <w:rsid w:val="006E4935"/>
    <w:rsid w:val="006E60E9"/>
    <w:rsid w:val="006F0676"/>
    <w:rsid w:val="00704366"/>
    <w:rsid w:val="00706316"/>
    <w:rsid w:val="00713005"/>
    <w:rsid w:val="007207EB"/>
    <w:rsid w:val="007459B0"/>
    <w:rsid w:val="00745B17"/>
    <w:rsid w:val="0074677F"/>
    <w:rsid w:val="0075383C"/>
    <w:rsid w:val="00755A90"/>
    <w:rsid w:val="00763977"/>
    <w:rsid w:val="00766129"/>
    <w:rsid w:val="0079140C"/>
    <w:rsid w:val="0079260D"/>
    <w:rsid w:val="007A2440"/>
    <w:rsid w:val="007B2756"/>
    <w:rsid w:val="007C4327"/>
    <w:rsid w:val="007C7EB3"/>
    <w:rsid w:val="007D36CB"/>
    <w:rsid w:val="007D42FC"/>
    <w:rsid w:val="007D7E1A"/>
    <w:rsid w:val="007E1718"/>
    <w:rsid w:val="007E72ED"/>
    <w:rsid w:val="007F2C1B"/>
    <w:rsid w:val="007F3272"/>
    <w:rsid w:val="007F570A"/>
    <w:rsid w:val="00800331"/>
    <w:rsid w:val="0080186A"/>
    <w:rsid w:val="00804349"/>
    <w:rsid w:val="0080455B"/>
    <w:rsid w:val="008069CA"/>
    <w:rsid w:val="0081656F"/>
    <w:rsid w:val="00820D50"/>
    <w:rsid w:val="00822524"/>
    <w:rsid w:val="00836ADF"/>
    <w:rsid w:val="00840B73"/>
    <w:rsid w:val="00841527"/>
    <w:rsid w:val="008642FB"/>
    <w:rsid w:val="008658D2"/>
    <w:rsid w:val="008670DF"/>
    <w:rsid w:val="00874931"/>
    <w:rsid w:val="00876113"/>
    <w:rsid w:val="00880898"/>
    <w:rsid w:val="00881053"/>
    <w:rsid w:val="00884A64"/>
    <w:rsid w:val="00895B79"/>
    <w:rsid w:val="0089779C"/>
    <w:rsid w:val="00897CEB"/>
    <w:rsid w:val="008A270A"/>
    <w:rsid w:val="008A4206"/>
    <w:rsid w:val="008A685F"/>
    <w:rsid w:val="008A70F2"/>
    <w:rsid w:val="008B46BE"/>
    <w:rsid w:val="008D73CE"/>
    <w:rsid w:val="008F6430"/>
    <w:rsid w:val="00900F97"/>
    <w:rsid w:val="009231B8"/>
    <w:rsid w:val="00930717"/>
    <w:rsid w:val="009326E7"/>
    <w:rsid w:val="00947D50"/>
    <w:rsid w:val="0095319E"/>
    <w:rsid w:val="00955749"/>
    <w:rsid w:val="00956142"/>
    <w:rsid w:val="00961D26"/>
    <w:rsid w:val="009644CE"/>
    <w:rsid w:val="00976811"/>
    <w:rsid w:val="00995D20"/>
    <w:rsid w:val="009A309A"/>
    <w:rsid w:val="009A6ECB"/>
    <w:rsid w:val="009B3E79"/>
    <w:rsid w:val="009B7EAE"/>
    <w:rsid w:val="009D5E39"/>
    <w:rsid w:val="009D7A06"/>
    <w:rsid w:val="009E2D14"/>
    <w:rsid w:val="009F193D"/>
    <w:rsid w:val="009F5EE8"/>
    <w:rsid w:val="00A03683"/>
    <w:rsid w:val="00A042B0"/>
    <w:rsid w:val="00A07074"/>
    <w:rsid w:val="00A10827"/>
    <w:rsid w:val="00A13EA3"/>
    <w:rsid w:val="00A20E74"/>
    <w:rsid w:val="00A27182"/>
    <w:rsid w:val="00A2738F"/>
    <w:rsid w:val="00A35064"/>
    <w:rsid w:val="00A3612E"/>
    <w:rsid w:val="00A40869"/>
    <w:rsid w:val="00A4714E"/>
    <w:rsid w:val="00A50E86"/>
    <w:rsid w:val="00A54EC6"/>
    <w:rsid w:val="00A62D97"/>
    <w:rsid w:val="00A64154"/>
    <w:rsid w:val="00A70196"/>
    <w:rsid w:val="00A71C1A"/>
    <w:rsid w:val="00A74A8B"/>
    <w:rsid w:val="00A92384"/>
    <w:rsid w:val="00A97599"/>
    <w:rsid w:val="00AA39ED"/>
    <w:rsid w:val="00AA52F2"/>
    <w:rsid w:val="00AA7208"/>
    <w:rsid w:val="00AB0A0B"/>
    <w:rsid w:val="00AB5B8B"/>
    <w:rsid w:val="00AC014D"/>
    <w:rsid w:val="00AC5811"/>
    <w:rsid w:val="00AC6616"/>
    <w:rsid w:val="00AD019C"/>
    <w:rsid w:val="00B00637"/>
    <w:rsid w:val="00B007DE"/>
    <w:rsid w:val="00B065F8"/>
    <w:rsid w:val="00B1652E"/>
    <w:rsid w:val="00B24C84"/>
    <w:rsid w:val="00B32567"/>
    <w:rsid w:val="00B33501"/>
    <w:rsid w:val="00B53AC1"/>
    <w:rsid w:val="00B557A5"/>
    <w:rsid w:val="00B57A4B"/>
    <w:rsid w:val="00B611A7"/>
    <w:rsid w:val="00B74730"/>
    <w:rsid w:val="00B76415"/>
    <w:rsid w:val="00B82266"/>
    <w:rsid w:val="00B930A3"/>
    <w:rsid w:val="00BA1380"/>
    <w:rsid w:val="00BB0E4B"/>
    <w:rsid w:val="00BB22C9"/>
    <w:rsid w:val="00BB5330"/>
    <w:rsid w:val="00BC4025"/>
    <w:rsid w:val="00BC413A"/>
    <w:rsid w:val="00BC432D"/>
    <w:rsid w:val="00BD00B8"/>
    <w:rsid w:val="00BE5C74"/>
    <w:rsid w:val="00BE7DBB"/>
    <w:rsid w:val="00BF0FD1"/>
    <w:rsid w:val="00BF40A9"/>
    <w:rsid w:val="00C1043D"/>
    <w:rsid w:val="00C1438F"/>
    <w:rsid w:val="00C15FDE"/>
    <w:rsid w:val="00C20F9B"/>
    <w:rsid w:val="00C35BF8"/>
    <w:rsid w:val="00C35C65"/>
    <w:rsid w:val="00C3634D"/>
    <w:rsid w:val="00C3676D"/>
    <w:rsid w:val="00C36AD1"/>
    <w:rsid w:val="00C36BB3"/>
    <w:rsid w:val="00C45915"/>
    <w:rsid w:val="00C462BE"/>
    <w:rsid w:val="00C47717"/>
    <w:rsid w:val="00C51FFA"/>
    <w:rsid w:val="00C5532F"/>
    <w:rsid w:val="00C56238"/>
    <w:rsid w:val="00C56976"/>
    <w:rsid w:val="00C56B70"/>
    <w:rsid w:val="00C66906"/>
    <w:rsid w:val="00C72F8E"/>
    <w:rsid w:val="00C73932"/>
    <w:rsid w:val="00C76238"/>
    <w:rsid w:val="00C7771E"/>
    <w:rsid w:val="00C876A7"/>
    <w:rsid w:val="00C9529C"/>
    <w:rsid w:val="00CA2FCD"/>
    <w:rsid w:val="00CA598E"/>
    <w:rsid w:val="00CB149B"/>
    <w:rsid w:val="00CB5825"/>
    <w:rsid w:val="00CC1F6E"/>
    <w:rsid w:val="00CC6A27"/>
    <w:rsid w:val="00CD10E9"/>
    <w:rsid w:val="00CE588F"/>
    <w:rsid w:val="00CE6507"/>
    <w:rsid w:val="00CF1A7E"/>
    <w:rsid w:val="00CF3590"/>
    <w:rsid w:val="00D0292A"/>
    <w:rsid w:val="00D02C9E"/>
    <w:rsid w:val="00D11981"/>
    <w:rsid w:val="00D15378"/>
    <w:rsid w:val="00D15B25"/>
    <w:rsid w:val="00D23A7E"/>
    <w:rsid w:val="00D27EF5"/>
    <w:rsid w:val="00D41F65"/>
    <w:rsid w:val="00D439E8"/>
    <w:rsid w:val="00D43ABC"/>
    <w:rsid w:val="00D46F48"/>
    <w:rsid w:val="00D52CDD"/>
    <w:rsid w:val="00D56BCF"/>
    <w:rsid w:val="00D5798F"/>
    <w:rsid w:val="00D606E0"/>
    <w:rsid w:val="00D64E98"/>
    <w:rsid w:val="00D77AE5"/>
    <w:rsid w:val="00D77F67"/>
    <w:rsid w:val="00D80124"/>
    <w:rsid w:val="00D808CC"/>
    <w:rsid w:val="00D8361D"/>
    <w:rsid w:val="00D87C13"/>
    <w:rsid w:val="00D92F22"/>
    <w:rsid w:val="00D95080"/>
    <w:rsid w:val="00DA3D60"/>
    <w:rsid w:val="00DA7C84"/>
    <w:rsid w:val="00DB26B4"/>
    <w:rsid w:val="00DD2988"/>
    <w:rsid w:val="00DD6F20"/>
    <w:rsid w:val="00DE4F4E"/>
    <w:rsid w:val="00DE5488"/>
    <w:rsid w:val="00DE61BC"/>
    <w:rsid w:val="00E00CE3"/>
    <w:rsid w:val="00E02A45"/>
    <w:rsid w:val="00E065F0"/>
    <w:rsid w:val="00E17ECA"/>
    <w:rsid w:val="00E2411E"/>
    <w:rsid w:val="00E2740F"/>
    <w:rsid w:val="00E2776E"/>
    <w:rsid w:val="00E319A0"/>
    <w:rsid w:val="00E31B42"/>
    <w:rsid w:val="00E46962"/>
    <w:rsid w:val="00E4709D"/>
    <w:rsid w:val="00E62089"/>
    <w:rsid w:val="00E6448D"/>
    <w:rsid w:val="00E65AD0"/>
    <w:rsid w:val="00E71783"/>
    <w:rsid w:val="00E71BBA"/>
    <w:rsid w:val="00E71CC1"/>
    <w:rsid w:val="00E75D11"/>
    <w:rsid w:val="00E777D4"/>
    <w:rsid w:val="00E85659"/>
    <w:rsid w:val="00EA25AA"/>
    <w:rsid w:val="00EA5A20"/>
    <w:rsid w:val="00EA695E"/>
    <w:rsid w:val="00EA70A8"/>
    <w:rsid w:val="00EB0E06"/>
    <w:rsid w:val="00EB1113"/>
    <w:rsid w:val="00EB2A86"/>
    <w:rsid w:val="00EB399E"/>
    <w:rsid w:val="00EB587D"/>
    <w:rsid w:val="00EB6074"/>
    <w:rsid w:val="00EB6CC0"/>
    <w:rsid w:val="00EC06D9"/>
    <w:rsid w:val="00EC2FCE"/>
    <w:rsid w:val="00EC74EA"/>
    <w:rsid w:val="00ED5A7F"/>
    <w:rsid w:val="00EE0C78"/>
    <w:rsid w:val="00EE2036"/>
    <w:rsid w:val="00EE33A6"/>
    <w:rsid w:val="00EF26E7"/>
    <w:rsid w:val="00EF352C"/>
    <w:rsid w:val="00EF46A0"/>
    <w:rsid w:val="00EF5549"/>
    <w:rsid w:val="00F16E80"/>
    <w:rsid w:val="00F233A2"/>
    <w:rsid w:val="00F23B12"/>
    <w:rsid w:val="00F251F4"/>
    <w:rsid w:val="00F301BA"/>
    <w:rsid w:val="00F302D1"/>
    <w:rsid w:val="00F35FC1"/>
    <w:rsid w:val="00F4532A"/>
    <w:rsid w:val="00F46703"/>
    <w:rsid w:val="00F51AE8"/>
    <w:rsid w:val="00F533D9"/>
    <w:rsid w:val="00F56FED"/>
    <w:rsid w:val="00F572F8"/>
    <w:rsid w:val="00F60DB3"/>
    <w:rsid w:val="00F61E65"/>
    <w:rsid w:val="00F6249B"/>
    <w:rsid w:val="00F8032E"/>
    <w:rsid w:val="00F826F0"/>
    <w:rsid w:val="00F86D37"/>
    <w:rsid w:val="00F87766"/>
    <w:rsid w:val="00FA29E1"/>
    <w:rsid w:val="00FB119B"/>
    <w:rsid w:val="00FB18E2"/>
    <w:rsid w:val="00FD6CDF"/>
    <w:rsid w:val="00FE0825"/>
    <w:rsid w:val="00FE1F80"/>
    <w:rsid w:val="00FF0A28"/>
    <w:rsid w:val="00FF362B"/>
    <w:rsid w:val="00FF4127"/>
    <w:rsid w:val="00FF68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widowControl w:val="0"/>
      <w:adjustRightInd w:val="0"/>
      <w:spacing w:line="360" w:lineRule="atLeast"/>
      <w:jc w:val="both"/>
      <w:textAlignment w:val="baseline"/>
    </w:pPr>
    <w:rPr>
      <w:sz w:val="24"/>
      <w:szCs w:val="24"/>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
    <w:basedOn w:val="prastasis"/>
    <w:pPr>
      <w:spacing w:after="160" w:line="240" w:lineRule="exact"/>
    </w:pPr>
    <w:rPr>
      <w:rFonts w:ascii="Tahoma" w:hAnsi="Tahoma"/>
      <w:sz w:val="20"/>
      <w:szCs w:val="20"/>
    </w:rPr>
  </w:style>
  <w:style w:type="table" w:styleId="Lentelstinklelis">
    <w:name w:val="Table Grid"/>
    <w:basedOn w:val="prastojilente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Pr>
      <w:rFonts w:ascii="Tahoma" w:hAnsi="Tahoma" w:cs="Tahoma"/>
      <w:sz w:val="16"/>
      <w:szCs w:val="16"/>
    </w:rPr>
  </w:style>
  <w:style w:type="character" w:styleId="Komentaronuoroda">
    <w:name w:val="annotation reference"/>
    <w:uiPriority w:val="99"/>
    <w:semiHidden/>
    <w:unhideWhenUsed/>
    <w:rsid w:val="001E1A85"/>
    <w:rPr>
      <w:sz w:val="16"/>
      <w:szCs w:val="16"/>
    </w:rPr>
  </w:style>
  <w:style w:type="paragraph" w:styleId="Komentarotekstas">
    <w:name w:val="annotation text"/>
    <w:basedOn w:val="prastasis"/>
    <w:link w:val="KomentarotekstasDiagrama"/>
    <w:uiPriority w:val="99"/>
    <w:unhideWhenUsed/>
    <w:rsid w:val="001E1A85"/>
    <w:rPr>
      <w:sz w:val="20"/>
      <w:szCs w:val="20"/>
    </w:rPr>
  </w:style>
  <w:style w:type="character" w:customStyle="1" w:styleId="KomentarotekstasDiagrama">
    <w:name w:val="Komentaro tekstas Diagrama"/>
    <w:link w:val="Komentarotekstas"/>
    <w:uiPriority w:val="99"/>
    <w:rsid w:val="001E1A85"/>
    <w:rPr>
      <w:lang w:val="en-US" w:eastAsia="en-US"/>
    </w:rPr>
  </w:style>
  <w:style w:type="paragraph" w:styleId="Komentarotema">
    <w:name w:val="annotation subject"/>
    <w:basedOn w:val="Komentarotekstas"/>
    <w:next w:val="Komentarotekstas"/>
    <w:link w:val="KomentarotemaDiagrama"/>
    <w:uiPriority w:val="99"/>
    <w:semiHidden/>
    <w:unhideWhenUsed/>
    <w:rsid w:val="001E1A85"/>
    <w:rPr>
      <w:b/>
      <w:bCs/>
    </w:rPr>
  </w:style>
  <w:style w:type="character" w:customStyle="1" w:styleId="KomentarotemaDiagrama">
    <w:name w:val="Komentaro tema Diagrama"/>
    <w:link w:val="Komentarotema"/>
    <w:uiPriority w:val="99"/>
    <w:semiHidden/>
    <w:rsid w:val="001E1A85"/>
    <w:rPr>
      <w:b/>
      <w:bCs/>
      <w:lang w:val="en-US" w:eastAsia="en-US"/>
    </w:rPr>
  </w:style>
  <w:style w:type="paragraph" w:styleId="Sraopastraipa">
    <w:name w:val="List Paragraph"/>
    <w:basedOn w:val="prastasis"/>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Pataisymai">
    <w:name w:val="Revision"/>
    <w:hidden/>
    <w:uiPriority w:val="99"/>
    <w:semiHidden/>
    <w:rsid w:val="000C0CD8"/>
    <w:rPr>
      <w:sz w:val="24"/>
      <w:szCs w:val="24"/>
      <w:lang w:val="en-US" w:eastAsia="en-US"/>
    </w:rPr>
  </w:style>
  <w:style w:type="paragraph" w:styleId="Betarp">
    <w:name w:val="No Spacing"/>
    <w:uiPriority w:val="1"/>
    <w:qFormat/>
    <w:rsid w:val="00C36BB3"/>
    <w:rPr>
      <w:rFonts w:ascii="Calibri" w:eastAsia="Calibri" w:hAnsi="Calibri"/>
      <w:sz w:val="22"/>
      <w:szCs w:val="22"/>
      <w:lang w:eastAsia="en-US"/>
    </w:rPr>
  </w:style>
  <w:style w:type="character" w:styleId="Hipersaitas">
    <w:name w:val="Hyperlink"/>
    <w:basedOn w:val="Numatytasispastraiposriftas"/>
    <w:uiPriority w:val="99"/>
    <w:unhideWhenUsed/>
    <w:rsid w:val="00BE5C74"/>
    <w:rPr>
      <w:color w:val="0000FF" w:themeColor="hyperlink"/>
      <w:u w:val="single"/>
    </w:rPr>
  </w:style>
  <w:style w:type="paragraph" w:styleId="Antrats">
    <w:name w:val="header"/>
    <w:basedOn w:val="prastasis"/>
    <w:link w:val="AntratsDiagrama"/>
    <w:uiPriority w:val="99"/>
    <w:unhideWhenUsed/>
    <w:rsid w:val="0058389C"/>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58389C"/>
    <w:rPr>
      <w:sz w:val="24"/>
      <w:szCs w:val="24"/>
      <w:lang w:val="en-US" w:eastAsia="en-US"/>
    </w:rPr>
  </w:style>
  <w:style w:type="paragraph" w:styleId="Porat">
    <w:name w:val="footer"/>
    <w:basedOn w:val="prastasis"/>
    <w:link w:val="PoratDiagrama"/>
    <w:uiPriority w:val="99"/>
    <w:unhideWhenUsed/>
    <w:rsid w:val="0058389C"/>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58389C"/>
    <w:rPr>
      <w:sz w:val="24"/>
      <w:szCs w:val="24"/>
      <w:lang w:val="en-US" w:eastAsia="en-US"/>
    </w:rPr>
  </w:style>
  <w:style w:type="character" w:styleId="Perirtashipersaitas">
    <w:name w:val="FollowedHyperlink"/>
    <w:basedOn w:val="Numatytasispastraiposriftas"/>
    <w:uiPriority w:val="99"/>
    <w:semiHidden/>
    <w:unhideWhenUsed/>
    <w:rsid w:val="0056287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widowControl w:val="0"/>
      <w:adjustRightInd w:val="0"/>
      <w:spacing w:line="360" w:lineRule="atLeast"/>
      <w:jc w:val="both"/>
      <w:textAlignment w:val="baseline"/>
    </w:pPr>
    <w:rPr>
      <w:sz w:val="24"/>
      <w:szCs w:val="24"/>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
    <w:basedOn w:val="prastasis"/>
    <w:pPr>
      <w:spacing w:after="160" w:line="240" w:lineRule="exact"/>
    </w:pPr>
    <w:rPr>
      <w:rFonts w:ascii="Tahoma" w:hAnsi="Tahoma"/>
      <w:sz w:val="20"/>
      <w:szCs w:val="20"/>
    </w:rPr>
  </w:style>
  <w:style w:type="table" w:styleId="Lentelstinklelis">
    <w:name w:val="Table Grid"/>
    <w:basedOn w:val="prastojilente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Pr>
      <w:rFonts w:ascii="Tahoma" w:hAnsi="Tahoma" w:cs="Tahoma"/>
      <w:sz w:val="16"/>
      <w:szCs w:val="16"/>
    </w:rPr>
  </w:style>
  <w:style w:type="character" w:styleId="Komentaronuoroda">
    <w:name w:val="annotation reference"/>
    <w:uiPriority w:val="99"/>
    <w:semiHidden/>
    <w:unhideWhenUsed/>
    <w:rsid w:val="001E1A85"/>
    <w:rPr>
      <w:sz w:val="16"/>
      <w:szCs w:val="16"/>
    </w:rPr>
  </w:style>
  <w:style w:type="paragraph" w:styleId="Komentarotekstas">
    <w:name w:val="annotation text"/>
    <w:basedOn w:val="prastasis"/>
    <w:link w:val="KomentarotekstasDiagrama"/>
    <w:uiPriority w:val="99"/>
    <w:unhideWhenUsed/>
    <w:rsid w:val="001E1A85"/>
    <w:rPr>
      <w:sz w:val="20"/>
      <w:szCs w:val="20"/>
    </w:rPr>
  </w:style>
  <w:style w:type="character" w:customStyle="1" w:styleId="KomentarotekstasDiagrama">
    <w:name w:val="Komentaro tekstas Diagrama"/>
    <w:link w:val="Komentarotekstas"/>
    <w:uiPriority w:val="99"/>
    <w:rsid w:val="001E1A85"/>
    <w:rPr>
      <w:lang w:val="en-US" w:eastAsia="en-US"/>
    </w:rPr>
  </w:style>
  <w:style w:type="paragraph" w:styleId="Komentarotema">
    <w:name w:val="annotation subject"/>
    <w:basedOn w:val="Komentarotekstas"/>
    <w:next w:val="Komentarotekstas"/>
    <w:link w:val="KomentarotemaDiagrama"/>
    <w:uiPriority w:val="99"/>
    <w:semiHidden/>
    <w:unhideWhenUsed/>
    <w:rsid w:val="001E1A85"/>
    <w:rPr>
      <w:b/>
      <w:bCs/>
    </w:rPr>
  </w:style>
  <w:style w:type="character" w:customStyle="1" w:styleId="KomentarotemaDiagrama">
    <w:name w:val="Komentaro tema Diagrama"/>
    <w:link w:val="Komentarotema"/>
    <w:uiPriority w:val="99"/>
    <w:semiHidden/>
    <w:rsid w:val="001E1A85"/>
    <w:rPr>
      <w:b/>
      <w:bCs/>
      <w:lang w:val="en-US" w:eastAsia="en-US"/>
    </w:rPr>
  </w:style>
  <w:style w:type="paragraph" w:styleId="Sraopastraipa">
    <w:name w:val="List Paragraph"/>
    <w:basedOn w:val="prastasis"/>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Pataisymai">
    <w:name w:val="Revision"/>
    <w:hidden/>
    <w:uiPriority w:val="99"/>
    <w:semiHidden/>
    <w:rsid w:val="000C0CD8"/>
    <w:rPr>
      <w:sz w:val="24"/>
      <w:szCs w:val="24"/>
      <w:lang w:val="en-US" w:eastAsia="en-US"/>
    </w:rPr>
  </w:style>
  <w:style w:type="paragraph" w:styleId="Betarp">
    <w:name w:val="No Spacing"/>
    <w:uiPriority w:val="1"/>
    <w:qFormat/>
    <w:rsid w:val="00C36BB3"/>
    <w:rPr>
      <w:rFonts w:ascii="Calibri" w:eastAsia="Calibri" w:hAnsi="Calibri"/>
      <w:sz w:val="22"/>
      <w:szCs w:val="22"/>
      <w:lang w:eastAsia="en-US"/>
    </w:rPr>
  </w:style>
  <w:style w:type="character" w:styleId="Hipersaitas">
    <w:name w:val="Hyperlink"/>
    <w:basedOn w:val="Numatytasispastraiposriftas"/>
    <w:uiPriority w:val="99"/>
    <w:unhideWhenUsed/>
    <w:rsid w:val="00BE5C74"/>
    <w:rPr>
      <w:color w:val="0000FF" w:themeColor="hyperlink"/>
      <w:u w:val="single"/>
    </w:rPr>
  </w:style>
  <w:style w:type="paragraph" w:styleId="Antrats">
    <w:name w:val="header"/>
    <w:basedOn w:val="prastasis"/>
    <w:link w:val="AntratsDiagrama"/>
    <w:uiPriority w:val="99"/>
    <w:unhideWhenUsed/>
    <w:rsid w:val="0058389C"/>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58389C"/>
    <w:rPr>
      <w:sz w:val="24"/>
      <w:szCs w:val="24"/>
      <w:lang w:val="en-US" w:eastAsia="en-US"/>
    </w:rPr>
  </w:style>
  <w:style w:type="paragraph" w:styleId="Porat">
    <w:name w:val="footer"/>
    <w:basedOn w:val="prastasis"/>
    <w:link w:val="PoratDiagrama"/>
    <w:uiPriority w:val="99"/>
    <w:unhideWhenUsed/>
    <w:rsid w:val="0058389C"/>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58389C"/>
    <w:rPr>
      <w:sz w:val="24"/>
      <w:szCs w:val="24"/>
      <w:lang w:val="en-US" w:eastAsia="en-US"/>
    </w:rPr>
  </w:style>
  <w:style w:type="character" w:styleId="Perirtashipersaitas">
    <w:name w:val="FollowedHyperlink"/>
    <w:basedOn w:val="Numatytasispastraiposriftas"/>
    <w:uiPriority w:val="99"/>
    <w:semiHidden/>
    <w:unhideWhenUsed/>
    <w:rsid w:val="005628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8237">
      <w:bodyDiv w:val="1"/>
      <w:marLeft w:val="0"/>
      <w:marRight w:val="0"/>
      <w:marTop w:val="0"/>
      <w:marBottom w:val="0"/>
      <w:divBdr>
        <w:top w:val="none" w:sz="0" w:space="0" w:color="auto"/>
        <w:left w:val="none" w:sz="0" w:space="0" w:color="auto"/>
        <w:bottom w:val="none" w:sz="0" w:space="0" w:color="auto"/>
        <w:right w:val="none" w:sz="0" w:space="0" w:color="auto"/>
      </w:divBdr>
    </w:div>
    <w:div w:id="63453471">
      <w:bodyDiv w:val="1"/>
      <w:marLeft w:val="0"/>
      <w:marRight w:val="0"/>
      <w:marTop w:val="0"/>
      <w:marBottom w:val="0"/>
      <w:divBdr>
        <w:top w:val="none" w:sz="0" w:space="0" w:color="auto"/>
        <w:left w:val="none" w:sz="0" w:space="0" w:color="auto"/>
        <w:bottom w:val="none" w:sz="0" w:space="0" w:color="auto"/>
        <w:right w:val="none" w:sz="0" w:space="0" w:color="auto"/>
      </w:divBdr>
      <w:divsChild>
        <w:div w:id="1407413466">
          <w:marLeft w:val="0"/>
          <w:marRight w:val="0"/>
          <w:marTop w:val="0"/>
          <w:marBottom w:val="0"/>
          <w:divBdr>
            <w:top w:val="none" w:sz="0" w:space="0" w:color="auto"/>
            <w:left w:val="none" w:sz="0" w:space="0" w:color="auto"/>
            <w:bottom w:val="none" w:sz="0" w:space="0" w:color="auto"/>
            <w:right w:val="none" w:sz="0" w:space="0" w:color="auto"/>
          </w:divBdr>
          <w:divsChild>
            <w:div w:id="2081977905">
              <w:marLeft w:val="0"/>
              <w:marRight w:val="0"/>
              <w:marTop w:val="0"/>
              <w:marBottom w:val="0"/>
              <w:divBdr>
                <w:top w:val="none" w:sz="0" w:space="0" w:color="auto"/>
                <w:left w:val="none" w:sz="0" w:space="0" w:color="auto"/>
                <w:bottom w:val="none" w:sz="0" w:space="0" w:color="auto"/>
                <w:right w:val="none" w:sz="0" w:space="0" w:color="auto"/>
              </w:divBdr>
              <w:divsChild>
                <w:div w:id="88277422">
                  <w:marLeft w:val="0"/>
                  <w:marRight w:val="0"/>
                  <w:marTop w:val="0"/>
                  <w:marBottom w:val="0"/>
                  <w:divBdr>
                    <w:top w:val="none" w:sz="0" w:space="0" w:color="auto"/>
                    <w:left w:val="none" w:sz="0" w:space="0" w:color="auto"/>
                    <w:bottom w:val="none" w:sz="0" w:space="0" w:color="auto"/>
                    <w:right w:val="none" w:sz="0" w:space="0" w:color="auto"/>
                  </w:divBdr>
                  <w:divsChild>
                    <w:div w:id="897547718">
                      <w:marLeft w:val="0"/>
                      <w:marRight w:val="0"/>
                      <w:marTop w:val="0"/>
                      <w:marBottom w:val="0"/>
                      <w:divBdr>
                        <w:top w:val="none" w:sz="0" w:space="0" w:color="auto"/>
                        <w:left w:val="none" w:sz="0" w:space="0" w:color="auto"/>
                        <w:bottom w:val="none" w:sz="0" w:space="0" w:color="auto"/>
                        <w:right w:val="none" w:sz="0" w:space="0" w:color="auto"/>
                      </w:divBdr>
                    </w:div>
                    <w:div w:id="8123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790111">
      <w:bodyDiv w:val="1"/>
      <w:marLeft w:val="225"/>
      <w:marRight w:val="225"/>
      <w:marTop w:val="0"/>
      <w:marBottom w:val="0"/>
      <w:divBdr>
        <w:top w:val="none" w:sz="0" w:space="0" w:color="auto"/>
        <w:left w:val="none" w:sz="0" w:space="0" w:color="auto"/>
        <w:bottom w:val="none" w:sz="0" w:space="0" w:color="auto"/>
        <w:right w:val="none" w:sz="0" w:space="0" w:color="auto"/>
      </w:divBdr>
      <w:divsChild>
        <w:div w:id="70125452">
          <w:marLeft w:val="0"/>
          <w:marRight w:val="0"/>
          <w:marTop w:val="0"/>
          <w:marBottom w:val="0"/>
          <w:divBdr>
            <w:top w:val="none" w:sz="0" w:space="0" w:color="auto"/>
            <w:left w:val="none" w:sz="0" w:space="0" w:color="auto"/>
            <w:bottom w:val="none" w:sz="0" w:space="0" w:color="auto"/>
            <w:right w:val="none" w:sz="0" w:space="0" w:color="auto"/>
          </w:divBdr>
        </w:div>
      </w:divsChild>
    </w:div>
    <w:div w:id="929509380">
      <w:bodyDiv w:val="1"/>
      <w:marLeft w:val="0"/>
      <w:marRight w:val="0"/>
      <w:marTop w:val="0"/>
      <w:marBottom w:val="0"/>
      <w:divBdr>
        <w:top w:val="none" w:sz="0" w:space="0" w:color="auto"/>
        <w:left w:val="none" w:sz="0" w:space="0" w:color="auto"/>
        <w:bottom w:val="none" w:sz="0" w:space="0" w:color="auto"/>
        <w:right w:val="none" w:sz="0" w:space="0" w:color="auto"/>
      </w:divBdr>
    </w:div>
    <w:div w:id="968055252">
      <w:bodyDiv w:val="1"/>
      <w:marLeft w:val="0"/>
      <w:marRight w:val="0"/>
      <w:marTop w:val="0"/>
      <w:marBottom w:val="0"/>
      <w:divBdr>
        <w:top w:val="none" w:sz="0" w:space="0" w:color="auto"/>
        <w:left w:val="none" w:sz="0" w:space="0" w:color="auto"/>
        <w:bottom w:val="none" w:sz="0" w:space="0" w:color="auto"/>
        <w:right w:val="none" w:sz="0" w:space="0" w:color="auto"/>
      </w:divBdr>
    </w:div>
    <w:div w:id="1006322794">
      <w:bodyDiv w:val="1"/>
      <w:marLeft w:val="0"/>
      <w:marRight w:val="0"/>
      <w:marTop w:val="0"/>
      <w:marBottom w:val="0"/>
      <w:divBdr>
        <w:top w:val="none" w:sz="0" w:space="0" w:color="auto"/>
        <w:left w:val="none" w:sz="0" w:space="0" w:color="auto"/>
        <w:bottom w:val="none" w:sz="0" w:space="0" w:color="auto"/>
        <w:right w:val="none" w:sz="0" w:space="0" w:color="auto"/>
      </w:divBdr>
    </w:div>
    <w:div w:id="1044140901">
      <w:bodyDiv w:val="1"/>
      <w:marLeft w:val="0"/>
      <w:marRight w:val="0"/>
      <w:marTop w:val="0"/>
      <w:marBottom w:val="0"/>
      <w:divBdr>
        <w:top w:val="none" w:sz="0" w:space="0" w:color="auto"/>
        <w:left w:val="none" w:sz="0" w:space="0" w:color="auto"/>
        <w:bottom w:val="none" w:sz="0" w:space="0" w:color="auto"/>
        <w:right w:val="none" w:sz="0" w:space="0" w:color="auto"/>
      </w:divBdr>
      <w:divsChild>
        <w:div w:id="1733845210">
          <w:marLeft w:val="0"/>
          <w:marRight w:val="0"/>
          <w:marTop w:val="0"/>
          <w:marBottom w:val="0"/>
          <w:divBdr>
            <w:top w:val="none" w:sz="0" w:space="0" w:color="auto"/>
            <w:left w:val="none" w:sz="0" w:space="0" w:color="auto"/>
            <w:bottom w:val="none" w:sz="0" w:space="0" w:color="auto"/>
            <w:right w:val="none" w:sz="0" w:space="0" w:color="auto"/>
          </w:divBdr>
        </w:div>
      </w:divsChild>
    </w:div>
    <w:div w:id="1360743599">
      <w:bodyDiv w:val="1"/>
      <w:marLeft w:val="0"/>
      <w:marRight w:val="0"/>
      <w:marTop w:val="0"/>
      <w:marBottom w:val="0"/>
      <w:divBdr>
        <w:top w:val="none" w:sz="0" w:space="0" w:color="auto"/>
        <w:left w:val="none" w:sz="0" w:space="0" w:color="auto"/>
        <w:bottom w:val="none" w:sz="0" w:space="0" w:color="auto"/>
        <w:right w:val="none" w:sz="0" w:space="0" w:color="auto"/>
      </w:divBdr>
      <w:divsChild>
        <w:div w:id="1041127766">
          <w:marLeft w:val="0"/>
          <w:marRight w:val="0"/>
          <w:marTop w:val="0"/>
          <w:marBottom w:val="0"/>
          <w:divBdr>
            <w:top w:val="none" w:sz="0" w:space="0" w:color="auto"/>
            <w:left w:val="none" w:sz="0" w:space="0" w:color="auto"/>
            <w:bottom w:val="none" w:sz="0" w:space="0" w:color="auto"/>
            <w:right w:val="none" w:sz="0" w:space="0" w:color="auto"/>
          </w:divBdr>
        </w:div>
      </w:divsChild>
    </w:div>
    <w:div w:id="1633437710">
      <w:bodyDiv w:val="1"/>
      <w:marLeft w:val="0"/>
      <w:marRight w:val="0"/>
      <w:marTop w:val="0"/>
      <w:marBottom w:val="0"/>
      <w:divBdr>
        <w:top w:val="none" w:sz="0" w:space="0" w:color="auto"/>
        <w:left w:val="none" w:sz="0" w:space="0" w:color="auto"/>
        <w:bottom w:val="none" w:sz="0" w:space="0" w:color="auto"/>
        <w:right w:val="none" w:sz="0" w:space="0" w:color="auto"/>
      </w:divBdr>
      <w:divsChild>
        <w:div w:id="772169664">
          <w:marLeft w:val="0"/>
          <w:marRight w:val="0"/>
          <w:marTop w:val="0"/>
          <w:marBottom w:val="0"/>
          <w:divBdr>
            <w:top w:val="none" w:sz="0" w:space="0" w:color="auto"/>
            <w:left w:val="none" w:sz="0" w:space="0" w:color="auto"/>
            <w:bottom w:val="none" w:sz="0" w:space="0" w:color="auto"/>
            <w:right w:val="none" w:sz="0" w:space="0" w:color="auto"/>
          </w:divBdr>
        </w:div>
        <w:div w:id="1625384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seimas.lrs.lt/portal/legalAct/lt/TAD/b9ca8ad03de611e68f278e2f1841c088/a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54C7E-B363-484B-B2A1-A093B71EA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500</Words>
  <Characters>3884</Characters>
  <Application>Microsoft Office Word</Application>
  <DocSecurity>0</DocSecurity>
  <Lines>32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Nora Martinkėnienė</cp:lastModifiedBy>
  <cp:revision>11</cp:revision>
  <cp:lastPrinted>2019-01-10T11:21:00Z</cp:lastPrinted>
  <dcterms:created xsi:type="dcterms:W3CDTF">2020-11-12T08:49:00Z</dcterms:created>
  <dcterms:modified xsi:type="dcterms:W3CDTF">2020-11-19T14:19:00Z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1945266412</vt:i4>
  </property>
  <property fmtid="{D5CDD505-2E9C-101B-9397-08002B2CF9AE}" pid="4" name="_EmailSubject">
    <vt:lpwstr>54+</vt:lpwstr>
  </property>
  <property fmtid="{D5CDD505-2E9C-101B-9397-08002B2CF9AE}" pid="5" name="_AuthorEmail">
    <vt:lpwstr>Vytene.Pivoraite@socmin.lt</vt:lpwstr>
  </property>
  <property fmtid="{D5CDD505-2E9C-101B-9397-08002B2CF9AE}" pid="6" name="_AuthorEmailDisplayName">
    <vt:lpwstr>Vytenė Pivoraitė</vt:lpwstr>
  </property>
  <property fmtid="{D5CDD505-2E9C-101B-9397-08002B2CF9AE}" pid="7" name="_ReviewingToolsShownOnce">
    <vt:lpwstr/>
  </property>
</Properties>
</file>