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lang w:val="lt-LT"/>
        </w:rPr>
        <w:id w:val="5676846"/>
        <w:docPartObj>
          <w:docPartGallery w:val="Cover Pages"/>
          <w:docPartUnique/>
        </w:docPartObj>
      </w:sdtPr>
      <w:sdtEndPr>
        <w:rPr>
          <w:rFonts w:asciiTheme="majorBidi" w:hAnsiTheme="majorBidi" w:cstheme="majorBidi"/>
          <w:b/>
          <w:bCs/>
          <w:sz w:val="28"/>
          <w:szCs w:val="28"/>
        </w:rPr>
      </w:sdtEndPr>
      <w:sdtContent>
        <w:p w:rsidR="00243142" w:rsidRPr="00ED3D25" w:rsidRDefault="00243142" w:rsidP="00243142">
          <w:pPr>
            <w:spacing w:after="0"/>
            <w:jc w:val="center"/>
            <w:rPr>
              <w:lang w:val="lt-LT"/>
            </w:rPr>
          </w:pPr>
          <w:r w:rsidRPr="00ED3D25">
            <w:rPr>
              <w:noProof/>
            </w:rPr>
            <w:drawing>
              <wp:inline distT="0" distB="0" distL="0" distR="0">
                <wp:extent cx="1152525" cy="1162050"/>
                <wp:effectExtent l="19050" t="0" r="9525" b="0"/>
                <wp:docPr id="3"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1152525" cy="1162050"/>
                        </a:xfrm>
                        <a:prstGeom prst="rect">
                          <a:avLst/>
                        </a:prstGeom>
                        <a:noFill/>
                        <a:ln w="9525">
                          <a:noFill/>
                          <a:miter lim="800000"/>
                          <a:headEnd/>
                          <a:tailEnd/>
                        </a:ln>
                      </pic:spPr>
                    </pic:pic>
                  </a:graphicData>
                </a:graphic>
              </wp:inline>
            </w:drawing>
          </w:r>
        </w:p>
        <w:p w:rsidR="00243142" w:rsidRPr="00ED3D25" w:rsidRDefault="00243142" w:rsidP="00243142">
          <w:pPr>
            <w:spacing w:after="0"/>
            <w:jc w:val="center"/>
            <w:rPr>
              <w:lang w:val="lt-LT"/>
            </w:rPr>
          </w:pPr>
        </w:p>
        <w:p w:rsidR="00243142" w:rsidRPr="00ED3D25" w:rsidRDefault="00243142" w:rsidP="00243142">
          <w:pPr>
            <w:spacing w:after="0"/>
            <w:jc w:val="center"/>
            <w:rPr>
              <w:sz w:val="28"/>
              <w:szCs w:val="28"/>
              <w:lang w:val="lt-LT"/>
            </w:rPr>
          </w:pPr>
          <w:r w:rsidRPr="00ED3D25">
            <w:rPr>
              <w:sz w:val="28"/>
              <w:szCs w:val="28"/>
              <w:lang w:val="lt-LT"/>
            </w:rPr>
            <w:t>VYTAUTO DIDŽIOJO UNIVERSITETAS</w:t>
          </w:r>
        </w:p>
        <w:p w:rsidR="00243142" w:rsidRPr="00ED3D25" w:rsidRDefault="00243142" w:rsidP="00243142">
          <w:pPr>
            <w:spacing w:after="0"/>
            <w:jc w:val="center"/>
            <w:rPr>
              <w:lang w:val="lt-LT"/>
            </w:rPr>
          </w:pPr>
          <w:r w:rsidRPr="00ED3D25">
            <w:rPr>
              <w:lang w:val="lt-LT"/>
            </w:rPr>
            <w:t>EKONOMIKOS IR VADYBOS FAKULTETAS</w:t>
          </w:r>
        </w:p>
        <w:p w:rsidR="00243142" w:rsidRPr="00ED3D25" w:rsidRDefault="00243142" w:rsidP="00243142">
          <w:pPr>
            <w:spacing w:after="0"/>
            <w:jc w:val="center"/>
            <w:rPr>
              <w:lang w:val="lt-LT"/>
            </w:rPr>
          </w:pPr>
          <w:r w:rsidRPr="00ED3D25">
            <w:rPr>
              <w:lang w:val="lt-LT"/>
            </w:rPr>
            <w:t xml:space="preserve">EKONOMIKOS KATEDRA </w:t>
          </w:r>
        </w:p>
        <w:p w:rsidR="00243142" w:rsidRPr="00ED3D25" w:rsidRDefault="00243142" w:rsidP="00243142">
          <w:pPr>
            <w:spacing w:after="0"/>
            <w:jc w:val="center"/>
            <w:rPr>
              <w:lang w:val="lt-LT"/>
            </w:rPr>
          </w:pPr>
        </w:p>
        <w:p w:rsidR="00243142" w:rsidRPr="00ED3D25" w:rsidRDefault="00243142" w:rsidP="00243142">
          <w:pPr>
            <w:spacing w:after="0"/>
            <w:jc w:val="center"/>
            <w:rPr>
              <w:lang w:val="lt-LT"/>
            </w:rPr>
          </w:pPr>
        </w:p>
        <w:p w:rsidR="00243142" w:rsidRPr="00ED3D25" w:rsidRDefault="00243142" w:rsidP="00243142">
          <w:pPr>
            <w:spacing w:after="0"/>
            <w:jc w:val="center"/>
            <w:rPr>
              <w:lang w:val="lt-LT"/>
            </w:rPr>
          </w:pPr>
        </w:p>
        <w:p w:rsidR="00243142" w:rsidRPr="00ED3D25" w:rsidRDefault="00243142" w:rsidP="00243142">
          <w:pPr>
            <w:spacing w:after="0"/>
            <w:jc w:val="center"/>
            <w:rPr>
              <w:sz w:val="28"/>
              <w:szCs w:val="28"/>
              <w:lang w:val="lt-LT"/>
            </w:rPr>
          </w:pPr>
          <w:r w:rsidRPr="00ED3D25">
            <w:rPr>
              <w:sz w:val="28"/>
              <w:szCs w:val="28"/>
              <w:lang w:val="lt-LT"/>
            </w:rPr>
            <w:t>Evelina Pratusytė</w:t>
          </w:r>
        </w:p>
        <w:p w:rsidR="00243142" w:rsidRPr="00ED3D25" w:rsidRDefault="00243142" w:rsidP="00243142">
          <w:pPr>
            <w:spacing w:after="0"/>
            <w:jc w:val="center"/>
            <w:rPr>
              <w:sz w:val="28"/>
              <w:szCs w:val="28"/>
              <w:lang w:val="lt-LT"/>
            </w:rPr>
          </w:pPr>
        </w:p>
        <w:p w:rsidR="00243142" w:rsidRPr="00CD00D3" w:rsidRDefault="00243142" w:rsidP="00243142">
          <w:pPr>
            <w:spacing w:after="0"/>
            <w:jc w:val="center"/>
            <w:rPr>
              <w:b/>
              <w:bCs/>
              <w:caps/>
              <w:sz w:val="28"/>
              <w:szCs w:val="28"/>
              <w:lang w:val="lt-LT"/>
            </w:rPr>
          </w:pPr>
          <w:r w:rsidRPr="00CD00D3">
            <w:rPr>
              <w:b/>
              <w:bCs/>
              <w:caps/>
              <w:sz w:val="28"/>
              <w:szCs w:val="32"/>
              <w:lang w:val="lt-LT"/>
            </w:rPr>
            <w:t>ES finansinės paramos smulkiam ir vidutiniam verslui efektyvumo vertinimas Panevėžio rajone</w:t>
          </w:r>
        </w:p>
        <w:p w:rsidR="00243142" w:rsidRPr="00ED3D25" w:rsidRDefault="00243142" w:rsidP="00243142">
          <w:pPr>
            <w:spacing w:after="0"/>
            <w:jc w:val="center"/>
            <w:rPr>
              <w:b/>
              <w:sz w:val="28"/>
              <w:szCs w:val="28"/>
              <w:lang w:val="lt-LT"/>
            </w:rPr>
          </w:pPr>
        </w:p>
        <w:p w:rsidR="00243142" w:rsidRPr="00ED3D25" w:rsidRDefault="00243142" w:rsidP="00243142">
          <w:pPr>
            <w:spacing w:after="0"/>
            <w:jc w:val="center"/>
            <w:rPr>
              <w:sz w:val="28"/>
              <w:szCs w:val="28"/>
              <w:lang w:val="lt-LT"/>
            </w:rPr>
          </w:pPr>
          <w:r w:rsidRPr="00ED3D25">
            <w:rPr>
              <w:sz w:val="28"/>
              <w:szCs w:val="28"/>
              <w:lang w:val="lt-LT"/>
            </w:rPr>
            <w:t>Bakalauro baigiamasis darbas</w:t>
          </w:r>
        </w:p>
        <w:p w:rsidR="00243142" w:rsidRPr="00ED3D25" w:rsidRDefault="00243142" w:rsidP="00243142">
          <w:pPr>
            <w:spacing w:after="0"/>
            <w:jc w:val="center"/>
            <w:rPr>
              <w:sz w:val="28"/>
              <w:szCs w:val="28"/>
              <w:lang w:val="lt-LT"/>
            </w:rPr>
          </w:pPr>
        </w:p>
        <w:p w:rsidR="00243142" w:rsidRPr="00ED3D25" w:rsidRDefault="00243142" w:rsidP="00243142">
          <w:pPr>
            <w:tabs>
              <w:tab w:val="left" w:pos="2268"/>
            </w:tabs>
            <w:spacing w:after="0"/>
            <w:jc w:val="center"/>
            <w:rPr>
              <w:lang w:val="lt-LT"/>
            </w:rPr>
          </w:pPr>
          <w:r w:rsidRPr="00ED3D25">
            <w:rPr>
              <w:lang w:val="lt-LT"/>
            </w:rPr>
            <w:t>Ekonomikos ir finansų studijų programa, valstybinis kodas 612L10005</w:t>
          </w:r>
        </w:p>
        <w:p w:rsidR="00243142" w:rsidRPr="00ED3D25" w:rsidRDefault="00243142" w:rsidP="00243142">
          <w:pPr>
            <w:tabs>
              <w:tab w:val="left" w:pos="2268"/>
            </w:tabs>
            <w:spacing w:after="0"/>
            <w:jc w:val="center"/>
            <w:rPr>
              <w:lang w:val="lt-LT"/>
            </w:rPr>
          </w:pPr>
          <w:r w:rsidRPr="00ED3D25">
            <w:rPr>
              <w:lang w:val="lt-LT"/>
            </w:rPr>
            <w:t>Ekonomikos studijų kryptis</w:t>
          </w:r>
        </w:p>
        <w:p w:rsidR="00243142" w:rsidRPr="00ED3D25" w:rsidRDefault="00243142" w:rsidP="00243142">
          <w:pPr>
            <w:tabs>
              <w:tab w:val="left" w:pos="2268"/>
            </w:tabs>
            <w:spacing w:after="0"/>
            <w:jc w:val="center"/>
            <w:rPr>
              <w:lang w:val="lt-LT"/>
            </w:rPr>
          </w:pPr>
        </w:p>
        <w:p w:rsidR="00243142" w:rsidRPr="00ED3D25" w:rsidRDefault="00243142" w:rsidP="00243142">
          <w:pPr>
            <w:tabs>
              <w:tab w:val="left" w:pos="2268"/>
            </w:tabs>
            <w:spacing w:after="0"/>
            <w:jc w:val="center"/>
            <w:rPr>
              <w:lang w:val="lt-LT"/>
            </w:rPr>
          </w:pPr>
        </w:p>
        <w:p w:rsidR="00243142" w:rsidRPr="00ED3D25" w:rsidRDefault="00243142" w:rsidP="00243142">
          <w:pPr>
            <w:tabs>
              <w:tab w:val="left" w:pos="2268"/>
            </w:tabs>
            <w:spacing w:after="0"/>
            <w:jc w:val="center"/>
            <w:rPr>
              <w:lang w:val="lt-LT"/>
            </w:rPr>
          </w:pPr>
        </w:p>
        <w:p w:rsidR="00243142" w:rsidRPr="00ED3D25" w:rsidRDefault="00243142" w:rsidP="00243142">
          <w:pPr>
            <w:tabs>
              <w:tab w:val="left" w:pos="2268"/>
            </w:tabs>
            <w:spacing w:after="0"/>
            <w:jc w:val="center"/>
            <w:rPr>
              <w:lang w:val="lt-LT"/>
            </w:rPr>
          </w:pPr>
        </w:p>
        <w:p w:rsidR="00243142" w:rsidRPr="00ED3D25" w:rsidRDefault="002A3D2C" w:rsidP="008F3BEB">
          <w:pPr>
            <w:tabs>
              <w:tab w:val="left" w:pos="2268"/>
            </w:tabs>
            <w:spacing w:after="0"/>
            <w:ind w:firstLine="2552"/>
            <w:rPr>
              <w:lang w:val="lt-LT"/>
            </w:rPr>
          </w:pPr>
          <w:r w:rsidRPr="00ED3D25">
            <w:rPr>
              <w:b/>
              <w:lang w:val="lt-LT"/>
            </w:rPr>
            <w:t>Vadovė</w:t>
          </w:r>
          <w:r w:rsidR="00243142" w:rsidRPr="00ED3D25">
            <w:rPr>
              <w:b/>
              <w:lang w:val="lt-LT"/>
            </w:rPr>
            <w:t xml:space="preserve"> </w:t>
          </w:r>
          <w:r w:rsidRPr="00ED3D25">
            <w:rPr>
              <w:b/>
              <w:lang w:val="lt-LT"/>
            </w:rPr>
            <w:t xml:space="preserve">   </w:t>
          </w:r>
          <w:r w:rsidRPr="00ED3D25">
            <w:rPr>
              <w:bCs/>
              <w:lang w:val="lt-LT"/>
            </w:rPr>
            <w:t>Prof. dr. Kristina Levišauskaitė</w:t>
          </w:r>
          <w:r w:rsidR="00243142" w:rsidRPr="00ED3D25">
            <w:rPr>
              <w:lang w:val="lt-LT"/>
            </w:rPr>
            <w:t xml:space="preserve">  </w:t>
          </w:r>
          <w:r w:rsidR="008F3BEB" w:rsidRPr="00ED3D25">
            <w:rPr>
              <w:lang w:val="lt-LT"/>
            </w:rPr>
            <w:t xml:space="preserve"> </w:t>
          </w:r>
          <w:r w:rsidR="00243142" w:rsidRPr="00ED3D25">
            <w:rPr>
              <w:lang w:val="lt-LT"/>
            </w:rPr>
            <w:t>__________  __________</w:t>
          </w:r>
        </w:p>
        <w:p w:rsidR="00243142" w:rsidRPr="00ED3D25" w:rsidRDefault="008F3BEB" w:rsidP="008F3BEB">
          <w:pPr>
            <w:tabs>
              <w:tab w:val="left" w:pos="2268"/>
            </w:tabs>
            <w:spacing w:after="0"/>
            <w:ind w:firstLine="2552"/>
            <w:rPr>
              <w:sz w:val="20"/>
              <w:szCs w:val="20"/>
              <w:lang w:val="lt-LT"/>
            </w:rPr>
          </w:pPr>
          <w:r w:rsidRPr="00ED3D25">
            <w:rPr>
              <w:sz w:val="20"/>
              <w:szCs w:val="20"/>
              <w:lang w:val="lt-LT"/>
            </w:rPr>
            <w:t xml:space="preserve">                      </w:t>
          </w:r>
          <w:r w:rsidR="00243142" w:rsidRPr="00ED3D25">
            <w:rPr>
              <w:sz w:val="20"/>
              <w:szCs w:val="20"/>
              <w:lang w:val="lt-LT"/>
            </w:rPr>
            <w:t>(Moksl. laipsnis, vardas, pavardė)             (Parašas)             (Data)</w:t>
          </w:r>
        </w:p>
        <w:p w:rsidR="00243142" w:rsidRPr="00ED3D25" w:rsidRDefault="00243142" w:rsidP="008F3BEB">
          <w:pPr>
            <w:tabs>
              <w:tab w:val="left" w:pos="2268"/>
            </w:tabs>
            <w:spacing w:after="0"/>
            <w:ind w:firstLine="2552"/>
            <w:rPr>
              <w:b/>
              <w:lang w:val="lt-LT"/>
            </w:rPr>
          </w:pPr>
          <w:r w:rsidRPr="00ED3D25">
            <w:rPr>
              <w:b/>
              <w:lang w:val="lt-LT"/>
            </w:rPr>
            <w:t xml:space="preserve">Apginta   </w:t>
          </w:r>
          <w:r w:rsidR="008F3BEB" w:rsidRPr="00ED3D25">
            <w:rPr>
              <w:bCs/>
              <w:lang w:val="lt-LT"/>
            </w:rPr>
            <w:t xml:space="preserve">Prof. habil. dr. Pranas Žukauskas </w:t>
          </w:r>
          <w:r w:rsidRPr="00ED3D25">
            <w:rPr>
              <w:lang w:val="lt-LT"/>
            </w:rPr>
            <w:t>__________  __________</w:t>
          </w:r>
        </w:p>
        <w:p w:rsidR="00243142" w:rsidRPr="00ED3D25" w:rsidRDefault="00243142" w:rsidP="008F3BEB">
          <w:pPr>
            <w:tabs>
              <w:tab w:val="left" w:pos="2268"/>
            </w:tabs>
            <w:spacing w:after="0"/>
            <w:ind w:firstLine="2552"/>
            <w:rPr>
              <w:sz w:val="20"/>
              <w:szCs w:val="20"/>
              <w:lang w:val="lt-LT"/>
            </w:rPr>
          </w:pPr>
          <w:r w:rsidRPr="00ED3D25">
            <w:rPr>
              <w:sz w:val="20"/>
              <w:szCs w:val="20"/>
              <w:lang w:val="lt-LT"/>
            </w:rPr>
            <w:t xml:space="preserve">               </w:t>
          </w:r>
          <w:r w:rsidR="008F3BEB" w:rsidRPr="00ED3D25">
            <w:rPr>
              <w:sz w:val="20"/>
              <w:szCs w:val="20"/>
              <w:lang w:val="lt-LT"/>
            </w:rPr>
            <w:t xml:space="preserve">                       </w:t>
          </w:r>
          <w:r w:rsidRPr="00ED3D25">
            <w:rPr>
              <w:sz w:val="20"/>
              <w:szCs w:val="20"/>
              <w:lang w:val="lt-LT"/>
            </w:rPr>
            <w:t xml:space="preserve">   (Fakulteto dekanas)                 (Parašas)             (Data)</w:t>
          </w:r>
        </w:p>
        <w:p w:rsidR="00243142" w:rsidRPr="00ED3D25" w:rsidRDefault="00243142" w:rsidP="00243142">
          <w:pPr>
            <w:tabs>
              <w:tab w:val="left" w:pos="2268"/>
            </w:tabs>
            <w:spacing w:after="0"/>
            <w:rPr>
              <w:b/>
              <w:lang w:val="lt-LT"/>
            </w:rPr>
          </w:pPr>
        </w:p>
        <w:p w:rsidR="00243142" w:rsidRPr="00ED3D25" w:rsidRDefault="00243142" w:rsidP="00243142">
          <w:pPr>
            <w:tabs>
              <w:tab w:val="left" w:pos="2268"/>
            </w:tabs>
            <w:spacing w:after="0"/>
            <w:jc w:val="center"/>
            <w:rPr>
              <w:lang w:val="lt-LT"/>
            </w:rPr>
          </w:pPr>
        </w:p>
        <w:p w:rsidR="00243142" w:rsidRPr="00ED3D25" w:rsidRDefault="00243142" w:rsidP="00243142">
          <w:pPr>
            <w:tabs>
              <w:tab w:val="left" w:pos="2268"/>
            </w:tabs>
            <w:spacing w:after="0"/>
            <w:jc w:val="center"/>
            <w:rPr>
              <w:lang w:val="lt-LT"/>
            </w:rPr>
          </w:pPr>
        </w:p>
        <w:p w:rsidR="00E46965" w:rsidRPr="004D0E7D" w:rsidRDefault="00243142" w:rsidP="004D0E7D">
          <w:pPr>
            <w:tabs>
              <w:tab w:val="left" w:pos="2268"/>
            </w:tabs>
            <w:spacing w:after="0"/>
            <w:jc w:val="center"/>
            <w:rPr>
              <w:lang w:val="lt-LT"/>
            </w:rPr>
          </w:pPr>
          <w:r w:rsidRPr="00ED3D25">
            <w:rPr>
              <w:lang w:val="lt-LT"/>
            </w:rPr>
            <w:t>Kaunas, 2015</w:t>
          </w:r>
        </w:p>
      </w:sdtContent>
    </w:sdt>
    <w:sdt>
      <w:sdtPr>
        <w:rPr>
          <w:rFonts w:asciiTheme="majorBidi" w:eastAsiaTheme="minorHAnsi" w:hAnsiTheme="majorBidi" w:cstheme="minorBidi"/>
          <w:b w:val="0"/>
          <w:bCs w:val="0"/>
          <w:color w:val="auto"/>
          <w:sz w:val="24"/>
          <w:szCs w:val="24"/>
          <w:lang w:val="lt-LT"/>
        </w:rPr>
        <w:id w:val="16897066"/>
        <w:docPartObj>
          <w:docPartGallery w:val="Table of Contents"/>
          <w:docPartUnique/>
        </w:docPartObj>
      </w:sdtPr>
      <w:sdtEndPr>
        <w:rPr>
          <w:rFonts w:eastAsiaTheme="minorEastAsia" w:cs="Times New Roman"/>
        </w:rPr>
      </w:sdtEndPr>
      <w:sdtContent>
        <w:bookmarkStart w:id="0" w:name="_Toc419116468" w:displacedByCustomXml="prev"/>
        <w:bookmarkStart w:id="1" w:name="_Toc419534690" w:displacedByCustomXml="prev"/>
        <w:p w:rsidR="004D0E7D" w:rsidRDefault="00EF7A24" w:rsidP="009C6FB5">
          <w:pPr>
            <w:pStyle w:val="TOCHeading"/>
            <w:jc w:val="center"/>
            <w:outlineLvl w:val="1"/>
            <w:rPr>
              <w:rFonts w:ascii="Times New Roman" w:hAnsi="Times New Roman" w:cs="Times New Roman"/>
              <w:color w:val="auto"/>
            </w:rPr>
          </w:pPr>
          <w:r>
            <w:rPr>
              <w:rFonts w:ascii="Times New Roman" w:hAnsi="Times New Roman" w:cs="Times New Roman"/>
              <w:color w:val="auto"/>
            </w:rPr>
            <w:t>TURINYS</w:t>
          </w:r>
          <w:bookmarkEnd w:id="1"/>
          <w:bookmarkEnd w:id="0"/>
        </w:p>
        <w:p w:rsidR="004B21BF" w:rsidRDefault="000F6854" w:rsidP="00DF1DD0">
          <w:pPr>
            <w:pStyle w:val="TOC2"/>
            <w:tabs>
              <w:tab w:val="right" w:leader="dot" w:pos="9628"/>
            </w:tabs>
            <w:rPr>
              <w:rFonts w:asciiTheme="minorHAnsi" w:hAnsiTheme="minorHAnsi" w:cstheme="minorBidi"/>
              <w:noProof/>
              <w:sz w:val="22"/>
              <w:lang w:val="es-ES" w:eastAsia="es-ES"/>
            </w:rPr>
          </w:pPr>
          <w:r w:rsidRPr="00ED3D25">
            <w:rPr>
              <w:rFonts w:asciiTheme="majorBidi" w:eastAsiaTheme="majorEastAsia" w:hAnsiTheme="majorBidi"/>
              <w:b/>
              <w:bCs/>
              <w:color w:val="365F91" w:themeColor="accent1" w:themeShade="BF"/>
              <w:sz w:val="28"/>
              <w:szCs w:val="24"/>
              <w:lang w:val="en-US"/>
            </w:rPr>
            <w:fldChar w:fldCharType="begin"/>
          </w:r>
          <w:r w:rsidR="00102C99" w:rsidRPr="00ED3D25">
            <w:rPr>
              <w:rFonts w:asciiTheme="majorBidi" w:hAnsiTheme="majorBidi"/>
              <w:szCs w:val="24"/>
            </w:rPr>
            <w:instrText xml:space="preserve"> TOC \o "1-3" \h \z \u </w:instrText>
          </w:r>
          <w:r w:rsidRPr="00ED3D25">
            <w:rPr>
              <w:rFonts w:asciiTheme="majorBidi" w:eastAsiaTheme="majorEastAsia" w:hAnsiTheme="majorBidi"/>
              <w:b/>
              <w:bCs/>
              <w:color w:val="365F91" w:themeColor="accent1" w:themeShade="BF"/>
              <w:sz w:val="28"/>
              <w:szCs w:val="24"/>
              <w:lang w:val="en-US"/>
            </w:rPr>
            <w:fldChar w:fldCharType="separate"/>
          </w:r>
        </w:p>
        <w:p w:rsidR="004B21BF" w:rsidRDefault="00307ABF" w:rsidP="002C05E2">
          <w:pPr>
            <w:pStyle w:val="TOC2"/>
            <w:tabs>
              <w:tab w:val="right" w:leader="dot" w:pos="9628"/>
            </w:tabs>
            <w:ind w:left="0"/>
            <w:rPr>
              <w:rFonts w:asciiTheme="minorHAnsi" w:hAnsiTheme="minorHAnsi" w:cstheme="minorBidi"/>
              <w:noProof/>
              <w:sz w:val="22"/>
              <w:lang w:val="es-ES" w:eastAsia="es-ES"/>
            </w:rPr>
          </w:pPr>
          <w:hyperlink w:anchor="_Toc419534691" w:history="1">
            <w:r w:rsidR="004B21BF" w:rsidRPr="00165B88">
              <w:rPr>
                <w:rStyle w:val="Hyperlink"/>
                <w:noProof/>
              </w:rPr>
              <w:t>Abstract</w:t>
            </w:r>
            <w:r w:rsidR="004B21BF">
              <w:rPr>
                <w:noProof/>
                <w:webHidden/>
              </w:rPr>
              <w:tab/>
            </w:r>
            <w:r w:rsidR="004B21BF">
              <w:rPr>
                <w:noProof/>
                <w:webHidden/>
              </w:rPr>
              <w:fldChar w:fldCharType="begin"/>
            </w:r>
            <w:r w:rsidR="004B21BF">
              <w:rPr>
                <w:noProof/>
                <w:webHidden/>
              </w:rPr>
              <w:instrText xml:space="preserve"> PAGEREF _Toc419534691 \h </w:instrText>
            </w:r>
            <w:r w:rsidR="004B21BF">
              <w:rPr>
                <w:noProof/>
                <w:webHidden/>
              </w:rPr>
            </w:r>
            <w:r w:rsidR="004B21BF">
              <w:rPr>
                <w:noProof/>
                <w:webHidden/>
              </w:rPr>
              <w:fldChar w:fldCharType="separate"/>
            </w:r>
            <w:r w:rsidR="00AB5280">
              <w:rPr>
                <w:noProof/>
                <w:webHidden/>
              </w:rPr>
              <w:t>3</w:t>
            </w:r>
            <w:r w:rsidR="004B21BF">
              <w:rPr>
                <w:noProof/>
                <w:webHidden/>
              </w:rPr>
              <w:fldChar w:fldCharType="end"/>
            </w:r>
          </w:hyperlink>
        </w:p>
        <w:p w:rsidR="004B21BF" w:rsidRDefault="00307ABF">
          <w:pPr>
            <w:pStyle w:val="TOC1"/>
            <w:rPr>
              <w:rFonts w:asciiTheme="minorHAnsi" w:hAnsiTheme="minorHAnsi" w:cstheme="minorBidi"/>
              <w:caps w:val="0"/>
              <w:sz w:val="22"/>
              <w:lang w:val="es-ES" w:eastAsia="es-ES"/>
            </w:rPr>
          </w:pPr>
          <w:hyperlink w:anchor="_Toc419534692" w:history="1">
            <w:r w:rsidR="004B21BF" w:rsidRPr="00165B88">
              <w:rPr>
                <w:rStyle w:val="Hyperlink"/>
              </w:rPr>
              <w:t>ĮVADAS</w:t>
            </w:r>
            <w:r w:rsidR="004B21BF">
              <w:rPr>
                <w:webHidden/>
              </w:rPr>
              <w:tab/>
            </w:r>
            <w:r w:rsidR="004B21BF">
              <w:rPr>
                <w:webHidden/>
              </w:rPr>
              <w:fldChar w:fldCharType="begin"/>
            </w:r>
            <w:r w:rsidR="004B21BF">
              <w:rPr>
                <w:webHidden/>
              </w:rPr>
              <w:instrText xml:space="preserve"> PAGEREF _Toc419534692 \h </w:instrText>
            </w:r>
            <w:r w:rsidR="004B21BF">
              <w:rPr>
                <w:webHidden/>
              </w:rPr>
            </w:r>
            <w:r w:rsidR="004B21BF">
              <w:rPr>
                <w:webHidden/>
              </w:rPr>
              <w:fldChar w:fldCharType="separate"/>
            </w:r>
            <w:r w:rsidR="00AB5280">
              <w:rPr>
                <w:webHidden/>
              </w:rPr>
              <w:t>4</w:t>
            </w:r>
            <w:r w:rsidR="004B21BF">
              <w:rPr>
                <w:webHidden/>
              </w:rPr>
              <w:fldChar w:fldCharType="end"/>
            </w:r>
          </w:hyperlink>
        </w:p>
        <w:p w:rsidR="004B21BF" w:rsidRDefault="00307ABF">
          <w:pPr>
            <w:pStyle w:val="TOC1"/>
            <w:rPr>
              <w:rFonts w:asciiTheme="minorHAnsi" w:hAnsiTheme="minorHAnsi" w:cstheme="minorBidi"/>
              <w:caps w:val="0"/>
              <w:sz w:val="22"/>
              <w:lang w:val="es-ES" w:eastAsia="es-ES"/>
            </w:rPr>
          </w:pPr>
          <w:hyperlink w:anchor="_Toc419534693" w:history="1">
            <w:r w:rsidR="004B21BF" w:rsidRPr="00165B88">
              <w:rPr>
                <w:rStyle w:val="Hyperlink"/>
              </w:rPr>
              <w:t>1.</w:t>
            </w:r>
            <w:r w:rsidR="004B21BF">
              <w:rPr>
                <w:rFonts w:asciiTheme="minorHAnsi" w:hAnsiTheme="minorHAnsi" w:cstheme="minorBidi"/>
                <w:caps w:val="0"/>
                <w:sz w:val="22"/>
                <w:lang w:val="es-ES" w:eastAsia="es-ES"/>
              </w:rPr>
              <w:tab/>
            </w:r>
            <w:r w:rsidR="004B21BF" w:rsidRPr="00165B88">
              <w:rPr>
                <w:rStyle w:val="Hyperlink"/>
              </w:rPr>
              <w:t>ES finansinės paramos esmė ir aktualumas SVV</w:t>
            </w:r>
            <w:r w:rsidR="004B21BF">
              <w:rPr>
                <w:webHidden/>
              </w:rPr>
              <w:tab/>
            </w:r>
            <w:r w:rsidR="004B21BF">
              <w:rPr>
                <w:webHidden/>
              </w:rPr>
              <w:fldChar w:fldCharType="begin"/>
            </w:r>
            <w:r w:rsidR="004B21BF">
              <w:rPr>
                <w:webHidden/>
              </w:rPr>
              <w:instrText xml:space="preserve"> PAGEREF _Toc419534693 \h </w:instrText>
            </w:r>
            <w:r w:rsidR="004B21BF">
              <w:rPr>
                <w:webHidden/>
              </w:rPr>
            </w:r>
            <w:r w:rsidR="004B21BF">
              <w:rPr>
                <w:webHidden/>
              </w:rPr>
              <w:fldChar w:fldCharType="separate"/>
            </w:r>
            <w:r w:rsidR="00AB5280">
              <w:rPr>
                <w:webHidden/>
              </w:rPr>
              <w:t>6</w:t>
            </w:r>
            <w:r w:rsidR="004B21BF">
              <w:rPr>
                <w:webHidden/>
              </w:rPr>
              <w:fldChar w:fldCharType="end"/>
            </w:r>
          </w:hyperlink>
        </w:p>
        <w:p w:rsidR="004B21BF" w:rsidRDefault="00307ABF">
          <w:pPr>
            <w:pStyle w:val="TOC2"/>
            <w:tabs>
              <w:tab w:val="left" w:pos="880"/>
              <w:tab w:val="right" w:leader="dot" w:pos="9628"/>
            </w:tabs>
            <w:rPr>
              <w:rFonts w:asciiTheme="minorHAnsi" w:hAnsiTheme="minorHAnsi" w:cstheme="minorBidi"/>
              <w:noProof/>
              <w:sz w:val="22"/>
              <w:lang w:val="es-ES" w:eastAsia="es-ES"/>
            </w:rPr>
          </w:pPr>
          <w:hyperlink w:anchor="_Toc419534694" w:history="1">
            <w:r w:rsidR="004B21BF" w:rsidRPr="00165B88">
              <w:rPr>
                <w:rStyle w:val="Hyperlink"/>
                <w:noProof/>
                <w:lang w:val="lt-LT"/>
              </w:rPr>
              <w:t>1.1.</w:t>
            </w:r>
            <w:r w:rsidR="004B21BF">
              <w:rPr>
                <w:rFonts w:asciiTheme="minorHAnsi" w:hAnsiTheme="minorHAnsi" w:cstheme="minorBidi"/>
                <w:noProof/>
                <w:sz w:val="22"/>
                <w:lang w:val="es-ES" w:eastAsia="es-ES"/>
              </w:rPr>
              <w:tab/>
            </w:r>
            <w:r w:rsidR="004B21BF" w:rsidRPr="00165B88">
              <w:rPr>
                <w:rStyle w:val="Hyperlink"/>
                <w:noProof/>
                <w:lang w:val="lt-LT"/>
              </w:rPr>
              <w:t>Smulkaus ir vidutinio verslo vaidmuo regionuose</w:t>
            </w:r>
            <w:r w:rsidR="004B21BF">
              <w:rPr>
                <w:noProof/>
                <w:webHidden/>
              </w:rPr>
              <w:tab/>
            </w:r>
            <w:r w:rsidR="004B21BF">
              <w:rPr>
                <w:noProof/>
                <w:webHidden/>
              </w:rPr>
              <w:fldChar w:fldCharType="begin"/>
            </w:r>
            <w:r w:rsidR="004B21BF">
              <w:rPr>
                <w:noProof/>
                <w:webHidden/>
              </w:rPr>
              <w:instrText xml:space="preserve"> PAGEREF _Toc419534694 \h </w:instrText>
            </w:r>
            <w:r w:rsidR="004B21BF">
              <w:rPr>
                <w:noProof/>
                <w:webHidden/>
              </w:rPr>
            </w:r>
            <w:r w:rsidR="004B21BF">
              <w:rPr>
                <w:noProof/>
                <w:webHidden/>
              </w:rPr>
              <w:fldChar w:fldCharType="separate"/>
            </w:r>
            <w:r w:rsidR="00AB5280">
              <w:rPr>
                <w:noProof/>
                <w:webHidden/>
              </w:rPr>
              <w:t>6</w:t>
            </w:r>
            <w:r w:rsidR="004B21BF">
              <w:rPr>
                <w:noProof/>
                <w:webHidden/>
              </w:rPr>
              <w:fldChar w:fldCharType="end"/>
            </w:r>
          </w:hyperlink>
        </w:p>
        <w:p w:rsidR="004B21BF" w:rsidRDefault="00307ABF">
          <w:pPr>
            <w:pStyle w:val="TOC2"/>
            <w:tabs>
              <w:tab w:val="left" w:pos="880"/>
              <w:tab w:val="right" w:leader="dot" w:pos="9628"/>
            </w:tabs>
            <w:rPr>
              <w:rFonts w:asciiTheme="minorHAnsi" w:hAnsiTheme="minorHAnsi" w:cstheme="minorBidi"/>
              <w:noProof/>
              <w:sz w:val="22"/>
              <w:lang w:val="es-ES" w:eastAsia="es-ES"/>
            </w:rPr>
          </w:pPr>
          <w:hyperlink w:anchor="_Toc419534695" w:history="1">
            <w:r w:rsidR="004B21BF" w:rsidRPr="00165B88">
              <w:rPr>
                <w:rStyle w:val="Hyperlink"/>
                <w:noProof/>
                <w:lang w:val="lt-LT"/>
              </w:rPr>
              <w:t>1.2.</w:t>
            </w:r>
            <w:r w:rsidR="004B21BF">
              <w:rPr>
                <w:rFonts w:asciiTheme="minorHAnsi" w:hAnsiTheme="minorHAnsi" w:cstheme="minorBidi"/>
                <w:noProof/>
                <w:sz w:val="22"/>
                <w:lang w:val="es-ES" w:eastAsia="es-ES"/>
              </w:rPr>
              <w:tab/>
            </w:r>
            <w:r w:rsidR="004B21BF" w:rsidRPr="00165B88">
              <w:rPr>
                <w:rStyle w:val="Hyperlink"/>
                <w:noProof/>
                <w:lang w:val="lt-LT"/>
              </w:rPr>
              <w:t>Smulkaus ir vidutinio verslo finansavimo šaltiniai ir priemonės</w:t>
            </w:r>
            <w:r w:rsidR="004B21BF">
              <w:rPr>
                <w:noProof/>
                <w:webHidden/>
              </w:rPr>
              <w:tab/>
            </w:r>
            <w:r w:rsidR="004B21BF">
              <w:rPr>
                <w:noProof/>
                <w:webHidden/>
              </w:rPr>
              <w:fldChar w:fldCharType="begin"/>
            </w:r>
            <w:r w:rsidR="004B21BF">
              <w:rPr>
                <w:noProof/>
                <w:webHidden/>
              </w:rPr>
              <w:instrText xml:space="preserve"> PAGEREF _Toc419534695 \h </w:instrText>
            </w:r>
            <w:r w:rsidR="004B21BF">
              <w:rPr>
                <w:noProof/>
                <w:webHidden/>
              </w:rPr>
            </w:r>
            <w:r w:rsidR="004B21BF">
              <w:rPr>
                <w:noProof/>
                <w:webHidden/>
              </w:rPr>
              <w:fldChar w:fldCharType="separate"/>
            </w:r>
            <w:r w:rsidR="00AB5280">
              <w:rPr>
                <w:noProof/>
                <w:webHidden/>
              </w:rPr>
              <w:t>10</w:t>
            </w:r>
            <w:r w:rsidR="004B21BF">
              <w:rPr>
                <w:noProof/>
                <w:webHidden/>
              </w:rPr>
              <w:fldChar w:fldCharType="end"/>
            </w:r>
          </w:hyperlink>
        </w:p>
        <w:p w:rsidR="004B21BF" w:rsidRDefault="00307ABF">
          <w:pPr>
            <w:pStyle w:val="TOC2"/>
            <w:tabs>
              <w:tab w:val="left" w:pos="880"/>
              <w:tab w:val="right" w:leader="dot" w:pos="9628"/>
            </w:tabs>
            <w:rPr>
              <w:rFonts w:asciiTheme="minorHAnsi" w:hAnsiTheme="minorHAnsi" w:cstheme="minorBidi"/>
              <w:noProof/>
              <w:sz w:val="22"/>
              <w:lang w:val="es-ES" w:eastAsia="es-ES"/>
            </w:rPr>
          </w:pPr>
          <w:hyperlink w:anchor="_Toc419534696" w:history="1">
            <w:r w:rsidR="004B21BF" w:rsidRPr="00165B88">
              <w:rPr>
                <w:rStyle w:val="Hyperlink"/>
                <w:noProof/>
                <w:lang w:val="lt-LT"/>
              </w:rPr>
              <w:t>1.3.</w:t>
            </w:r>
            <w:r w:rsidR="004B21BF">
              <w:rPr>
                <w:rFonts w:asciiTheme="minorHAnsi" w:hAnsiTheme="minorHAnsi" w:cstheme="minorBidi"/>
                <w:noProof/>
                <w:sz w:val="22"/>
                <w:lang w:val="es-ES" w:eastAsia="es-ES"/>
              </w:rPr>
              <w:tab/>
            </w:r>
            <w:r w:rsidR="004B21BF" w:rsidRPr="00165B88">
              <w:rPr>
                <w:rStyle w:val="Hyperlink"/>
                <w:noProof/>
                <w:lang w:val="lt-LT"/>
              </w:rPr>
              <w:t>ES finansinės  paramos SVV tikslai ir tipai</w:t>
            </w:r>
            <w:r w:rsidR="004B21BF">
              <w:rPr>
                <w:noProof/>
                <w:webHidden/>
              </w:rPr>
              <w:tab/>
            </w:r>
            <w:r w:rsidR="004B21BF">
              <w:rPr>
                <w:noProof/>
                <w:webHidden/>
              </w:rPr>
              <w:fldChar w:fldCharType="begin"/>
            </w:r>
            <w:r w:rsidR="004B21BF">
              <w:rPr>
                <w:noProof/>
                <w:webHidden/>
              </w:rPr>
              <w:instrText xml:space="preserve"> PAGEREF _Toc419534696 \h </w:instrText>
            </w:r>
            <w:r w:rsidR="004B21BF">
              <w:rPr>
                <w:noProof/>
                <w:webHidden/>
              </w:rPr>
            </w:r>
            <w:r w:rsidR="004B21BF">
              <w:rPr>
                <w:noProof/>
                <w:webHidden/>
              </w:rPr>
              <w:fldChar w:fldCharType="separate"/>
            </w:r>
            <w:r w:rsidR="00AB5280">
              <w:rPr>
                <w:noProof/>
                <w:webHidden/>
              </w:rPr>
              <w:t>13</w:t>
            </w:r>
            <w:r w:rsidR="004B21BF">
              <w:rPr>
                <w:noProof/>
                <w:webHidden/>
              </w:rPr>
              <w:fldChar w:fldCharType="end"/>
            </w:r>
          </w:hyperlink>
        </w:p>
        <w:p w:rsidR="004B21BF" w:rsidRDefault="00307ABF">
          <w:pPr>
            <w:pStyle w:val="TOC2"/>
            <w:tabs>
              <w:tab w:val="left" w:pos="880"/>
              <w:tab w:val="right" w:leader="dot" w:pos="9628"/>
            </w:tabs>
            <w:rPr>
              <w:rFonts w:asciiTheme="minorHAnsi" w:hAnsiTheme="minorHAnsi" w:cstheme="minorBidi"/>
              <w:noProof/>
              <w:sz w:val="22"/>
              <w:lang w:val="es-ES" w:eastAsia="es-ES"/>
            </w:rPr>
          </w:pPr>
          <w:hyperlink w:anchor="_Toc419534697" w:history="1">
            <w:r w:rsidR="004B21BF" w:rsidRPr="00165B88">
              <w:rPr>
                <w:rStyle w:val="Hyperlink"/>
                <w:noProof/>
                <w:lang w:val="lt-LT"/>
              </w:rPr>
              <w:t>1.4.</w:t>
            </w:r>
            <w:r w:rsidR="004B21BF">
              <w:rPr>
                <w:rFonts w:asciiTheme="minorHAnsi" w:hAnsiTheme="minorHAnsi" w:cstheme="minorBidi"/>
                <w:noProof/>
                <w:sz w:val="22"/>
                <w:lang w:val="es-ES" w:eastAsia="es-ES"/>
              </w:rPr>
              <w:tab/>
            </w:r>
            <w:r w:rsidR="004B21BF" w:rsidRPr="00165B88">
              <w:rPr>
                <w:rStyle w:val="Hyperlink"/>
                <w:noProof/>
                <w:lang w:val="lt-LT"/>
              </w:rPr>
              <w:t>Finansinės paramos SVV efektyvumo vertinimas</w:t>
            </w:r>
            <w:r w:rsidR="004B21BF">
              <w:rPr>
                <w:noProof/>
                <w:webHidden/>
              </w:rPr>
              <w:tab/>
            </w:r>
            <w:r w:rsidR="004B21BF">
              <w:rPr>
                <w:noProof/>
                <w:webHidden/>
              </w:rPr>
              <w:fldChar w:fldCharType="begin"/>
            </w:r>
            <w:r w:rsidR="004B21BF">
              <w:rPr>
                <w:noProof/>
                <w:webHidden/>
              </w:rPr>
              <w:instrText xml:space="preserve"> PAGEREF _Toc419534697 \h </w:instrText>
            </w:r>
            <w:r w:rsidR="004B21BF">
              <w:rPr>
                <w:noProof/>
                <w:webHidden/>
              </w:rPr>
            </w:r>
            <w:r w:rsidR="004B21BF">
              <w:rPr>
                <w:noProof/>
                <w:webHidden/>
              </w:rPr>
              <w:fldChar w:fldCharType="separate"/>
            </w:r>
            <w:r w:rsidR="00AB5280">
              <w:rPr>
                <w:noProof/>
                <w:webHidden/>
              </w:rPr>
              <w:t>16</w:t>
            </w:r>
            <w:r w:rsidR="004B21BF">
              <w:rPr>
                <w:noProof/>
                <w:webHidden/>
              </w:rPr>
              <w:fldChar w:fldCharType="end"/>
            </w:r>
          </w:hyperlink>
        </w:p>
        <w:p w:rsidR="004B21BF" w:rsidRDefault="00307ABF">
          <w:pPr>
            <w:pStyle w:val="TOC1"/>
            <w:rPr>
              <w:rFonts w:asciiTheme="minorHAnsi" w:hAnsiTheme="minorHAnsi" w:cstheme="minorBidi"/>
              <w:caps w:val="0"/>
              <w:sz w:val="22"/>
              <w:lang w:val="es-ES" w:eastAsia="es-ES"/>
            </w:rPr>
          </w:pPr>
          <w:hyperlink w:anchor="_Toc419534698" w:history="1">
            <w:r w:rsidR="004B21BF" w:rsidRPr="00165B88">
              <w:rPr>
                <w:rStyle w:val="Hyperlink"/>
              </w:rPr>
              <w:t>2.</w:t>
            </w:r>
            <w:r w:rsidR="004B21BF">
              <w:rPr>
                <w:rFonts w:asciiTheme="minorHAnsi" w:hAnsiTheme="minorHAnsi" w:cstheme="minorBidi"/>
                <w:caps w:val="0"/>
                <w:sz w:val="22"/>
                <w:lang w:val="es-ES" w:eastAsia="es-ES"/>
              </w:rPr>
              <w:tab/>
            </w:r>
            <w:r w:rsidR="004B21BF" w:rsidRPr="00165B88">
              <w:rPr>
                <w:rStyle w:val="Hyperlink"/>
              </w:rPr>
              <w:t>ES finansinės paramos SVV efektyvumo analizė</w:t>
            </w:r>
            <w:r w:rsidR="004B21BF">
              <w:rPr>
                <w:webHidden/>
              </w:rPr>
              <w:tab/>
            </w:r>
            <w:r w:rsidR="004B21BF">
              <w:rPr>
                <w:webHidden/>
              </w:rPr>
              <w:fldChar w:fldCharType="begin"/>
            </w:r>
            <w:r w:rsidR="004B21BF">
              <w:rPr>
                <w:webHidden/>
              </w:rPr>
              <w:instrText xml:space="preserve"> PAGEREF _Toc419534698 \h </w:instrText>
            </w:r>
            <w:r w:rsidR="004B21BF">
              <w:rPr>
                <w:webHidden/>
              </w:rPr>
            </w:r>
            <w:r w:rsidR="004B21BF">
              <w:rPr>
                <w:webHidden/>
              </w:rPr>
              <w:fldChar w:fldCharType="separate"/>
            </w:r>
            <w:r w:rsidR="00AB5280">
              <w:rPr>
                <w:webHidden/>
              </w:rPr>
              <w:t>21</w:t>
            </w:r>
            <w:r w:rsidR="004B21BF">
              <w:rPr>
                <w:webHidden/>
              </w:rPr>
              <w:fldChar w:fldCharType="end"/>
            </w:r>
          </w:hyperlink>
        </w:p>
        <w:p w:rsidR="004B21BF" w:rsidRDefault="00307ABF">
          <w:pPr>
            <w:pStyle w:val="TOC2"/>
            <w:tabs>
              <w:tab w:val="left" w:pos="880"/>
              <w:tab w:val="right" w:leader="dot" w:pos="9628"/>
            </w:tabs>
            <w:rPr>
              <w:rFonts w:asciiTheme="minorHAnsi" w:hAnsiTheme="minorHAnsi" w:cstheme="minorBidi"/>
              <w:noProof/>
              <w:sz w:val="22"/>
              <w:lang w:val="es-ES" w:eastAsia="es-ES"/>
            </w:rPr>
          </w:pPr>
          <w:hyperlink w:anchor="_Toc419534699" w:history="1">
            <w:r w:rsidR="004B21BF" w:rsidRPr="00165B88">
              <w:rPr>
                <w:rStyle w:val="Hyperlink"/>
                <w:noProof/>
                <w:lang w:val="lt-LT"/>
              </w:rPr>
              <w:t>2.1.</w:t>
            </w:r>
            <w:r w:rsidR="004B21BF">
              <w:rPr>
                <w:rFonts w:asciiTheme="minorHAnsi" w:hAnsiTheme="minorHAnsi" w:cstheme="minorBidi"/>
                <w:noProof/>
                <w:sz w:val="22"/>
                <w:lang w:val="es-ES" w:eastAsia="es-ES"/>
              </w:rPr>
              <w:tab/>
            </w:r>
            <w:r w:rsidR="004B21BF" w:rsidRPr="00165B88">
              <w:rPr>
                <w:rStyle w:val="Hyperlink"/>
                <w:noProof/>
                <w:lang w:val="lt-LT"/>
              </w:rPr>
              <w:t>ES finansinės paramos SVV efektyvumo Lietuvoje vertinimo anketinė apklausa ir jos rezultatai</w:t>
            </w:r>
            <w:r w:rsidR="004B21BF">
              <w:rPr>
                <w:noProof/>
                <w:webHidden/>
              </w:rPr>
              <w:tab/>
            </w:r>
            <w:r w:rsidR="004B21BF">
              <w:rPr>
                <w:noProof/>
                <w:webHidden/>
              </w:rPr>
              <w:fldChar w:fldCharType="begin"/>
            </w:r>
            <w:r w:rsidR="004B21BF">
              <w:rPr>
                <w:noProof/>
                <w:webHidden/>
              </w:rPr>
              <w:instrText xml:space="preserve"> PAGEREF _Toc419534699 \h </w:instrText>
            </w:r>
            <w:r w:rsidR="004B21BF">
              <w:rPr>
                <w:noProof/>
                <w:webHidden/>
              </w:rPr>
            </w:r>
            <w:r w:rsidR="004B21BF">
              <w:rPr>
                <w:noProof/>
                <w:webHidden/>
              </w:rPr>
              <w:fldChar w:fldCharType="separate"/>
            </w:r>
            <w:r w:rsidR="00AB5280">
              <w:rPr>
                <w:noProof/>
                <w:webHidden/>
              </w:rPr>
              <w:t>22</w:t>
            </w:r>
            <w:r w:rsidR="004B21BF">
              <w:rPr>
                <w:noProof/>
                <w:webHidden/>
              </w:rPr>
              <w:fldChar w:fldCharType="end"/>
            </w:r>
          </w:hyperlink>
        </w:p>
        <w:p w:rsidR="004B21BF" w:rsidRDefault="00307ABF">
          <w:pPr>
            <w:pStyle w:val="TOC2"/>
            <w:tabs>
              <w:tab w:val="left" w:pos="880"/>
              <w:tab w:val="right" w:leader="dot" w:pos="9628"/>
            </w:tabs>
            <w:rPr>
              <w:rFonts w:asciiTheme="minorHAnsi" w:hAnsiTheme="minorHAnsi" w:cstheme="minorBidi"/>
              <w:noProof/>
              <w:sz w:val="22"/>
              <w:lang w:val="es-ES" w:eastAsia="es-ES"/>
            </w:rPr>
          </w:pPr>
          <w:hyperlink w:anchor="_Toc419534700" w:history="1">
            <w:r w:rsidR="004B21BF" w:rsidRPr="00165B88">
              <w:rPr>
                <w:rStyle w:val="Hyperlink"/>
                <w:noProof/>
                <w:lang w:val="lt-LT"/>
              </w:rPr>
              <w:t>2.2.</w:t>
            </w:r>
            <w:r w:rsidR="004B21BF">
              <w:rPr>
                <w:rFonts w:asciiTheme="minorHAnsi" w:hAnsiTheme="minorHAnsi" w:cstheme="minorBidi"/>
                <w:noProof/>
                <w:sz w:val="22"/>
                <w:lang w:val="es-ES" w:eastAsia="es-ES"/>
              </w:rPr>
              <w:tab/>
            </w:r>
            <w:r w:rsidR="004B21BF" w:rsidRPr="00165B88">
              <w:rPr>
                <w:rStyle w:val="Hyperlink"/>
                <w:noProof/>
                <w:lang w:val="lt-LT"/>
              </w:rPr>
              <w:t>Panevėžio rajono įmonių gavusių ES finansinę paramą finansinės veiklos rezultatų vertinimas</w:t>
            </w:r>
            <w:r w:rsidR="004B21BF">
              <w:rPr>
                <w:noProof/>
                <w:webHidden/>
              </w:rPr>
              <w:tab/>
            </w:r>
            <w:r w:rsidR="004B21BF">
              <w:rPr>
                <w:noProof/>
                <w:webHidden/>
              </w:rPr>
              <w:fldChar w:fldCharType="begin"/>
            </w:r>
            <w:r w:rsidR="004B21BF">
              <w:rPr>
                <w:noProof/>
                <w:webHidden/>
              </w:rPr>
              <w:instrText xml:space="preserve"> PAGEREF _Toc419534700 \h </w:instrText>
            </w:r>
            <w:r w:rsidR="004B21BF">
              <w:rPr>
                <w:noProof/>
                <w:webHidden/>
              </w:rPr>
            </w:r>
            <w:r w:rsidR="004B21BF">
              <w:rPr>
                <w:noProof/>
                <w:webHidden/>
              </w:rPr>
              <w:fldChar w:fldCharType="separate"/>
            </w:r>
            <w:r w:rsidR="00AB5280">
              <w:rPr>
                <w:noProof/>
                <w:webHidden/>
              </w:rPr>
              <w:t>27</w:t>
            </w:r>
            <w:r w:rsidR="004B21BF">
              <w:rPr>
                <w:noProof/>
                <w:webHidden/>
              </w:rPr>
              <w:fldChar w:fldCharType="end"/>
            </w:r>
          </w:hyperlink>
        </w:p>
        <w:p w:rsidR="004B21BF" w:rsidRDefault="00307ABF">
          <w:pPr>
            <w:pStyle w:val="TOC2"/>
            <w:tabs>
              <w:tab w:val="left" w:pos="880"/>
              <w:tab w:val="right" w:leader="dot" w:pos="9628"/>
            </w:tabs>
            <w:rPr>
              <w:rFonts w:asciiTheme="minorHAnsi" w:hAnsiTheme="minorHAnsi" w:cstheme="minorBidi"/>
              <w:noProof/>
              <w:sz w:val="22"/>
              <w:lang w:val="es-ES" w:eastAsia="es-ES"/>
            </w:rPr>
          </w:pPr>
          <w:hyperlink w:anchor="_Toc419534701" w:history="1">
            <w:r w:rsidR="004B21BF" w:rsidRPr="00165B88">
              <w:rPr>
                <w:rStyle w:val="Hyperlink"/>
                <w:noProof/>
                <w:lang w:val="lt-LT"/>
              </w:rPr>
              <w:t>2.3.</w:t>
            </w:r>
            <w:r w:rsidR="004B21BF">
              <w:rPr>
                <w:rFonts w:asciiTheme="minorHAnsi" w:hAnsiTheme="minorHAnsi" w:cstheme="minorBidi"/>
                <w:noProof/>
                <w:sz w:val="22"/>
                <w:lang w:val="es-ES" w:eastAsia="es-ES"/>
              </w:rPr>
              <w:tab/>
            </w:r>
            <w:r w:rsidR="004B21BF" w:rsidRPr="00165B88">
              <w:rPr>
                <w:rStyle w:val="Hyperlink"/>
                <w:noProof/>
                <w:lang w:val="lt-LT"/>
              </w:rPr>
              <w:t>Įmonių A, B, C ir D, gavusių ES finansinę paramą, finansinių rodiklių palyginimas su sektoriaus rodikliais</w:t>
            </w:r>
            <w:r w:rsidR="004B21BF">
              <w:rPr>
                <w:noProof/>
                <w:webHidden/>
              </w:rPr>
              <w:tab/>
            </w:r>
            <w:r w:rsidR="004B21BF">
              <w:rPr>
                <w:noProof/>
                <w:webHidden/>
              </w:rPr>
              <w:fldChar w:fldCharType="begin"/>
            </w:r>
            <w:r w:rsidR="004B21BF">
              <w:rPr>
                <w:noProof/>
                <w:webHidden/>
              </w:rPr>
              <w:instrText xml:space="preserve"> PAGEREF _Toc419534701 \h </w:instrText>
            </w:r>
            <w:r w:rsidR="004B21BF">
              <w:rPr>
                <w:noProof/>
                <w:webHidden/>
              </w:rPr>
            </w:r>
            <w:r w:rsidR="004B21BF">
              <w:rPr>
                <w:noProof/>
                <w:webHidden/>
              </w:rPr>
              <w:fldChar w:fldCharType="separate"/>
            </w:r>
            <w:r w:rsidR="00AB5280">
              <w:rPr>
                <w:noProof/>
                <w:webHidden/>
              </w:rPr>
              <w:t>40</w:t>
            </w:r>
            <w:r w:rsidR="004B21BF">
              <w:rPr>
                <w:noProof/>
                <w:webHidden/>
              </w:rPr>
              <w:fldChar w:fldCharType="end"/>
            </w:r>
          </w:hyperlink>
        </w:p>
        <w:p w:rsidR="004B21BF" w:rsidRDefault="00307ABF">
          <w:pPr>
            <w:pStyle w:val="TOC2"/>
            <w:tabs>
              <w:tab w:val="left" w:pos="880"/>
              <w:tab w:val="right" w:leader="dot" w:pos="9628"/>
            </w:tabs>
            <w:rPr>
              <w:rFonts w:asciiTheme="minorHAnsi" w:hAnsiTheme="minorHAnsi" w:cstheme="minorBidi"/>
              <w:noProof/>
              <w:sz w:val="22"/>
              <w:lang w:val="es-ES" w:eastAsia="es-ES"/>
            </w:rPr>
          </w:pPr>
          <w:hyperlink w:anchor="_Toc419534702" w:history="1">
            <w:r w:rsidR="004B21BF" w:rsidRPr="00165B88">
              <w:rPr>
                <w:rStyle w:val="Hyperlink"/>
                <w:noProof/>
                <w:lang w:val="lt-LT"/>
              </w:rPr>
              <w:t>2.4.</w:t>
            </w:r>
            <w:r w:rsidR="004B21BF">
              <w:rPr>
                <w:rFonts w:asciiTheme="minorHAnsi" w:hAnsiTheme="minorHAnsi" w:cstheme="minorBidi"/>
                <w:noProof/>
                <w:sz w:val="22"/>
                <w:lang w:val="es-ES" w:eastAsia="es-ES"/>
              </w:rPr>
              <w:tab/>
            </w:r>
            <w:r w:rsidR="004B21BF" w:rsidRPr="00165B88">
              <w:rPr>
                <w:rStyle w:val="Hyperlink"/>
                <w:noProof/>
                <w:lang w:val="lt-LT"/>
              </w:rPr>
              <w:t>ES finansinės paramos įmonėms A, B, C ir D efektyvumo vertinimas Panevėžio rajone</w:t>
            </w:r>
            <w:r w:rsidR="004B21BF">
              <w:rPr>
                <w:noProof/>
                <w:webHidden/>
              </w:rPr>
              <w:tab/>
            </w:r>
            <w:r w:rsidR="004B21BF">
              <w:rPr>
                <w:noProof/>
                <w:webHidden/>
              </w:rPr>
              <w:fldChar w:fldCharType="begin"/>
            </w:r>
            <w:r w:rsidR="004B21BF">
              <w:rPr>
                <w:noProof/>
                <w:webHidden/>
              </w:rPr>
              <w:instrText xml:space="preserve"> PAGEREF _Toc419534702 \h </w:instrText>
            </w:r>
            <w:r w:rsidR="004B21BF">
              <w:rPr>
                <w:noProof/>
                <w:webHidden/>
              </w:rPr>
            </w:r>
            <w:r w:rsidR="004B21BF">
              <w:rPr>
                <w:noProof/>
                <w:webHidden/>
              </w:rPr>
              <w:fldChar w:fldCharType="separate"/>
            </w:r>
            <w:r w:rsidR="00AB5280">
              <w:rPr>
                <w:noProof/>
                <w:webHidden/>
              </w:rPr>
              <w:t>45</w:t>
            </w:r>
            <w:r w:rsidR="004B21BF">
              <w:rPr>
                <w:noProof/>
                <w:webHidden/>
              </w:rPr>
              <w:fldChar w:fldCharType="end"/>
            </w:r>
          </w:hyperlink>
        </w:p>
        <w:p w:rsidR="004B21BF" w:rsidRDefault="00307ABF">
          <w:pPr>
            <w:pStyle w:val="TOC1"/>
            <w:rPr>
              <w:rFonts w:asciiTheme="minorHAnsi" w:hAnsiTheme="minorHAnsi" w:cstheme="minorBidi"/>
              <w:caps w:val="0"/>
              <w:sz w:val="22"/>
              <w:lang w:val="es-ES" w:eastAsia="es-ES"/>
            </w:rPr>
          </w:pPr>
          <w:hyperlink w:anchor="_Toc419534703" w:history="1">
            <w:r w:rsidR="004B21BF" w:rsidRPr="00165B88">
              <w:rPr>
                <w:rStyle w:val="Hyperlink"/>
              </w:rPr>
              <w:t>IŠVADOS IR REKOMENDACIJOS</w:t>
            </w:r>
            <w:r w:rsidR="004B21BF">
              <w:rPr>
                <w:webHidden/>
              </w:rPr>
              <w:tab/>
            </w:r>
            <w:r w:rsidR="004B21BF">
              <w:rPr>
                <w:webHidden/>
              </w:rPr>
              <w:fldChar w:fldCharType="begin"/>
            </w:r>
            <w:r w:rsidR="004B21BF">
              <w:rPr>
                <w:webHidden/>
              </w:rPr>
              <w:instrText xml:space="preserve"> PAGEREF _Toc419534703 \h </w:instrText>
            </w:r>
            <w:r w:rsidR="004B21BF">
              <w:rPr>
                <w:webHidden/>
              </w:rPr>
            </w:r>
            <w:r w:rsidR="004B21BF">
              <w:rPr>
                <w:webHidden/>
              </w:rPr>
              <w:fldChar w:fldCharType="separate"/>
            </w:r>
            <w:r w:rsidR="00AB5280">
              <w:rPr>
                <w:webHidden/>
              </w:rPr>
              <w:t>49</w:t>
            </w:r>
            <w:r w:rsidR="004B21BF">
              <w:rPr>
                <w:webHidden/>
              </w:rPr>
              <w:fldChar w:fldCharType="end"/>
            </w:r>
          </w:hyperlink>
        </w:p>
        <w:p w:rsidR="004B21BF" w:rsidRDefault="00307ABF">
          <w:pPr>
            <w:pStyle w:val="TOC1"/>
            <w:rPr>
              <w:rFonts w:asciiTheme="minorHAnsi" w:hAnsiTheme="minorHAnsi" w:cstheme="minorBidi"/>
              <w:caps w:val="0"/>
              <w:sz w:val="22"/>
              <w:lang w:val="es-ES" w:eastAsia="es-ES"/>
            </w:rPr>
          </w:pPr>
          <w:hyperlink w:anchor="_Toc419534704" w:history="1">
            <w:r w:rsidR="004B21BF" w:rsidRPr="00165B88">
              <w:rPr>
                <w:rStyle w:val="Hyperlink"/>
              </w:rPr>
              <w:t>Literatūros sąrašas</w:t>
            </w:r>
            <w:r w:rsidR="004B21BF">
              <w:rPr>
                <w:webHidden/>
              </w:rPr>
              <w:tab/>
            </w:r>
            <w:r w:rsidR="004B21BF">
              <w:rPr>
                <w:webHidden/>
              </w:rPr>
              <w:fldChar w:fldCharType="begin"/>
            </w:r>
            <w:r w:rsidR="004B21BF">
              <w:rPr>
                <w:webHidden/>
              </w:rPr>
              <w:instrText xml:space="preserve"> PAGEREF _Toc419534704 \h </w:instrText>
            </w:r>
            <w:r w:rsidR="004B21BF">
              <w:rPr>
                <w:webHidden/>
              </w:rPr>
            </w:r>
            <w:r w:rsidR="004B21BF">
              <w:rPr>
                <w:webHidden/>
              </w:rPr>
              <w:fldChar w:fldCharType="separate"/>
            </w:r>
            <w:r w:rsidR="00AB5280">
              <w:rPr>
                <w:webHidden/>
              </w:rPr>
              <w:t>51</w:t>
            </w:r>
            <w:r w:rsidR="004B21BF">
              <w:rPr>
                <w:webHidden/>
              </w:rPr>
              <w:fldChar w:fldCharType="end"/>
            </w:r>
          </w:hyperlink>
        </w:p>
        <w:p w:rsidR="004B21BF" w:rsidRDefault="00307ABF">
          <w:pPr>
            <w:pStyle w:val="TOC1"/>
            <w:rPr>
              <w:rFonts w:asciiTheme="minorHAnsi" w:hAnsiTheme="minorHAnsi" w:cstheme="minorBidi"/>
              <w:caps w:val="0"/>
              <w:sz w:val="22"/>
              <w:lang w:val="es-ES" w:eastAsia="es-ES"/>
            </w:rPr>
          </w:pPr>
          <w:hyperlink w:anchor="_Toc419534705" w:history="1">
            <w:r w:rsidR="004B21BF" w:rsidRPr="00165B88">
              <w:rPr>
                <w:rStyle w:val="Hyperlink"/>
                <w:shd w:val="clear" w:color="auto" w:fill="FFFFFF"/>
              </w:rPr>
              <w:t>PRIEDAI</w:t>
            </w:r>
            <w:r w:rsidR="004B21BF">
              <w:rPr>
                <w:webHidden/>
              </w:rPr>
              <w:tab/>
            </w:r>
            <w:r w:rsidR="004B21BF">
              <w:rPr>
                <w:webHidden/>
              </w:rPr>
              <w:fldChar w:fldCharType="begin"/>
            </w:r>
            <w:r w:rsidR="004B21BF">
              <w:rPr>
                <w:webHidden/>
              </w:rPr>
              <w:instrText xml:space="preserve"> PAGEREF _Toc419534705 \h </w:instrText>
            </w:r>
            <w:r w:rsidR="004B21BF">
              <w:rPr>
                <w:webHidden/>
              </w:rPr>
            </w:r>
            <w:r w:rsidR="004B21BF">
              <w:rPr>
                <w:webHidden/>
              </w:rPr>
              <w:fldChar w:fldCharType="separate"/>
            </w:r>
            <w:r w:rsidR="00AB5280">
              <w:rPr>
                <w:webHidden/>
              </w:rPr>
              <w:t>56</w:t>
            </w:r>
            <w:r w:rsidR="004B21BF">
              <w:rPr>
                <w:webHidden/>
              </w:rPr>
              <w:fldChar w:fldCharType="end"/>
            </w:r>
          </w:hyperlink>
        </w:p>
        <w:p w:rsidR="00102C99" w:rsidRPr="00ED3D25" w:rsidRDefault="000F6854" w:rsidP="00EA30CA">
          <w:pPr>
            <w:outlineLvl w:val="1"/>
            <w:rPr>
              <w:lang w:val="lt-LT"/>
            </w:rPr>
          </w:pPr>
          <w:r w:rsidRPr="00ED3D25">
            <w:rPr>
              <w:rFonts w:asciiTheme="majorBidi" w:hAnsiTheme="majorBidi" w:cstheme="majorBidi"/>
              <w:szCs w:val="24"/>
              <w:lang w:val="lt-LT"/>
            </w:rPr>
            <w:fldChar w:fldCharType="end"/>
          </w:r>
        </w:p>
      </w:sdtContent>
    </w:sdt>
    <w:p w:rsidR="00C22310" w:rsidRPr="00C22310" w:rsidRDefault="00102C99" w:rsidP="00C22310">
      <w:pPr>
        <w:spacing w:after="0"/>
        <w:rPr>
          <w:rFonts w:eastAsiaTheme="majorEastAsia" w:cstheme="majorBidi"/>
          <w:b/>
          <w:bCs/>
          <w:caps/>
          <w:sz w:val="32"/>
          <w:szCs w:val="28"/>
          <w:lang w:val="lt-LT"/>
        </w:rPr>
      </w:pPr>
      <w:r w:rsidRPr="00ED3D25">
        <w:rPr>
          <w:lang w:val="lt-LT"/>
        </w:rPr>
        <w:br w:type="page"/>
      </w:r>
    </w:p>
    <w:p w:rsidR="00095A6B" w:rsidRPr="00095A6B" w:rsidRDefault="00095A6B" w:rsidP="009C6FB5">
      <w:pPr>
        <w:pStyle w:val="Heading2"/>
      </w:pPr>
      <w:bookmarkStart w:id="2" w:name="_Toc419534691"/>
      <w:r w:rsidRPr="00BE57EE">
        <w:lastRenderedPageBreak/>
        <w:t>Abstract</w:t>
      </w:r>
      <w:bookmarkEnd w:id="2"/>
    </w:p>
    <w:p w:rsidR="00095A6B" w:rsidRPr="000812A8" w:rsidRDefault="00095A6B" w:rsidP="00095A6B">
      <w:pPr>
        <w:spacing w:after="0" w:line="240" w:lineRule="auto"/>
      </w:pPr>
    </w:p>
    <w:p w:rsidR="00095A6B" w:rsidRPr="000812A8" w:rsidRDefault="00095A6B" w:rsidP="009C6FB5">
      <w:pPr>
        <w:pStyle w:val="Footer"/>
        <w:tabs>
          <w:tab w:val="clear" w:pos="4252"/>
          <w:tab w:val="left" w:pos="4253"/>
        </w:tabs>
        <w:rPr>
          <w:color w:val="000000"/>
        </w:rPr>
      </w:pPr>
      <w:r>
        <w:t>Author of diploma paper:</w:t>
      </w:r>
      <w:r>
        <w:tab/>
        <w:t>Evelina Pratusytė</w:t>
      </w:r>
    </w:p>
    <w:p w:rsidR="00095A6B" w:rsidRDefault="00095A6B" w:rsidP="00095A6B">
      <w:pPr>
        <w:pStyle w:val="Footer"/>
      </w:pPr>
    </w:p>
    <w:p w:rsidR="00095A6B" w:rsidRDefault="00095A6B" w:rsidP="009C6FB5">
      <w:pPr>
        <w:pStyle w:val="BodyTextIndent"/>
        <w:tabs>
          <w:tab w:val="left" w:pos="567"/>
        </w:tabs>
        <w:ind w:left="4253" w:hanging="4253"/>
      </w:pPr>
      <w:r>
        <w:t>Full title of diploma paper:</w:t>
      </w:r>
      <w:r>
        <w:tab/>
      </w:r>
      <w:r w:rsidR="00037676">
        <w:t xml:space="preserve">The </w:t>
      </w:r>
      <w:r w:rsidR="008D777A">
        <w:t xml:space="preserve">efficiency </w:t>
      </w:r>
      <w:r w:rsidR="004D0E7D">
        <w:t>analysis of EU</w:t>
      </w:r>
      <w:r w:rsidR="008D777A">
        <w:t xml:space="preserve"> financial support for small and medium business in Panevėžys district.</w:t>
      </w:r>
    </w:p>
    <w:p w:rsidR="00095A6B" w:rsidRDefault="00095A6B" w:rsidP="00095A6B">
      <w:pPr>
        <w:spacing w:after="0" w:line="240" w:lineRule="auto"/>
        <w:ind w:left="2160" w:hanging="2160"/>
      </w:pPr>
    </w:p>
    <w:p w:rsidR="00095A6B" w:rsidRDefault="00095A6B" w:rsidP="009C6FB5">
      <w:pPr>
        <w:pStyle w:val="BodyTextIndent"/>
        <w:tabs>
          <w:tab w:val="left" w:pos="2160"/>
          <w:tab w:val="left" w:pos="4253"/>
          <w:tab w:val="right" w:leader="dot" w:pos="8400"/>
        </w:tabs>
        <w:ind w:firstLine="0"/>
      </w:pPr>
      <w:r>
        <w:t>Diploma paper advisor:</w:t>
      </w:r>
      <w:r>
        <w:tab/>
      </w:r>
      <w:r w:rsidR="008D777A">
        <w:t>Prof., Dr. Kristina Levišauskaitė</w:t>
      </w:r>
    </w:p>
    <w:p w:rsidR="00095A6B" w:rsidRDefault="00095A6B" w:rsidP="00095A6B">
      <w:pPr>
        <w:spacing w:after="0" w:line="240" w:lineRule="auto"/>
        <w:ind w:left="2160" w:hanging="2160"/>
      </w:pPr>
    </w:p>
    <w:p w:rsidR="00095A6B" w:rsidRDefault="00095A6B" w:rsidP="009C6FB5">
      <w:pPr>
        <w:tabs>
          <w:tab w:val="left" w:pos="4253"/>
        </w:tabs>
        <w:spacing w:after="0" w:line="240" w:lineRule="auto"/>
        <w:ind w:left="4253" w:hanging="4253"/>
      </w:pPr>
      <w:r>
        <w:t>Presented at:</w:t>
      </w:r>
      <w:r>
        <w:tab/>
        <w:t>Vytautas Magnus University, Faculty of Economics and</w:t>
      </w:r>
      <w:r w:rsidR="009C6FB5">
        <w:t xml:space="preserve"> </w:t>
      </w:r>
      <w:r>
        <w:t>Management,</w:t>
      </w:r>
      <w:r w:rsidR="004D0E7D">
        <w:t xml:space="preserve"> Kaunas, 2015</w:t>
      </w:r>
    </w:p>
    <w:p w:rsidR="008D777A" w:rsidRDefault="008D777A" w:rsidP="00095A6B">
      <w:pPr>
        <w:spacing w:after="0" w:line="240" w:lineRule="auto"/>
        <w:ind w:left="2160" w:firstLine="720"/>
      </w:pPr>
    </w:p>
    <w:p w:rsidR="00095A6B" w:rsidRPr="00961815" w:rsidRDefault="009C6FB5" w:rsidP="009C6FB5">
      <w:pPr>
        <w:spacing w:after="0" w:line="240" w:lineRule="auto"/>
        <w:ind w:left="4253" w:hanging="4253"/>
      </w:pPr>
      <w:r>
        <w:t>Number of pages:</w:t>
      </w:r>
      <w:r>
        <w:tab/>
      </w:r>
      <w:r w:rsidR="00E10FAD">
        <w:t>56</w:t>
      </w:r>
    </w:p>
    <w:p w:rsidR="00095A6B" w:rsidRDefault="00095A6B" w:rsidP="00095A6B">
      <w:pPr>
        <w:spacing w:after="0" w:line="240" w:lineRule="auto"/>
        <w:ind w:left="2160" w:hanging="2160"/>
      </w:pPr>
    </w:p>
    <w:p w:rsidR="00095A6B" w:rsidRPr="00961815" w:rsidRDefault="009C6FB5" w:rsidP="009C6FB5">
      <w:pPr>
        <w:spacing w:after="0" w:line="240" w:lineRule="auto"/>
        <w:ind w:left="4253" w:hanging="4253"/>
      </w:pPr>
      <w:r>
        <w:t>Number of tables:</w:t>
      </w:r>
      <w:r>
        <w:tab/>
      </w:r>
      <w:r w:rsidR="004B21BF">
        <w:t>34</w:t>
      </w:r>
    </w:p>
    <w:p w:rsidR="00095A6B" w:rsidRDefault="00095A6B" w:rsidP="00095A6B">
      <w:pPr>
        <w:spacing w:after="0" w:line="240" w:lineRule="auto"/>
        <w:ind w:left="2160" w:hanging="2160"/>
      </w:pPr>
    </w:p>
    <w:p w:rsidR="00095A6B" w:rsidRPr="00961815" w:rsidRDefault="00095A6B" w:rsidP="009C6FB5">
      <w:pPr>
        <w:spacing w:after="0" w:line="240" w:lineRule="auto"/>
        <w:ind w:left="4253" w:hanging="4253"/>
      </w:pPr>
      <w:r>
        <w:t>Number of pictures:</w:t>
      </w:r>
      <w:r w:rsidR="009C6FB5">
        <w:t xml:space="preserve"> </w:t>
      </w:r>
      <w:r w:rsidR="009C6FB5">
        <w:tab/>
      </w:r>
      <w:r w:rsidR="008D777A">
        <w:t>9</w:t>
      </w:r>
    </w:p>
    <w:p w:rsidR="00095A6B" w:rsidRDefault="00095A6B" w:rsidP="00095A6B">
      <w:pPr>
        <w:spacing w:after="0" w:line="240" w:lineRule="auto"/>
      </w:pPr>
    </w:p>
    <w:p w:rsidR="00C22310" w:rsidRDefault="00095A6B" w:rsidP="004B21BF">
      <w:pPr>
        <w:tabs>
          <w:tab w:val="left" w:pos="4253"/>
        </w:tabs>
        <w:spacing w:after="0" w:line="240" w:lineRule="auto"/>
        <w:rPr>
          <w:lang w:val="en-US"/>
        </w:rPr>
      </w:pPr>
      <w:r>
        <w:t>Number of appendixes:</w:t>
      </w:r>
      <w:r>
        <w:tab/>
      </w:r>
      <w:r w:rsidR="004B21BF">
        <w:rPr>
          <w:lang w:val="en-US"/>
        </w:rPr>
        <w:t>12</w:t>
      </w:r>
    </w:p>
    <w:p w:rsidR="008D777A" w:rsidRDefault="008D777A" w:rsidP="00095A6B">
      <w:pPr>
        <w:spacing w:after="0" w:line="240" w:lineRule="auto"/>
        <w:rPr>
          <w:lang w:val="en-US"/>
        </w:rPr>
      </w:pPr>
    </w:p>
    <w:p w:rsidR="008D777A" w:rsidRDefault="00821FCF" w:rsidP="007A6351">
      <w:pPr>
        <w:spacing w:after="0"/>
        <w:ind w:firstLine="851"/>
        <w:rPr>
          <w:lang w:val="en-US"/>
        </w:rPr>
      </w:pPr>
      <w:r>
        <w:rPr>
          <w:lang w:val="en-US"/>
        </w:rPr>
        <w:t>Small and medium business is one of the most important factor in national economy. It creates the biggest number of jobs and it has fast reaction to policy and economics changes. The EU has decided to promote business creatio</w:t>
      </w:r>
      <w:r w:rsidR="007A6351">
        <w:rPr>
          <w:lang w:val="en-US"/>
        </w:rPr>
        <w:t xml:space="preserve">n and development , not only in regional centers, bet in rural areas to reduce regional disparities. The financial support for </w:t>
      </w:r>
      <w:r w:rsidR="00D541E9">
        <w:rPr>
          <w:lang w:val="en-US"/>
        </w:rPr>
        <w:t>small and medium sized enterpris</w:t>
      </w:r>
      <w:r w:rsidR="007A6351">
        <w:rPr>
          <w:lang w:val="en-US"/>
        </w:rPr>
        <w:t>es (SME) is very important for business creation and development.</w:t>
      </w:r>
    </w:p>
    <w:p w:rsidR="007A6351" w:rsidRDefault="007A6351" w:rsidP="007A6351">
      <w:pPr>
        <w:spacing w:after="0"/>
        <w:ind w:firstLine="851"/>
        <w:rPr>
          <w:lang w:val="en-US"/>
        </w:rPr>
      </w:pPr>
      <w:r>
        <w:rPr>
          <w:lang w:val="en-US"/>
        </w:rPr>
        <w:t>The aim of this paper is to evaluate the efficiency of the EU financial support for SMEs in Panevezys district.</w:t>
      </w:r>
    </w:p>
    <w:p w:rsidR="007A6351" w:rsidRDefault="007A6351" w:rsidP="007A6351">
      <w:pPr>
        <w:spacing w:after="0"/>
        <w:ind w:firstLine="851"/>
        <w:rPr>
          <w:lang w:val="en-US"/>
        </w:rPr>
      </w:pPr>
      <w:r>
        <w:rPr>
          <w:lang w:val="en-US"/>
        </w:rPr>
        <w:t xml:space="preserve">The first part discusses the importance and role of SMEs as well as business financing options. </w:t>
      </w:r>
      <w:r w:rsidR="00DA4DC1">
        <w:rPr>
          <w:lang w:val="en-US"/>
        </w:rPr>
        <w:t>Moreover, i</w:t>
      </w:r>
      <w:r>
        <w:rPr>
          <w:lang w:val="en-US"/>
        </w:rPr>
        <w:t>t presents financial indicators</w:t>
      </w:r>
      <w:r w:rsidR="00DA4DC1">
        <w:rPr>
          <w:lang w:val="en-US"/>
        </w:rPr>
        <w:t>, which are used in the second part to calculate SME’s financial indicators evaluating the EU’s financial support efficiency.</w:t>
      </w:r>
    </w:p>
    <w:p w:rsidR="00D541E9" w:rsidRDefault="00DA4DC1" w:rsidP="009C6FB5">
      <w:pPr>
        <w:spacing w:after="0"/>
        <w:ind w:firstLine="851"/>
        <w:rPr>
          <w:lang w:val="en-US"/>
        </w:rPr>
      </w:pPr>
      <w:r>
        <w:rPr>
          <w:lang w:val="en-US"/>
        </w:rPr>
        <w:t>The second part presents results of the questionnair</w:t>
      </w:r>
      <w:r w:rsidR="009C6FB5">
        <w:rPr>
          <w:lang w:val="en-US"/>
        </w:rPr>
        <w:t>e survey about effectiveness of the EU</w:t>
      </w:r>
      <w:r w:rsidR="00D541E9">
        <w:rPr>
          <w:lang w:val="en-US"/>
        </w:rPr>
        <w:t xml:space="preserve"> financial support. Futhermore,</w:t>
      </w:r>
      <w:r>
        <w:rPr>
          <w:lang w:val="en-US"/>
        </w:rPr>
        <w:t xml:space="preserve"> it is performed the </w:t>
      </w:r>
      <w:r w:rsidR="00D541E9">
        <w:rPr>
          <w:lang w:val="en-US"/>
        </w:rPr>
        <w:t>financial ratio analysis of firms A, B, C and D, and it is also compared with indicators of the sector.</w:t>
      </w:r>
    </w:p>
    <w:p w:rsidR="00D541E9" w:rsidRPr="00D541E9" w:rsidRDefault="00D541E9" w:rsidP="00D541E9">
      <w:pPr>
        <w:spacing w:after="0"/>
        <w:ind w:firstLine="851"/>
        <w:rPr>
          <w:lang w:val="en-US"/>
        </w:rPr>
      </w:pPr>
      <w:r>
        <w:rPr>
          <w:lang w:val="en-US"/>
        </w:rPr>
        <w:t xml:space="preserve">The </w:t>
      </w:r>
      <w:r w:rsidR="004D0E7D">
        <w:rPr>
          <w:lang w:val="en-US"/>
        </w:rPr>
        <w:t xml:space="preserve">result of </w:t>
      </w:r>
      <w:r>
        <w:rPr>
          <w:lang w:val="en-US"/>
        </w:rPr>
        <w:t>investigation showed that the EU financial support not for all small and medium sized enterprises was effective. The highest efficiency was established for company, which operates more than 10 years. Therefore, it is concluded that the financial support for business creation is the least effective.</w:t>
      </w:r>
    </w:p>
    <w:p w:rsidR="00095A6B" w:rsidRDefault="00095A6B" w:rsidP="00095A6B">
      <w:pPr>
        <w:spacing w:after="0" w:line="276" w:lineRule="auto"/>
        <w:jc w:val="left"/>
        <w:rPr>
          <w:rFonts w:eastAsiaTheme="majorEastAsia" w:cstheme="majorBidi"/>
          <w:b/>
          <w:bCs/>
          <w:caps/>
          <w:sz w:val="32"/>
          <w:szCs w:val="28"/>
          <w:lang w:val="lt-LT"/>
        </w:rPr>
      </w:pPr>
      <w:r>
        <w:rPr>
          <w:lang w:val="lt-LT"/>
        </w:rPr>
        <w:br w:type="page"/>
      </w:r>
    </w:p>
    <w:p w:rsidR="00DF5FB7" w:rsidRPr="00ED3D25" w:rsidRDefault="00DF5FB7" w:rsidP="00DF5FB7">
      <w:pPr>
        <w:pStyle w:val="Heading1"/>
        <w:spacing w:before="0"/>
        <w:rPr>
          <w:lang w:val="lt-LT"/>
        </w:rPr>
      </w:pPr>
      <w:bookmarkStart w:id="3" w:name="_Toc419534692"/>
      <w:r w:rsidRPr="00ED3D25">
        <w:rPr>
          <w:lang w:val="lt-LT"/>
        </w:rPr>
        <w:lastRenderedPageBreak/>
        <w:t>ĮVADAS</w:t>
      </w:r>
      <w:bookmarkEnd w:id="3"/>
    </w:p>
    <w:p w:rsidR="00DF5FB7" w:rsidRPr="00ED3D25" w:rsidRDefault="00DF5FB7" w:rsidP="00DF5FB7">
      <w:pPr>
        <w:rPr>
          <w:lang w:val="lt-LT"/>
        </w:rPr>
      </w:pPr>
    </w:p>
    <w:p w:rsidR="00F553AF" w:rsidRPr="00ED3D25" w:rsidRDefault="00DF5FB7" w:rsidP="00DF5FB7">
      <w:pPr>
        <w:spacing w:after="0"/>
        <w:ind w:firstLine="851"/>
        <w:rPr>
          <w:lang w:val="lt-LT"/>
        </w:rPr>
      </w:pPr>
      <w:r w:rsidRPr="00ED3D25">
        <w:rPr>
          <w:lang w:val="lt-LT"/>
        </w:rPr>
        <w:t xml:space="preserve">Lietuvai įstojo į Europos Sąjungą </w:t>
      </w:r>
      <w:r w:rsidR="00F553AF" w:rsidRPr="00ED3D25">
        <w:rPr>
          <w:lang w:val="lt-LT"/>
        </w:rPr>
        <w:t xml:space="preserve">2004 </w:t>
      </w:r>
      <w:r w:rsidR="00D75F18" w:rsidRPr="00ED3D25">
        <w:rPr>
          <w:lang w:val="lt-LT"/>
        </w:rPr>
        <w:t>m</w:t>
      </w:r>
      <w:r w:rsidR="00F553AF" w:rsidRPr="00ED3D25">
        <w:rPr>
          <w:lang w:val="lt-LT"/>
        </w:rPr>
        <w:t xml:space="preserve">. ir nuo tada valstybei </w:t>
      </w:r>
      <w:r w:rsidRPr="00ED3D25">
        <w:rPr>
          <w:lang w:val="lt-LT"/>
        </w:rPr>
        <w:t>atsivėrė daug naujų galimybių.</w:t>
      </w:r>
      <w:r w:rsidR="00F553AF" w:rsidRPr="00ED3D25">
        <w:rPr>
          <w:lang w:val="lt-LT"/>
        </w:rPr>
        <w:t xml:space="preserve"> Būdama ES nare Lietuva ne tik jaučiasi saugesne didelės bendruomenės nare, tačiau pasijuto teigiami pokyčiai tiek Lietuvos ūkyje, kuris sustiprėjo ir auga, taip pat padidėjo tiesio</w:t>
      </w:r>
      <w:r w:rsidR="00943298">
        <w:rPr>
          <w:lang w:val="lt-LT"/>
        </w:rPr>
        <w:t>g</w:t>
      </w:r>
      <w:r w:rsidR="00F553AF" w:rsidRPr="00ED3D25">
        <w:rPr>
          <w:lang w:val="lt-LT"/>
        </w:rPr>
        <w:t>inės užsienio investicijos, gyventojams suteikta galimybė laisvai keliauti visoje ES. Taip pat ES vykdoma sanglaudos politika investuoja į Lietuvos švietimą bei mokslą. Tačiau vienas iš svarbiausių investavimo krypčių yra verslo skatinimas.</w:t>
      </w:r>
    </w:p>
    <w:p w:rsidR="00DF5FB7" w:rsidRPr="00ED3D25" w:rsidRDefault="00F553AF" w:rsidP="008C4C7E">
      <w:pPr>
        <w:spacing w:after="0"/>
        <w:ind w:firstLine="851"/>
        <w:rPr>
          <w:lang w:val="lt-LT"/>
        </w:rPr>
      </w:pPr>
      <w:r w:rsidRPr="00ED3D25">
        <w:rPr>
          <w:lang w:val="lt-LT"/>
        </w:rPr>
        <w:t xml:space="preserve"> </w:t>
      </w:r>
      <w:r w:rsidR="00967622" w:rsidRPr="00ED3D25">
        <w:rPr>
          <w:lang w:val="lt-LT"/>
        </w:rPr>
        <w:t>Lietuvos smulkiam ir vidutiniam verslui</w:t>
      </w:r>
      <w:r w:rsidR="00162319" w:rsidRPr="00ED3D25">
        <w:rPr>
          <w:lang w:val="lt-LT"/>
        </w:rPr>
        <w:t xml:space="preserve"> ats</w:t>
      </w:r>
      <w:r w:rsidR="00967622" w:rsidRPr="00ED3D25">
        <w:rPr>
          <w:lang w:val="lt-LT"/>
        </w:rPr>
        <w:t>irado daugybė galimybių po įstojimo į ES. Atsivėrė bendroji rinka, kuri sudarė sąlygas verslo plėtrai užsienyje, tačiau taip pat padidėjo konkurencija su užsienio įmonėmis. Tad iškilo daugybė problemų ir naujų klausimų įmonių savininkams, pavyzdžiui, kaip išsilaikyti konkurencinėje kovoje, kokią verslo kryptį pasirinkti ir pritraukti klientus ir daug</w:t>
      </w:r>
      <w:r w:rsidR="004436FA" w:rsidRPr="00ED3D25">
        <w:rPr>
          <w:lang w:val="lt-LT"/>
        </w:rPr>
        <w:t xml:space="preserve">ybė </w:t>
      </w:r>
      <w:r w:rsidR="00D75F18" w:rsidRPr="00ED3D25">
        <w:rPr>
          <w:lang w:val="lt-LT"/>
        </w:rPr>
        <w:t>kitų</w:t>
      </w:r>
      <w:r w:rsidR="00967622" w:rsidRPr="00ED3D25">
        <w:rPr>
          <w:lang w:val="lt-LT"/>
        </w:rPr>
        <w:t>.</w:t>
      </w:r>
      <w:r w:rsidR="004436FA" w:rsidRPr="00ED3D25">
        <w:rPr>
          <w:lang w:val="lt-LT"/>
        </w:rPr>
        <w:t xml:space="preserve"> Tačiau nepastovi šalies finansų ir mokesčių politika, bankų krizės ir dideli jų reikalavimai lėmė, kad vis rečiau žmonės svarsto galimybę pradėti verslą. Didžiausiomis kliūtimis galima įvardinti pradinio kapitalo trūkumą, o kuomet bankai kelia didelius reikalavimus paskoloms,</w:t>
      </w:r>
      <w:r w:rsidR="00DD2C63">
        <w:rPr>
          <w:lang w:val="lt-LT"/>
        </w:rPr>
        <w:t xml:space="preserve"> tuomet pritrūksta</w:t>
      </w:r>
      <w:r w:rsidR="004436FA" w:rsidRPr="00ED3D25">
        <w:rPr>
          <w:lang w:val="lt-LT"/>
        </w:rPr>
        <w:t xml:space="preserve"> noro rizikuoti, taip pat trukdo nepasitikėjimas savo jėgomis. </w:t>
      </w:r>
      <w:r w:rsidR="00E9085C" w:rsidRPr="00ED3D25">
        <w:rPr>
          <w:lang w:val="lt-LT"/>
        </w:rPr>
        <w:t xml:space="preserve">Tad ES vykdydama regioninę politiką skatina mažinti tarpregioninius skirtumus ir siekia, kad ne tik valstybių centrai būtų išvystyti, tačiau ir </w:t>
      </w:r>
      <w:r w:rsidR="00DD2C63">
        <w:rPr>
          <w:lang w:val="lt-LT"/>
        </w:rPr>
        <w:t>kitos vietovės nebūtų užmirštos, tad</w:t>
      </w:r>
      <w:r w:rsidR="008C4C7E">
        <w:rPr>
          <w:lang w:val="lt-LT"/>
        </w:rPr>
        <w:t xml:space="preserve"> dėl šios priežasties</w:t>
      </w:r>
      <w:r w:rsidR="00DD2C63">
        <w:rPr>
          <w:lang w:val="lt-LT"/>
        </w:rPr>
        <w:t xml:space="preserve"> skiriama ES finansinė parama smulkiam verslui tampa labai svarbi.</w:t>
      </w:r>
      <w:r w:rsidR="00E9085C" w:rsidRPr="00ED3D25">
        <w:rPr>
          <w:lang w:val="lt-LT"/>
        </w:rPr>
        <w:t xml:space="preserve"> Ypač </w:t>
      </w:r>
      <w:r w:rsidR="00E9085C" w:rsidRPr="00ED3D25">
        <w:rPr>
          <w:b/>
          <w:lang w:val="lt-LT"/>
        </w:rPr>
        <w:t>aktuali problema</w:t>
      </w:r>
      <w:r w:rsidR="00E9085C" w:rsidRPr="00ED3D25">
        <w:rPr>
          <w:lang w:val="lt-LT"/>
        </w:rPr>
        <w:t xml:space="preserve"> yra </w:t>
      </w:r>
      <w:r w:rsidR="008C4C7E">
        <w:rPr>
          <w:lang w:val="lt-LT"/>
        </w:rPr>
        <w:t xml:space="preserve">ES finansinės paramos, skirtos </w:t>
      </w:r>
      <w:r w:rsidR="008C4C7E" w:rsidRPr="00ED3D25">
        <w:rPr>
          <w:lang w:val="lt-LT"/>
        </w:rPr>
        <w:t>SVV</w:t>
      </w:r>
      <w:r w:rsidR="008C4C7E">
        <w:rPr>
          <w:lang w:val="lt-LT"/>
        </w:rPr>
        <w:t>, efektyvumas ir kaip jį įvertinti. B</w:t>
      </w:r>
      <w:r w:rsidR="00E9085C" w:rsidRPr="00ED3D25">
        <w:rPr>
          <w:lang w:val="lt-LT"/>
        </w:rPr>
        <w:t>ūtent verslas yra pagrindinis ekonomikos augimo veiksnys, kuriam turi būti skirtas didelis dėmesys. Būtent dėl šios priežasties ES skyrė finansinę paramą 2007-2013 metų lai</w:t>
      </w:r>
      <w:r w:rsidR="005A2422" w:rsidRPr="00ED3D25">
        <w:rPr>
          <w:lang w:val="lt-LT"/>
        </w:rPr>
        <w:t xml:space="preserve">kotarpiu SVV </w:t>
      </w:r>
      <w:r w:rsidR="00D75F18" w:rsidRPr="00ED3D25">
        <w:rPr>
          <w:lang w:val="lt-LT"/>
        </w:rPr>
        <w:t xml:space="preserve">kūrimui ir plėtrai, </w:t>
      </w:r>
      <w:r w:rsidR="008C4C7E">
        <w:rPr>
          <w:lang w:val="lt-LT"/>
        </w:rPr>
        <w:t>tačiau</w:t>
      </w:r>
      <w:r w:rsidR="00D75F18" w:rsidRPr="00ED3D25">
        <w:rPr>
          <w:lang w:val="lt-LT"/>
        </w:rPr>
        <w:t xml:space="preserve"> </w:t>
      </w:r>
      <w:r w:rsidR="008C4C7E">
        <w:rPr>
          <w:lang w:val="lt-LT"/>
        </w:rPr>
        <w:t>labai</w:t>
      </w:r>
      <w:r w:rsidR="00D75F18" w:rsidRPr="00ED3D25">
        <w:rPr>
          <w:lang w:val="lt-LT"/>
        </w:rPr>
        <w:t xml:space="preserve"> svarbu įvertinti</w:t>
      </w:r>
      <w:r w:rsidR="005A2422" w:rsidRPr="00ED3D25">
        <w:rPr>
          <w:lang w:val="lt-LT"/>
        </w:rPr>
        <w:t xml:space="preserve"> </w:t>
      </w:r>
      <w:r w:rsidR="008C4C7E">
        <w:rPr>
          <w:lang w:val="lt-LT"/>
        </w:rPr>
        <w:t>ar</w:t>
      </w:r>
      <w:r w:rsidR="005A2422" w:rsidRPr="00ED3D25">
        <w:rPr>
          <w:lang w:val="lt-LT"/>
        </w:rPr>
        <w:t xml:space="preserve"> įmonėms pasiteisino ši parama.</w:t>
      </w:r>
    </w:p>
    <w:p w:rsidR="005A2422" w:rsidRPr="00ED3D25" w:rsidRDefault="005A2422" w:rsidP="005A2422">
      <w:pPr>
        <w:spacing w:after="0"/>
        <w:ind w:firstLine="851"/>
        <w:rPr>
          <w:lang w:val="lt-LT"/>
        </w:rPr>
      </w:pPr>
      <w:r w:rsidRPr="00ED3D25">
        <w:rPr>
          <w:b/>
          <w:lang w:val="lt-LT"/>
        </w:rPr>
        <w:t>Tyri</w:t>
      </w:r>
      <w:r w:rsidR="007C6C6C" w:rsidRPr="00ED3D25">
        <w:rPr>
          <w:b/>
          <w:lang w:val="lt-LT"/>
        </w:rPr>
        <w:t>mo objektas:</w:t>
      </w:r>
      <w:r w:rsidR="00D75F18" w:rsidRPr="00ED3D25">
        <w:rPr>
          <w:lang w:val="lt-LT"/>
        </w:rPr>
        <w:t xml:space="preserve"> </w:t>
      </w:r>
      <w:r w:rsidR="00ED3D25" w:rsidRPr="00ED3D25">
        <w:rPr>
          <w:lang w:val="lt-LT"/>
        </w:rPr>
        <w:t>ES finansinę paramą gavusios SVV</w:t>
      </w:r>
      <w:r w:rsidR="00B67549">
        <w:rPr>
          <w:lang w:val="lt-LT"/>
        </w:rPr>
        <w:t xml:space="preserve"> įmonės</w:t>
      </w:r>
      <w:r w:rsidRPr="00ED3D25">
        <w:rPr>
          <w:lang w:val="lt-LT"/>
        </w:rPr>
        <w:t xml:space="preserve"> Panevėžio rajone.</w:t>
      </w:r>
    </w:p>
    <w:p w:rsidR="007C6C6C" w:rsidRPr="00ED3D25" w:rsidRDefault="007C6C6C" w:rsidP="005A2422">
      <w:pPr>
        <w:spacing w:after="0"/>
        <w:ind w:firstLine="851"/>
        <w:rPr>
          <w:lang w:val="lt-LT"/>
        </w:rPr>
      </w:pPr>
      <w:r w:rsidRPr="00ED3D25">
        <w:rPr>
          <w:b/>
          <w:lang w:val="lt-LT"/>
        </w:rPr>
        <w:t>Tyrimo tikslas:</w:t>
      </w:r>
      <w:r w:rsidR="00ED3D25" w:rsidRPr="00ED3D25">
        <w:rPr>
          <w:lang w:val="lt-LT"/>
        </w:rPr>
        <w:t xml:space="preserve"> įvertinti ES finansinės paramos</w:t>
      </w:r>
      <w:r w:rsidRPr="00ED3D25">
        <w:rPr>
          <w:lang w:val="lt-LT"/>
        </w:rPr>
        <w:t xml:space="preserve"> </w:t>
      </w:r>
      <w:r w:rsidR="00ED3D25" w:rsidRPr="00ED3D25">
        <w:rPr>
          <w:lang w:val="lt-LT"/>
        </w:rPr>
        <w:t>efektyvumą smulkioms ir vidutinėms įmonėms Panevėžio rajone.</w:t>
      </w:r>
    </w:p>
    <w:p w:rsidR="005A2422" w:rsidRPr="00ED3D25" w:rsidRDefault="007C6C6C" w:rsidP="005A2422">
      <w:pPr>
        <w:spacing w:after="0"/>
        <w:ind w:firstLine="851"/>
        <w:rPr>
          <w:b/>
          <w:lang w:val="lt-LT"/>
        </w:rPr>
      </w:pPr>
      <w:r w:rsidRPr="00ED3D25">
        <w:rPr>
          <w:b/>
          <w:lang w:val="lt-LT"/>
        </w:rPr>
        <w:t>Uždaviniai:</w:t>
      </w:r>
    </w:p>
    <w:p w:rsidR="007C6C6C" w:rsidRPr="00F70690" w:rsidRDefault="003B3712" w:rsidP="007C6C6C">
      <w:pPr>
        <w:pStyle w:val="ListParagraph"/>
        <w:numPr>
          <w:ilvl w:val="0"/>
          <w:numId w:val="21"/>
        </w:numPr>
        <w:spacing w:after="0"/>
        <w:ind w:left="993"/>
        <w:rPr>
          <w:lang w:val="lt-LT"/>
        </w:rPr>
      </w:pPr>
      <w:r w:rsidRPr="00F70690">
        <w:rPr>
          <w:lang w:val="lt-LT"/>
        </w:rPr>
        <w:t>A</w:t>
      </w:r>
      <w:r w:rsidR="00584EAF" w:rsidRPr="00F70690">
        <w:rPr>
          <w:lang w:val="lt-LT"/>
        </w:rPr>
        <w:t>pibūdinti</w:t>
      </w:r>
      <w:r w:rsidR="007C6C6C" w:rsidRPr="00F70690">
        <w:rPr>
          <w:lang w:val="lt-LT"/>
        </w:rPr>
        <w:t xml:space="preserve"> SVV vai</w:t>
      </w:r>
      <w:r w:rsidR="00584EAF" w:rsidRPr="00F70690">
        <w:rPr>
          <w:lang w:val="lt-LT"/>
        </w:rPr>
        <w:t>dmenį regiono kontekste.</w:t>
      </w:r>
    </w:p>
    <w:p w:rsidR="007C6C6C" w:rsidRPr="00F70690" w:rsidRDefault="003B3712" w:rsidP="007C6C6C">
      <w:pPr>
        <w:pStyle w:val="ListParagraph"/>
        <w:numPr>
          <w:ilvl w:val="0"/>
          <w:numId w:val="21"/>
        </w:numPr>
        <w:spacing w:after="0"/>
        <w:ind w:left="993"/>
        <w:rPr>
          <w:lang w:val="lt-LT"/>
        </w:rPr>
      </w:pPr>
      <w:r w:rsidRPr="00F70690">
        <w:rPr>
          <w:lang w:val="lt-LT"/>
        </w:rPr>
        <w:t>I</w:t>
      </w:r>
      <w:r w:rsidR="00584EAF" w:rsidRPr="00F70690">
        <w:rPr>
          <w:lang w:val="lt-LT"/>
        </w:rPr>
        <w:t>šnagrinėti SVV finansavimo šaltinius ir priemones.</w:t>
      </w:r>
    </w:p>
    <w:p w:rsidR="007C6C6C" w:rsidRPr="00F70690" w:rsidRDefault="003B3712" w:rsidP="007C6C6C">
      <w:pPr>
        <w:pStyle w:val="ListParagraph"/>
        <w:numPr>
          <w:ilvl w:val="0"/>
          <w:numId w:val="21"/>
        </w:numPr>
        <w:spacing w:after="0"/>
        <w:ind w:left="993"/>
        <w:rPr>
          <w:lang w:val="lt-LT"/>
        </w:rPr>
      </w:pPr>
      <w:r w:rsidRPr="00F70690">
        <w:rPr>
          <w:lang w:val="lt-LT"/>
        </w:rPr>
        <w:t>P</w:t>
      </w:r>
      <w:r w:rsidR="00584EAF" w:rsidRPr="00F70690">
        <w:rPr>
          <w:lang w:val="lt-LT"/>
        </w:rPr>
        <w:t>ateikti ES paramos šaltinius ir priemones.</w:t>
      </w:r>
    </w:p>
    <w:p w:rsidR="00675D83" w:rsidRPr="00F70690" w:rsidRDefault="003B3712" w:rsidP="007C6C6C">
      <w:pPr>
        <w:pStyle w:val="ListParagraph"/>
        <w:numPr>
          <w:ilvl w:val="0"/>
          <w:numId w:val="21"/>
        </w:numPr>
        <w:spacing w:after="0"/>
        <w:ind w:left="993"/>
        <w:rPr>
          <w:lang w:val="lt-LT"/>
        </w:rPr>
      </w:pPr>
      <w:r w:rsidRPr="00F70690">
        <w:rPr>
          <w:lang w:val="lt-LT"/>
        </w:rPr>
        <w:t>P</w:t>
      </w:r>
      <w:r w:rsidR="00584EAF" w:rsidRPr="00F70690">
        <w:rPr>
          <w:lang w:val="lt-LT"/>
        </w:rPr>
        <w:t>ristatyti</w:t>
      </w:r>
      <w:r w:rsidR="00675D83" w:rsidRPr="00F70690">
        <w:rPr>
          <w:lang w:val="lt-LT"/>
        </w:rPr>
        <w:t xml:space="preserve"> </w:t>
      </w:r>
      <w:r w:rsidR="00584EAF" w:rsidRPr="00F70690">
        <w:rPr>
          <w:lang w:val="lt-LT"/>
        </w:rPr>
        <w:t>ES paramos įmonei efektyvumo vertinimo rodiklius.</w:t>
      </w:r>
    </w:p>
    <w:p w:rsidR="00BB4253" w:rsidRPr="00F70690" w:rsidRDefault="003B3712" w:rsidP="007C6C6C">
      <w:pPr>
        <w:pStyle w:val="ListParagraph"/>
        <w:numPr>
          <w:ilvl w:val="0"/>
          <w:numId w:val="21"/>
        </w:numPr>
        <w:spacing w:after="0"/>
        <w:ind w:left="993"/>
        <w:rPr>
          <w:lang w:val="lt-LT"/>
        </w:rPr>
      </w:pPr>
      <w:r w:rsidRPr="00F70690">
        <w:rPr>
          <w:lang w:val="lt-LT"/>
        </w:rPr>
        <w:t>A</w:t>
      </w:r>
      <w:r w:rsidR="00584EAF" w:rsidRPr="00F70690">
        <w:rPr>
          <w:lang w:val="lt-LT"/>
        </w:rPr>
        <w:t>tlikti ES finansinę paramą gavusių verslo įmonių</w:t>
      </w:r>
      <w:r w:rsidR="00BB4253" w:rsidRPr="00F70690">
        <w:rPr>
          <w:lang w:val="lt-LT"/>
        </w:rPr>
        <w:t xml:space="preserve"> </w:t>
      </w:r>
      <w:r w:rsidR="00584EAF" w:rsidRPr="00F70690">
        <w:rPr>
          <w:lang w:val="lt-LT"/>
        </w:rPr>
        <w:t>Panevėžio rajone analizę taikant anketinę apklausą.</w:t>
      </w:r>
    </w:p>
    <w:p w:rsidR="00BB4253" w:rsidRPr="00F70690" w:rsidRDefault="003B3712" w:rsidP="0093247E">
      <w:pPr>
        <w:pStyle w:val="ListParagraph"/>
        <w:numPr>
          <w:ilvl w:val="0"/>
          <w:numId w:val="21"/>
        </w:numPr>
        <w:spacing w:after="0"/>
        <w:ind w:left="993"/>
        <w:rPr>
          <w:lang w:val="lt-LT"/>
        </w:rPr>
      </w:pPr>
      <w:r w:rsidRPr="00F70690">
        <w:rPr>
          <w:lang w:val="lt-LT"/>
        </w:rPr>
        <w:lastRenderedPageBreak/>
        <w:t>Į</w:t>
      </w:r>
      <w:r w:rsidR="00BB4253" w:rsidRPr="00F70690">
        <w:rPr>
          <w:lang w:val="lt-LT"/>
        </w:rPr>
        <w:t xml:space="preserve">vertinti </w:t>
      </w:r>
      <w:r w:rsidR="00BC086A" w:rsidRPr="00F70690">
        <w:rPr>
          <w:lang w:val="lt-LT"/>
        </w:rPr>
        <w:t>ES finansinę paramą Panevėžio rajone gavusių</w:t>
      </w:r>
      <w:r w:rsidR="00BB4253" w:rsidRPr="00F70690">
        <w:rPr>
          <w:lang w:val="lt-LT"/>
        </w:rPr>
        <w:t xml:space="preserve"> įmonių A, B, C ir D efektyvumą</w:t>
      </w:r>
      <w:r w:rsidR="00BC086A" w:rsidRPr="00F70690">
        <w:rPr>
          <w:lang w:val="lt-LT"/>
        </w:rPr>
        <w:t xml:space="preserve"> pasitelkus</w:t>
      </w:r>
      <w:r w:rsidR="00584EAF" w:rsidRPr="00F70690">
        <w:rPr>
          <w:lang w:val="lt-LT"/>
        </w:rPr>
        <w:t xml:space="preserve"> finansinę analizę</w:t>
      </w:r>
      <w:r w:rsidR="00582344" w:rsidRPr="00F70690">
        <w:rPr>
          <w:lang w:val="lt-LT"/>
        </w:rPr>
        <w:t>, gautus rodiklius palyginti su atstovaujamo sektoriaus rodikliais</w:t>
      </w:r>
      <w:r w:rsidR="00584EAF" w:rsidRPr="00F70690">
        <w:rPr>
          <w:lang w:val="lt-LT"/>
        </w:rPr>
        <w:t>.</w:t>
      </w:r>
    </w:p>
    <w:p w:rsidR="00D56DE3" w:rsidRPr="00F70690" w:rsidRDefault="003B3712" w:rsidP="00582344">
      <w:pPr>
        <w:pStyle w:val="ListParagraph"/>
        <w:numPr>
          <w:ilvl w:val="0"/>
          <w:numId w:val="21"/>
        </w:numPr>
        <w:spacing w:after="0"/>
        <w:ind w:left="993"/>
        <w:rPr>
          <w:lang w:val="lt-LT"/>
        </w:rPr>
      </w:pPr>
      <w:r w:rsidRPr="00F70690">
        <w:rPr>
          <w:lang w:val="lt-LT"/>
        </w:rPr>
        <w:t>P</w:t>
      </w:r>
      <w:r w:rsidR="00BC086A" w:rsidRPr="00F70690">
        <w:rPr>
          <w:lang w:val="lt-LT"/>
        </w:rPr>
        <w:t>ateikti</w:t>
      </w:r>
      <w:r w:rsidR="00D56DE3" w:rsidRPr="00F70690">
        <w:rPr>
          <w:lang w:val="lt-LT"/>
        </w:rPr>
        <w:t xml:space="preserve"> ES </w:t>
      </w:r>
      <w:r w:rsidR="00304C49" w:rsidRPr="00F70690">
        <w:rPr>
          <w:lang w:val="lt-LT"/>
        </w:rPr>
        <w:t xml:space="preserve">finansinę paramą gavusių įmonių A, B, </w:t>
      </w:r>
      <w:r w:rsidR="00BC086A" w:rsidRPr="00F70690">
        <w:rPr>
          <w:lang w:val="lt-LT"/>
        </w:rPr>
        <w:t xml:space="preserve">C ir D </w:t>
      </w:r>
      <w:r w:rsidR="00582344" w:rsidRPr="00F70690">
        <w:rPr>
          <w:lang w:val="lt-LT"/>
        </w:rPr>
        <w:t>efektyvumo vertinimą.</w:t>
      </w:r>
    </w:p>
    <w:p w:rsidR="00675D83" w:rsidRPr="00ED3D25" w:rsidRDefault="003B3712" w:rsidP="00675D83">
      <w:pPr>
        <w:spacing w:after="0"/>
        <w:ind w:firstLine="851"/>
        <w:rPr>
          <w:lang w:val="lt-LT"/>
        </w:rPr>
      </w:pPr>
      <w:r>
        <w:rPr>
          <w:lang w:val="lt-LT"/>
        </w:rPr>
        <w:t xml:space="preserve">Darbą sudaro dvi pagrindinės dalys. </w:t>
      </w:r>
      <w:r w:rsidR="00675D83" w:rsidRPr="00ED3D25">
        <w:rPr>
          <w:lang w:val="lt-LT"/>
        </w:rPr>
        <w:t>Pirmoje darbo dalyje aprašomas smukaus ir vidutinio verslo vaidmuo regionuose, taip pat kalbama apie jo f</w:t>
      </w:r>
      <w:r w:rsidR="00893A82" w:rsidRPr="00ED3D25">
        <w:rPr>
          <w:lang w:val="lt-LT"/>
        </w:rPr>
        <w:t>inansavimo galimybes. P</w:t>
      </w:r>
      <w:r w:rsidR="00675D83" w:rsidRPr="00ED3D25">
        <w:rPr>
          <w:lang w:val="lt-LT"/>
        </w:rPr>
        <w:t>aminėta ES teikiama finansinės ir nefinansinės paramos formos ir galimybės. Pirmoji dalis baigiama rodiklių, skaičiuojamų vertinant įmonių efektyvumą, pasirinkimu ir apibrėžimu, kurie bus taikytini kitoje darbo dalyje.</w:t>
      </w:r>
    </w:p>
    <w:p w:rsidR="00B3454F" w:rsidRDefault="00BC086A" w:rsidP="00EF7A24">
      <w:pPr>
        <w:spacing w:after="0"/>
        <w:ind w:firstLine="851"/>
        <w:rPr>
          <w:lang w:val="lt-LT"/>
        </w:rPr>
      </w:pPr>
      <w:r>
        <w:rPr>
          <w:lang w:val="lt-LT"/>
        </w:rPr>
        <w:t>Antroje</w:t>
      </w:r>
      <w:r w:rsidR="00675D83" w:rsidRPr="00ED3D25">
        <w:rPr>
          <w:lang w:val="lt-LT"/>
        </w:rPr>
        <w:t xml:space="preserve"> dalyje rašoma apie ES finansinę paramą SVV pagal 2007-2013 metų</w:t>
      </w:r>
      <w:r w:rsidR="007345F2" w:rsidRPr="00ED3D25">
        <w:rPr>
          <w:lang w:val="lt-LT"/>
        </w:rPr>
        <w:t xml:space="preserve"> programą, supažindinama su </w:t>
      </w:r>
      <w:r w:rsidR="00EF7A24">
        <w:rPr>
          <w:lang w:val="lt-LT"/>
        </w:rPr>
        <w:t>tyrime dalyvaujančiomis įmonėmis</w:t>
      </w:r>
      <w:r w:rsidR="007345F2" w:rsidRPr="00ED3D25">
        <w:rPr>
          <w:lang w:val="lt-LT"/>
        </w:rPr>
        <w:t>. Toliau aprašomi anketinės</w:t>
      </w:r>
      <w:r>
        <w:rPr>
          <w:lang w:val="lt-LT"/>
        </w:rPr>
        <w:t xml:space="preserve"> apklausos analizėje</w:t>
      </w:r>
      <w:r w:rsidR="007345F2" w:rsidRPr="00ED3D25">
        <w:rPr>
          <w:lang w:val="lt-LT"/>
        </w:rPr>
        <w:t xml:space="preserve"> gauti rezultatai, ką jie</w:t>
      </w:r>
      <w:r w:rsidR="00D56DE3" w:rsidRPr="00ED3D25">
        <w:rPr>
          <w:lang w:val="lt-LT"/>
        </w:rPr>
        <w:t xml:space="preserve"> atskleidžia. Tuomet įvertinami</w:t>
      </w:r>
      <w:r w:rsidR="007345F2" w:rsidRPr="00ED3D25">
        <w:rPr>
          <w:lang w:val="lt-LT"/>
        </w:rPr>
        <w:t xml:space="preserve"> keturių pasirinktų įmonių Panevėžio rajone</w:t>
      </w:r>
      <w:r>
        <w:rPr>
          <w:lang w:val="lt-LT"/>
        </w:rPr>
        <w:t>, kurios gavo</w:t>
      </w:r>
      <w:r w:rsidR="007345F2" w:rsidRPr="00ED3D25">
        <w:rPr>
          <w:lang w:val="lt-LT"/>
        </w:rPr>
        <w:t xml:space="preserve"> ES finansinę paramą verslo kūrimui ir</w:t>
      </w:r>
      <w:r w:rsidR="00D56DE3" w:rsidRPr="00ED3D25">
        <w:rPr>
          <w:lang w:val="lt-LT"/>
        </w:rPr>
        <w:t xml:space="preserve"> plėtrai finansiniai rodikliai prieš ir jau įsisavinus</w:t>
      </w:r>
      <w:r w:rsidR="007345F2" w:rsidRPr="00ED3D25">
        <w:rPr>
          <w:lang w:val="lt-LT"/>
        </w:rPr>
        <w:t xml:space="preserve"> paramą.</w:t>
      </w:r>
      <w:r w:rsidR="00582344">
        <w:rPr>
          <w:lang w:val="lt-LT"/>
        </w:rPr>
        <w:t xml:space="preserve"> Gauti rezultatai palyginami su atst</w:t>
      </w:r>
      <w:r w:rsidR="00FA6ADE">
        <w:rPr>
          <w:lang w:val="lt-LT"/>
        </w:rPr>
        <w:t>ovaujamo sektoriaus rodikliais,</w:t>
      </w:r>
      <w:r w:rsidR="00582344">
        <w:rPr>
          <w:lang w:val="lt-LT"/>
        </w:rPr>
        <w:t xml:space="preserve"> įvertinama, kaip efektyviai įmonė veikia. Visi gauti rezultatai apibendrinami.</w:t>
      </w:r>
      <w:r w:rsidR="007345F2" w:rsidRPr="00ED3D25">
        <w:rPr>
          <w:lang w:val="lt-LT"/>
        </w:rPr>
        <w:t xml:space="preserve"> </w:t>
      </w:r>
    </w:p>
    <w:p w:rsidR="00675D83" w:rsidRPr="00ED3D25" w:rsidRDefault="003B3712" w:rsidP="00DF4D63">
      <w:pPr>
        <w:spacing w:after="0"/>
        <w:ind w:firstLine="851"/>
        <w:rPr>
          <w:lang w:val="lt-LT"/>
        </w:rPr>
      </w:pPr>
      <w:r w:rsidRPr="003B3712">
        <w:rPr>
          <w:b/>
          <w:bCs/>
          <w:lang w:val="lt-LT"/>
        </w:rPr>
        <w:t>Naudoti metodai:</w:t>
      </w:r>
      <w:r w:rsidR="00133304">
        <w:rPr>
          <w:lang w:val="lt-LT"/>
        </w:rPr>
        <w:t xml:space="preserve"> </w:t>
      </w:r>
      <w:r>
        <w:rPr>
          <w:lang w:val="lt-LT"/>
        </w:rPr>
        <w:t xml:space="preserve">atliekant tyrimą buvo taikytos </w:t>
      </w:r>
      <w:r w:rsidR="00133304">
        <w:rPr>
          <w:lang w:val="lt-LT"/>
        </w:rPr>
        <w:t>mokslinės literatūros analizė ir sintezė,</w:t>
      </w:r>
      <w:r w:rsidR="00446B1E" w:rsidRPr="00ED3D25">
        <w:rPr>
          <w:lang w:val="lt-LT"/>
        </w:rPr>
        <w:t xml:space="preserve"> </w:t>
      </w:r>
      <w:r w:rsidR="00020F27" w:rsidRPr="00ED3D25">
        <w:rPr>
          <w:lang w:val="lt-LT"/>
        </w:rPr>
        <w:t xml:space="preserve">statistinė duomenų analizė, sisteminimo ir lyginamosios analizės metodai, </w:t>
      </w:r>
      <w:r w:rsidR="00446B1E" w:rsidRPr="00ED3D25">
        <w:rPr>
          <w:lang w:val="lt-LT"/>
        </w:rPr>
        <w:t xml:space="preserve">santykinių rodiklių analizė, </w:t>
      </w:r>
      <w:r w:rsidR="00020F27" w:rsidRPr="00ED3D25">
        <w:rPr>
          <w:lang w:val="lt-LT"/>
        </w:rPr>
        <w:t>taip pat anketinė</w:t>
      </w:r>
      <w:r w:rsidR="00DF4D63">
        <w:rPr>
          <w:lang w:val="lt-LT"/>
        </w:rPr>
        <w:t>s apklausos metodas.</w:t>
      </w:r>
    </w:p>
    <w:p w:rsidR="00D75F18" w:rsidRPr="00ED3D25" w:rsidRDefault="003B3712" w:rsidP="00FA6ADE">
      <w:pPr>
        <w:spacing w:after="0"/>
        <w:ind w:firstLine="851"/>
        <w:rPr>
          <w:lang w:val="lt-LT"/>
        </w:rPr>
      </w:pPr>
      <w:r>
        <w:rPr>
          <w:b/>
          <w:bCs/>
          <w:lang w:val="lt-LT"/>
        </w:rPr>
        <w:t>Naudoti šaltiniai:</w:t>
      </w:r>
      <w:r>
        <w:rPr>
          <w:lang w:val="lt-LT"/>
        </w:rPr>
        <w:t xml:space="preserve"> mokslinė literatūra, straipsniai, įmonių finansiniai dokumentai</w:t>
      </w:r>
      <w:r w:rsidR="00D75F18" w:rsidRPr="00ED3D25">
        <w:rPr>
          <w:lang w:val="lt-LT"/>
        </w:rPr>
        <w:t>: pelno (nuostolio)</w:t>
      </w:r>
      <w:r w:rsidR="00FA6ADE">
        <w:rPr>
          <w:lang w:val="lt-LT"/>
        </w:rPr>
        <w:t>,</w:t>
      </w:r>
      <w:r w:rsidR="00D75F18" w:rsidRPr="00ED3D25">
        <w:rPr>
          <w:lang w:val="lt-LT"/>
        </w:rPr>
        <w:t xml:space="preserve"> </w:t>
      </w:r>
      <w:r w:rsidR="00FA6ADE">
        <w:rPr>
          <w:lang w:val="lt-LT"/>
        </w:rPr>
        <w:t>balanso</w:t>
      </w:r>
      <w:r w:rsidR="00FA6ADE" w:rsidRPr="00ED3D25">
        <w:rPr>
          <w:lang w:val="lt-LT"/>
        </w:rPr>
        <w:t xml:space="preserve"> </w:t>
      </w:r>
      <w:r w:rsidR="00D75F18" w:rsidRPr="00ED3D25">
        <w:rPr>
          <w:lang w:val="lt-LT"/>
        </w:rPr>
        <w:t>ataskait</w:t>
      </w:r>
      <w:r>
        <w:rPr>
          <w:lang w:val="lt-LT"/>
        </w:rPr>
        <w:t>o</w:t>
      </w:r>
      <w:r w:rsidR="00893A82" w:rsidRPr="00ED3D25">
        <w:rPr>
          <w:lang w:val="lt-LT"/>
        </w:rPr>
        <w:t>s,</w:t>
      </w:r>
      <w:r>
        <w:rPr>
          <w:lang w:val="lt-LT"/>
        </w:rPr>
        <w:t xml:space="preserve"> paraiško</w:t>
      </w:r>
      <w:r w:rsidR="00D75F18" w:rsidRPr="00ED3D25">
        <w:rPr>
          <w:lang w:val="lt-LT"/>
        </w:rPr>
        <w:t>s dėl ES finansinės paramos gavimo</w:t>
      </w:r>
      <w:r w:rsidR="00B3454F">
        <w:rPr>
          <w:lang w:val="lt-LT"/>
        </w:rPr>
        <w:t>,</w:t>
      </w:r>
      <w:r w:rsidR="00D75F18" w:rsidRPr="00ED3D25">
        <w:rPr>
          <w:lang w:val="lt-LT"/>
        </w:rPr>
        <w:t xml:space="preserve"> </w:t>
      </w:r>
      <w:r>
        <w:rPr>
          <w:lang w:val="lt-LT"/>
        </w:rPr>
        <w:t>internetiniai</w:t>
      </w:r>
      <w:r w:rsidR="00D56DE3" w:rsidRPr="00ED3D25">
        <w:rPr>
          <w:lang w:val="lt-LT"/>
        </w:rPr>
        <w:t xml:space="preserve"> šaltini</w:t>
      </w:r>
      <w:r>
        <w:rPr>
          <w:lang w:val="lt-LT"/>
        </w:rPr>
        <w:t>ai</w:t>
      </w:r>
      <w:r w:rsidR="00D56DE3" w:rsidRPr="00ED3D25">
        <w:rPr>
          <w:lang w:val="lt-LT"/>
        </w:rPr>
        <w:t xml:space="preserve"> (</w:t>
      </w:r>
      <w:r w:rsidR="00582344">
        <w:rPr>
          <w:lang w:val="lt-LT"/>
        </w:rPr>
        <w:t>Lietuvos statistikos departamentas, Nacionalinė mokėjimų agentūra ir kt.</w:t>
      </w:r>
      <w:r w:rsidR="00D56DE3" w:rsidRPr="00ED3D25">
        <w:rPr>
          <w:lang w:val="lt-LT"/>
        </w:rPr>
        <w:t>)</w:t>
      </w:r>
      <w:r w:rsidR="00B67549">
        <w:rPr>
          <w:lang w:val="lt-LT"/>
        </w:rPr>
        <w:t>.</w:t>
      </w:r>
    </w:p>
    <w:p w:rsidR="00DF5FB7" w:rsidRPr="00ED3D25" w:rsidRDefault="00DF5FB7">
      <w:pPr>
        <w:rPr>
          <w:rFonts w:eastAsiaTheme="majorEastAsia" w:cstheme="majorBidi"/>
          <w:b/>
          <w:bCs/>
          <w:caps/>
          <w:sz w:val="32"/>
          <w:szCs w:val="28"/>
          <w:lang w:val="lt-LT"/>
        </w:rPr>
      </w:pPr>
      <w:r w:rsidRPr="00ED3D25">
        <w:rPr>
          <w:lang w:val="lt-LT"/>
        </w:rPr>
        <w:br w:type="page"/>
      </w:r>
    </w:p>
    <w:p w:rsidR="00DB20A1" w:rsidRPr="00ED3D25" w:rsidRDefault="00DB20A1" w:rsidP="004C1FAF">
      <w:pPr>
        <w:pStyle w:val="Heading1"/>
        <w:numPr>
          <w:ilvl w:val="0"/>
          <w:numId w:val="20"/>
        </w:numPr>
        <w:rPr>
          <w:lang w:val="lt-LT"/>
        </w:rPr>
      </w:pPr>
      <w:bookmarkStart w:id="4" w:name="_Toc419534693"/>
      <w:r w:rsidRPr="00ED3D25">
        <w:rPr>
          <w:lang w:val="lt-LT"/>
        </w:rPr>
        <w:lastRenderedPageBreak/>
        <w:t>ES finansinės paramos esmė ir aktualumas SVV</w:t>
      </w:r>
      <w:bookmarkEnd w:id="4"/>
    </w:p>
    <w:p w:rsidR="00E46965" w:rsidRPr="00ED3D25" w:rsidRDefault="00E46965" w:rsidP="004C1FAF">
      <w:pPr>
        <w:pStyle w:val="Heading2"/>
        <w:numPr>
          <w:ilvl w:val="1"/>
          <w:numId w:val="20"/>
        </w:numPr>
        <w:spacing w:before="240" w:beforeAutospacing="0" w:after="240" w:afterAutospacing="0" w:line="360" w:lineRule="auto"/>
        <w:rPr>
          <w:sz w:val="24"/>
          <w:szCs w:val="24"/>
          <w:lang w:val="lt-LT"/>
        </w:rPr>
      </w:pPr>
      <w:bookmarkStart w:id="5" w:name="_Toc419534694"/>
      <w:r w:rsidRPr="00ED3D25">
        <w:rPr>
          <w:sz w:val="24"/>
          <w:szCs w:val="24"/>
          <w:lang w:val="lt-LT"/>
        </w:rPr>
        <w:t xml:space="preserve">Smulkaus ir vidutinio verslo </w:t>
      </w:r>
      <w:r w:rsidR="00156298" w:rsidRPr="00ED3D25">
        <w:rPr>
          <w:sz w:val="24"/>
          <w:szCs w:val="24"/>
          <w:lang w:val="lt-LT"/>
        </w:rPr>
        <w:t>vaidmuo regionuose</w:t>
      </w:r>
      <w:bookmarkEnd w:id="5"/>
    </w:p>
    <w:p w:rsidR="004043D7" w:rsidRPr="00ED3D25" w:rsidRDefault="003F687E" w:rsidP="00E10FAD">
      <w:pPr>
        <w:tabs>
          <w:tab w:val="left" w:pos="-426"/>
          <w:tab w:val="left" w:pos="1560"/>
        </w:tabs>
        <w:spacing w:after="0"/>
        <w:ind w:firstLine="851"/>
        <w:rPr>
          <w:szCs w:val="24"/>
          <w:lang w:val="lt-LT"/>
        </w:rPr>
      </w:pPr>
      <w:r w:rsidRPr="00ED3D25">
        <w:rPr>
          <w:szCs w:val="24"/>
          <w:lang w:val="lt-LT"/>
        </w:rPr>
        <w:t>Regionų politika yra</w:t>
      </w:r>
      <w:r w:rsidR="00FC64F3" w:rsidRPr="00ED3D25">
        <w:rPr>
          <w:szCs w:val="24"/>
          <w:lang w:val="lt-LT"/>
        </w:rPr>
        <w:t xml:space="preserve"> vykdoma teritoriniu lygmeniu, orientuojantis į vietinius poreikius, tačiau tuo pačiu šia politika siekiama gerovės ir </w:t>
      </w:r>
      <w:r w:rsidR="00C90553" w:rsidRPr="00ED3D25">
        <w:rPr>
          <w:szCs w:val="24"/>
          <w:lang w:val="lt-LT"/>
        </w:rPr>
        <w:t>visai</w:t>
      </w:r>
      <w:r w:rsidR="00FC64F3" w:rsidRPr="00ED3D25">
        <w:rPr>
          <w:szCs w:val="24"/>
          <w:lang w:val="lt-LT"/>
        </w:rPr>
        <w:t xml:space="preserve"> valstybei. </w:t>
      </w:r>
      <w:r w:rsidR="007D5943" w:rsidRPr="00ED3D25">
        <w:rPr>
          <w:szCs w:val="24"/>
          <w:lang w:val="lt-LT"/>
        </w:rPr>
        <w:t xml:space="preserve">LR regioninės politikos iki 2013 m. strategijoje nurodoma, kad jos tikslas – </w:t>
      </w:r>
      <w:r w:rsidR="00C90553" w:rsidRPr="00ED3D25">
        <w:rPr>
          <w:szCs w:val="24"/>
          <w:lang w:val="lt-LT"/>
        </w:rPr>
        <w:t>mažinti regioninius skirtumus ir užtikrinti gerovę</w:t>
      </w:r>
      <w:r w:rsidR="007D5943" w:rsidRPr="00ED3D25">
        <w:rPr>
          <w:szCs w:val="24"/>
          <w:lang w:val="lt-LT"/>
        </w:rPr>
        <w:t xml:space="preserve"> visos šalies </w:t>
      </w:r>
      <w:r w:rsidR="007D5943" w:rsidRPr="00ED3D25">
        <w:rPr>
          <w:rFonts w:asciiTheme="majorBidi" w:hAnsiTheme="majorBidi" w:cstheme="majorBidi"/>
          <w:szCs w:val="24"/>
          <w:lang w:val="lt-LT"/>
        </w:rPr>
        <w:t>mastu</w:t>
      </w:r>
      <w:r w:rsidR="00C90553" w:rsidRPr="00ED3D25">
        <w:rPr>
          <w:rFonts w:asciiTheme="majorBidi" w:hAnsiTheme="majorBidi" w:cstheme="majorBidi"/>
          <w:szCs w:val="24"/>
          <w:lang w:val="lt-LT"/>
        </w:rPr>
        <w:t xml:space="preserve"> (</w:t>
      </w:r>
      <w:r w:rsidR="00C90553" w:rsidRPr="00ED3D25">
        <w:rPr>
          <w:rFonts w:asciiTheme="majorBidi" w:hAnsiTheme="majorBidi" w:cstheme="majorBidi"/>
          <w:szCs w:val="24"/>
          <w:shd w:val="clear" w:color="auto" w:fill="FFFFFF"/>
          <w:lang w:val="lt-LT"/>
        </w:rPr>
        <w:t>Žin., 2000, Nr.</w:t>
      </w:r>
      <w:r w:rsidR="00C90553" w:rsidRPr="00ED3D25">
        <w:rPr>
          <w:rStyle w:val="apple-converted-space"/>
          <w:rFonts w:asciiTheme="majorBidi" w:hAnsiTheme="majorBidi" w:cstheme="majorBidi"/>
          <w:szCs w:val="24"/>
          <w:shd w:val="clear" w:color="auto" w:fill="FFFFFF"/>
          <w:lang w:val="lt-LT"/>
        </w:rPr>
        <w:t> </w:t>
      </w:r>
      <w:hyperlink r:id="rId10" w:history="1">
        <w:r w:rsidR="00C90553" w:rsidRPr="00ED3D25">
          <w:rPr>
            <w:rStyle w:val="Hyperlink"/>
            <w:rFonts w:asciiTheme="majorBidi" w:hAnsiTheme="majorBidi" w:cstheme="majorBidi"/>
            <w:caps/>
            <w:color w:val="auto"/>
            <w:szCs w:val="24"/>
            <w:u w:val="none"/>
            <w:shd w:val="clear" w:color="auto" w:fill="FFFFFF"/>
            <w:lang w:val="lt-LT"/>
          </w:rPr>
          <w:t>66-1987</w:t>
        </w:r>
      </w:hyperlink>
      <w:r w:rsidR="00C90553" w:rsidRPr="00ED3D25">
        <w:rPr>
          <w:rFonts w:asciiTheme="majorBidi" w:hAnsiTheme="majorBidi" w:cstheme="majorBidi"/>
          <w:caps/>
          <w:szCs w:val="24"/>
          <w:shd w:val="clear" w:color="auto" w:fill="FFFFFF"/>
          <w:lang w:val="lt-LT"/>
        </w:rPr>
        <w:t>)</w:t>
      </w:r>
      <w:r w:rsidR="007D5943" w:rsidRPr="00ED3D25">
        <w:rPr>
          <w:rFonts w:asciiTheme="majorBidi" w:hAnsiTheme="majorBidi" w:cstheme="majorBidi"/>
          <w:szCs w:val="24"/>
          <w:lang w:val="lt-LT"/>
        </w:rPr>
        <w:t>.</w:t>
      </w:r>
      <w:r w:rsidR="007D5943" w:rsidRPr="00ED3D25">
        <w:rPr>
          <w:szCs w:val="24"/>
          <w:lang w:val="lt-LT"/>
        </w:rPr>
        <w:t xml:space="preserve"> </w:t>
      </w:r>
      <w:r w:rsidR="00FC64F3" w:rsidRPr="00ED3D25">
        <w:rPr>
          <w:szCs w:val="24"/>
          <w:lang w:val="lt-LT"/>
        </w:rPr>
        <w:t>Ši politika tampa vis</w:t>
      </w:r>
      <w:r w:rsidRPr="00ED3D25">
        <w:rPr>
          <w:szCs w:val="24"/>
          <w:lang w:val="lt-LT"/>
        </w:rPr>
        <w:t xml:space="preserve"> </w:t>
      </w:r>
      <w:r w:rsidR="00C90553" w:rsidRPr="00ED3D25">
        <w:rPr>
          <w:szCs w:val="24"/>
          <w:lang w:val="lt-LT"/>
        </w:rPr>
        <w:t>aktualesnė</w:t>
      </w:r>
      <w:r w:rsidRPr="00ED3D25">
        <w:rPr>
          <w:szCs w:val="24"/>
          <w:lang w:val="lt-LT"/>
        </w:rPr>
        <w:t>, nes laikui bėgant atskiroms savivaldybėms susitvarkyti su iškilusiomis problemomis ar vykdomais plėtros projektais susidoroti sekasi vis sunkiau, tad pasak Ch. V. Howkins</w:t>
      </w:r>
      <w:r w:rsidR="005F43CD" w:rsidRPr="00ED3D25">
        <w:rPr>
          <w:szCs w:val="24"/>
          <w:lang w:val="lt-LT"/>
        </w:rPr>
        <w:t xml:space="preserve"> (2004)</w:t>
      </w:r>
      <w:r w:rsidRPr="00ED3D25">
        <w:rPr>
          <w:szCs w:val="24"/>
          <w:lang w:val="lt-LT"/>
        </w:rPr>
        <w:t xml:space="preserve"> tiek atskiri miestai ar savivaldybės yra verčiami kooperuotis </w:t>
      </w:r>
      <w:r w:rsidR="005F43CD" w:rsidRPr="00ED3D25">
        <w:rPr>
          <w:szCs w:val="24"/>
          <w:lang w:val="lt-LT"/>
        </w:rPr>
        <w:t>vykdant</w:t>
      </w:r>
      <w:r w:rsidRPr="00ED3D25">
        <w:rPr>
          <w:szCs w:val="24"/>
          <w:lang w:val="lt-LT"/>
        </w:rPr>
        <w:t xml:space="preserve"> projektus (Ciglar 1999; Feiock, Moon, Park 2008). </w:t>
      </w:r>
      <w:r w:rsidR="00AB1696">
        <w:rPr>
          <w:szCs w:val="24"/>
          <w:lang w:val="lt-LT"/>
        </w:rPr>
        <w:t xml:space="preserve">Tad </w:t>
      </w:r>
      <w:r w:rsidRPr="00ED3D25">
        <w:rPr>
          <w:szCs w:val="24"/>
          <w:lang w:val="lt-LT"/>
        </w:rPr>
        <w:t>D. R. Morgan ir M. W. Hirlinger</w:t>
      </w:r>
      <w:r w:rsidR="005F43CD" w:rsidRPr="00ED3D25">
        <w:rPr>
          <w:szCs w:val="24"/>
          <w:lang w:val="lt-LT"/>
        </w:rPr>
        <w:t xml:space="preserve"> (1999)</w:t>
      </w:r>
      <w:r w:rsidRPr="00ED3D25">
        <w:rPr>
          <w:szCs w:val="24"/>
          <w:lang w:val="lt-LT"/>
        </w:rPr>
        <w:t xml:space="preserve"> atliko ne vieną tyrimą susijusį su savivaldybių susijungimu ir paskelbė, kad bene reikšmingiausias ir dažniausiai kartojęsis veiksnys nulėmęs savivaldybių tarpusavio </w:t>
      </w:r>
      <w:r w:rsidR="00AB1696">
        <w:rPr>
          <w:szCs w:val="24"/>
          <w:lang w:val="lt-LT"/>
        </w:rPr>
        <w:t>bendradarbiavimą yra ekonomika.</w:t>
      </w:r>
    </w:p>
    <w:p w:rsidR="003F687E" w:rsidRPr="00ED3D25" w:rsidRDefault="003F687E" w:rsidP="00E10FAD">
      <w:pPr>
        <w:tabs>
          <w:tab w:val="left" w:pos="-426"/>
        </w:tabs>
        <w:spacing w:after="0"/>
        <w:ind w:firstLine="851"/>
        <w:rPr>
          <w:szCs w:val="24"/>
          <w:lang w:val="lt-LT"/>
        </w:rPr>
      </w:pPr>
      <w:r w:rsidRPr="00ED3D25">
        <w:rPr>
          <w:szCs w:val="24"/>
          <w:lang w:val="lt-LT"/>
        </w:rPr>
        <w:t xml:space="preserve">Būtent ekonominiai veiksniai, pavyzdžiui, didesnis finansavimas lemia sprendimą veikti kartu. Šiuo būdu sukuriamos tinkamos sąlygos sujungti tam tikrą savivaldybių skaičių į regionus ir taip užtikrinti efektyvų valdymą (Savitch ir Vogel, 2000). </w:t>
      </w:r>
      <w:r w:rsidR="00D75F18" w:rsidRPr="00ED3D25">
        <w:rPr>
          <w:szCs w:val="24"/>
          <w:lang w:val="lt-LT"/>
        </w:rPr>
        <w:t xml:space="preserve">Taip pat </w:t>
      </w:r>
      <w:r w:rsidRPr="00ED3D25">
        <w:rPr>
          <w:szCs w:val="24"/>
          <w:lang w:val="lt-LT"/>
        </w:rPr>
        <w:t>Rusk (1995), Olberding (2002), Stephens ir Wikström (2000) nuo</w:t>
      </w:r>
      <w:r w:rsidR="004043D7" w:rsidRPr="00ED3D25">
        <w:rPr>
          <w:szCs w:val="24"/>
          <w:lang w:val="lt-LT"/>
        </w:rPr>
        <w:t xml:space="preserve">mone, atskiros </w:t>
      </w:r>
      <w:r w:rsidRPr="00ED3D25">
        <w:rPr>
          <w:szCs w:val="24"/>
          <w:lang w:val="lt-LT"/>
        </w:rPr>
        <w:t xml:space="preserve">savivaldybės yra per smulkus </w:t>
      </w:r>
      <w:r w:rsidR="004043D7" w:rsidRPr="00ED3D25">
        <w:rPr>
          <w:szCs w:val="24"/>
          <w:lang w:val="lt-LT"/>
        </w:rPr>
        <w:t>valdymo organas</w:t>
      </w:r>
      <w:r w:rsidRPr="00ED3D25">
        <w:rPr>
          <w:szCs w:val="24"/>
          <w:lang w:val="lt-LT"/>
        </w:rPr>
        <w:t>, kad būtų kovojama prieš neigiamą išorės poveikį. Taip pat sudėtinga sulaukti teigiamų vystymosi rezultatų pausaulinėje ekonomikoje, ko būtų galima lengviau siekti kaip regionui, kai valdžia tam tikru mastu yra centralizuota (McKinnon, Cumbers ir Chapman, 2002).</w:t>
      </w:r>
      <w:r w:rsidR="00FC64F3" w:rsidRPr="00ED3D25">
        <w:rPr>
          <w:szCs w:val="24"/>
          <w:lang w:val="lt-LT"/>
        </w:rPr>
        <w:t xml:space="preserve"> </w:t>
      </w:r>
      <w:r w:rsidR="00FC64F3" w:rsidRPr="00ED3D25">
        <w:rPr>
          <w:rFonts w:asciiTheme="majorBidi" w:hAnsiTheme="majorBidi" w:cstheme="majorBidi"/>
          <w:szCs w:val="24"/>
          <w:lang w:val="lt-LT"/>
        </w:rPr>
        <w:t>Toks savivados sujungimas į regionus sukuria jai daugiau atsakomybės</w:t>
      </w:r>
      <w:r w:rsidRPr="00ED3D25">
        <w:rPr>
          <w:szCs w:val="24"/>
          <w:lang w:val="lt-LT"/>
        </w:rPr>
        <w:t xml:space="preserve">, o tai lemia augantį regionų autonomiškumą ir galimybę nuspręsti, kas būtent tam regionui yra geriausia. Kadangi visos šalies sritys pasižymi skirtinga  geografine padėtimi ir ekonominiais ypatumais, kurie suteikia pranašumų arba trūkumų kitų veiklos sričių atžvilgiu, tad šiose vietovėse reikia vykdyti skirtingas verslo plėtros strategijas. </w:t>
      </w:r>
    </w:p>
    <w:p w:rsidR="00DB20A1" w:rsidRPr="00ED3D25" w:rsidRDefault="00E46965" w:rsidP="00DB20A1">
      <w:pPr>
        <w:tabs>
          <w:tab w:val="left" w:pos="851"/>
        </w:tabs>
        <w:spacing w:after="0"/>
        <w:ind w:firstLine="851"/>
        <w:rPr>
          <w:b/>
          <w:bCs/>
          <w:szCs w:val="24"/>
          <w:lang w:val="lt-LT"/>
        </w:rPr>
      </w:pPr>
      <w:r w:rsidRPr="00ED3D25">
        <w:rPr>
          <w:szCs w:val="24"/>
          <w:lang w:val="lt-LT"/>
        </w:rPr>
        <w:t>Smulkus ir vidutinis verslas (SVV) ilgą laiką buvo</w:t>
      </w:r>
      <w:r w:rsidR="003F687E" w:rsidRPr="00ED3D25">
        <w:rPr>
          <w:szCs w:val="24"/>
          <w:lang w:val="lt-LT"/>
        </w:rPr>
        <w:t xml:space="preserve"> šiek tiek</w:t>
      </w:r>
      <w:r w:rsidRPr="00ED3D25">
        <w:rPr>
          <w:szCs w:val="24"/>
          <w:lang w:val="lt-LT"/>
        </w:rPr>
        <w:t xml:space="preserve"> pamirštas Europoje, vis labiau buvo orientuojamasi į dideles kompanijas, kurios gali pasiūlyti prekes ir paslaugas mažesnėmis kainomis. Tačiau pastarąjį dešimtmetį vėl atkreiptas dėmesys į mažąsias įmones, kurios yra mobilesnės už didžiąsias, greičiau sugeba persiorientuoti prie besikeičiančių verslo salygų. </w:t>
      </w:r>
      <w:r w:rsidR="005F43CD" w:rsidRPr="00ED3D25">
        <w:rPr>
          <w:szCs w:val="24"/>
          <w:lang w:val="lt-LT"/>
        </w:rPr>
        <w:t xml:space="preserve">Tad žemiau pateiktoje </w:t>
      </w:r>
      <w:r w:rsidR="00DB20A1" w:rsidRPr="00ED3D25">
        <w:rPr>
          <w:szCs w:val="24"/>
          <w:lang w:val="lt-LT"/>
        </w:rPr>
        <w:t>1</w:t>
      </w:r>
      <w:r w:rsidR="005F43CD" w:rsidRPr="00ED3D25">
        <w:rPr>
          <w:szCs w:val="24"/>
          <w:lang w:val="lt-LT"/>
        </w:rPr>
        <w:t xml:space="preserve"> lentelėje</w:t>
      </w:r>
      <w:r w:rsidR="00674881" w:rsidRPr="00ED3D25">
        <w:rPr>
          <w:szCs w:val="24"/>
          <w:lang w:val="lt-LT"/>
        </w:rPr>
        <w:t xml:space="preserve"> pateikti argumentai, kuo smulkus ir vidutinis verslas yra naudingas regionuose.</w:t>
      </w:r>
      <w:r w:rsidR="00E307C7" w:rsidRPr="00ED3D25">
        <w:rPr>
          <w:b/>
          <w:bCs/>
          <w:szCs w:val="24"/>
          <w:highlight w:val="yellow"/>
          <w:lang w:val="lt-LT"/>
        </w:rPr>
        <w:br/>
      </w:r>
    </w:p>
    <w:p w:rsidR="00DB20A1" w:rsidRPr="00ED3D25" w:rsidRDefault="00DB20A1">
      <w:pPr>
        <w:rPr>
          <w:b/>
          <w:bCs/>
          <w:szCs w:val="24"/>
          <w:lang w:val="lt-LT"/>
        </w:rPr>
      </w:pPr>
      <w:r w:rsidRPr="00ED3D25">
        <w:rPr>
          <w:b/>
          <w:bCs/>
          <w:szCs w:val="24"/>
          <w:lang w:val="lt-LT"/>
        </w:rPr>
        <w:br w:type="page"/>
      </w:r>
    </w:p>
    <w:p w:rsidR="00674881" w:rsidRPr="00ED3D25" w:rsidRDefault="00DB20A1" w:rsidP="00DB20A1">
      <w:pPr>
        <w:tabs>
          <w:tab w:val="left" w:pos="851"/>
        </w:tabs>
        <w:spacing w:after="0"/>
        <w:ind w:firstLine="851"/>
        <w:jc w:val="right"/>
        <w:rPr>
          <w:b/>
          <w:bCs/>
          <w:szCs w:val="24"/>
          <w:lang w:val="lt-LT"/>
        </w:rPr>
      </w:pPr>
      <w:r w:rsidRPr="00ED3D25">
        <w:rPr>
          <w:b/>
          <w:bCs/>
          <w:szCs w:val="24"/>
          <w:lang w:val="lt-LT"/>
        </w:rPr>
        <w:lastRenderedPageBreak/>
        <w:t>1</w:t>
      </w:r>
      <w:r w:rsidR="00674881" w:rsidRPr="00ED3D25">
        <w:rPr>
          <w:b/>
          <w:bCs/>
          <w:szCs w:val="24"/>
          <w:lang w:val="lt-LT"/>
        </w:rPr>
        <w:t xml:space="preserve"> lentelė</w:t>
      </w:r>
    </w:p>
    <w:p w:rsidR="00CB243D" w:rsidRPr="00ED3D25" w:rsidRDefault="00CB243D" w:rsidP="00CB243D">
      <w:pPr>
        <w:tabs>
          <w:tab w:val="left" w:pos="851"/>
        </w:tabs>
        <w:spacing w:after="0" w:line="240" w:lineRule="auto"/>
        <w:jc w:val="center"/>
        <w:rPr>
          <w:b/>
          <w:bCs/>
          <w:lang w:val="lt-LT"/>
        </w:rPr>
      </w:pPr>
      <w:r w:rsidRPr="00ED3D25">
        <w:rPr>
          <w:b/>
          <w:bCs/>
          <w:lang w:val="lt-LT"/>
        </w:rPr>
        <w:t>Smulkaus ir vidutinio verslo nauda regione</w:t>
      </w:r>
    </w:p>
    <w:p w:rsidR="00CB243D" w:rsidRPr="00ED3D25" w:rsidRDefault="00CB243D" w:rsidP="00CB243D">
      <w:pPr>
        <w:tabs>
          <w:tab w:val="left" w:pos="851"/>
        </w:tabs>
        <w:spacing w:after="0" w:line="240" w:lineRule="auto"/>
        <w:jc w:val="center"/>
        <w:rPr>
          <w:lang w:val="lt-LT"/>
        </w:rPr>
      </w:pPr>
    </w:p>
    <w:tbl>
      <w:tblPr>
        <w:tblStyle w:val="TableGrid"/>
        <w:tblW w:w="0" w:type="auto"/>
        <w:tblLook w:val="04A0" w:firstRow="1" w:lastRow="0" w:firstColumn="1" w:lastColumn="0" w:noHBand="0" w:noVBand="1"/>
      </w:tblPr>
      <w:tblGrid>
        <w:gridCol w:w="2093"/>
        <w:gridCol w:w="7371"/>
      </w:tblGrid>
      <w:tr w:rsidR="00222750" w:rsidRPr="00ED3D25" w:rsidTr="00865650">
        <w:tc>
          <w:tcPr>
            <w:tcW w:w="2093" w:type="dxa"/>
          </w:tcPr>
          <w:p w:rsidR="00222750" w:rsidRPr="00ED3D25" w:rsidRDefault="00222750" w:rsidP="00F41E1E">
            <w:pPr>
              <w:tabs>
                <w:tab w:val="left" w:pos="851"/>
              </w:tabs>
              <w:spacing w:line="240" w:lineRule="auto"/>
              <w:rPr>
                <w:b/>
                <w:bCs/>
                <w:lang w:val="lt-LT"/>
              </w:rPr>
            </w:pPr>
            <w:r w:rsidRPr="00ED3D25">
              <w:rPr>
                <w:b/>
                <w:bCs/>
                <w:lang w:val="lt-LT"/>
              </w:rPr>
              <w:t>Autorius</w:t>
            </w:r>
          </w:p>
        </w:tc>
        <w:tc>
          <w:tcPr>
            <w:tcW w:w="7371" w:type="dxa"/>
          </w:tcPr>
          <w:p w:rsidR="00222750" w:rsidRPr="00ED3D25" w:rsidRDefault="00674881" w:rsidP="00F41E1E">
            <w:pPr>
              <w:tabs>
                <w:tab w:val="left" w:pos="851"/>
              </w:tabs>
              <w:spacing w:line="240" w:lineRule="auto"/>
              <w:rPr>
                <w:b/>
                <w:bCs/>
                <w:lang w:val="lt-LT"/>
              </w:rPr>
            </w:pPr>
            <w:r w:rsidRPr="00ED3D25">
              <w:rPr>
                <w:b/>
                <w:bCs/>
                <w:lang w:val="lt-LT"/>
              </w:rPr>
              <w:t>Argumentas</w:t>
            </w:r>
          </w:p>
        </w:tc>
      </w:tr>
      <w:tr w:rsidR="00222750" w:rsidRPr="004B21BF" w:rsidTr="00865650">
        <w:tc>
          <w:tcPr>
            <w:tcW w:w="2093" w:type="dxa"/>
          </w:tcPr>
          <w:p w:rsidR="00222750" w:rsidRPr="00ED3D25" w:rsidRDefault="00222750" w:rsidP="00F41E1E">
            <w:pPr>
              <w:tabs>
                <w:tab w:val="left" w:pos="851"/>
              </w:tabs>
              <w:spacing w:line="240" w:lineRule="auto"/>
              <w:rPr>
                <w:lang w:val="lt-LT"/>
              </w:rPr>
            </w:pPr>
            <w:r w:rsidRPr="00ED3D25">
              <w:rPr>
                <w:lang w:val="lt-LT"/>
              </w:rPr>
              <w:t>L. Mažylis</w:t>
            </w:r>
            <w:r w:rsidR="006C5EC3" w:rsidRPr="00ED3D25">
              <w:rPr>
                <w:lang w:val="lt-LT"/>
              </w:rPr>
              <w:t xml:space="preserve"> ir kt. (2004)</w:t>
            </w:r>
          </w:p>
        </w:tc>
        <w:tc>
          <w:tcPr>
            <w:tcW w:w="7371" w:type="dxa"/>
          </w:tcPr>
          <w:p w:rsidR="00222750" w:rsidRPr="00ED3D25" w:rsidRDefault="00AB1696" w:rsidP="00F41E1E">
            <w:pPr>
              <w:tabs>
                <w:tab w:val="left" w:pos="851"/>
              </w:tabs>
              <w:spacing w:line="240" w:lineRule="auto"/>
              <w:rPr>
                <w:lang w:val="lt-LT"/>
              </w:rPr>
            </w:pPr>
            <w:r>
              <w:rPr>
                <w:lang w:val="lt-LT"/>
              </w:rPr>
              <w:t>SVV sukuria daugiau</w:t>
            </w:r>
            <w:r w:rsidR="00222750" w:rsidRPr="00ED3D25">
              <w:rPr>
                <w:lang w:val="lt-LT"/>
              </w:rPr>
              <w:t>siai darbo vietų, siūlo tai, ko nerasite didžiosiose firmose.</w:t>
            </w:r>
          </w:p>
        </w:tc>
      </w:tr>
      <w:tr w:rsidR="00222750" w:rsidRPr="004B21BF" w:rsidTr="00865650">
        <w:tc>
          <w:tcPr>
            <w:tcW w:w="2093" w:type="dxa"/>
          </w:tcPr>
          <w:p w:rsidR="00222750" w:rsidRPr="00ED3D25" w:rsidRDefault="00AA64EA" w:rsidP="00F41E1E">
            <w:pPr>
              <w:tabs>
                <w:tab w:val="left" w:pos="851"/>
              </w:tabs>
              <w:spacing w:line="240" w:lineRule="auto"/>
              <w:rPr>
                <w:lang w:val="lt-LT"/>
              </w:rPr>
            </w:pPr>
            <w:r w:rsidRPr="00ED3D25">
              <w:rPr>
                <w:lang w:val="lt-LT"/>
              </w:rPr>
              <w:t>C. Street, A. Cameron</w:t>
            </w:r>
            <w:r w:rsidR="00674881" w:rsidRPr="00ED3D25">
              <w:rPr>
                <w:lang w:val="lt-LT"/>
              </w:rPr>
              <w:t xml:space="preserve"> (2007)</w:t>
            </w:r>
          </w:p>
        </w:tc>
        <w:tc>
          <w:tcPr>
            <w:tcW w:w="7371" w:type="dxa"/>
          </w:tcPr>
          <w:p w:rsidR="00222750" w:rsidRPr="00ED3D25" w:rsidRDefault="00AA64EA" w:rsidP="00F41E1E">
            <w:pPr>
              <w:tabs>
                <w:tab w:val="left" w:pos="851"/>
              </w:tabs>
              <w:spacing w:line="240" w:lineRule="auto"/>
              <w:rPr>
                <w:lang w:val="lt-LT"/>
              </w:rPr>
            </w:pPr>
            <w:r w:rsidRPr="00ED3D25">
              <w:rPr>
                <w:lang w:val="lt-LT"/>
              </w:rPr>
              <w:t>SVV atlieka svarbų socialinį ir e</w:t>
            </w:r>
            <w:r w:rsidR="0058023E" w:rsidRPr="00ED3D25">
              <w:rPr>
                <w:lang w:val="lt-LT"/>
              </w:rPr>
              <w:t>konominį vaidmenį ne tik regiono mastu</w:t>
            </w:r>
            <w:r w:rsidRPr="00ED3D25">
              <w:rPr>
                <w:lang w:val="lt-LT"/>
              </w:rPr>
              <w:t>, bet ir visoje šalyje</w:t>
            </w:r>
            <w:r w:rsidR="00013175" w:rsidRPr="00ED3D25">
              <w:rPr>
                <w:lang w:val="lt-LT"/>
              </w:rPr>
              <w:t>.</w:t>
            </w:r>
          </w:p>
        </w:tc>
      </w:tr>
      <w:tr w:rsidR="00222750" w:rsidRPr="004B21BF" w:rsidTr="00865650">
        <w:tc>
          <w:tcPr>
            <w:tcW w:w="2093" w:type="dxa"/>
          </w:tcPr>
          <w:p w:rsidR="00222750" w:rsidRPr="00ED3D25" w:rsidRDefault="00B653A9" w:rsidP="00F41E1E">
            <w:pPr>
              <w:tabs>
                <w:tab w:val="left" w:pos="851"/>
              </w:tabs>
              <w:spacing w:line="240" w:lineRule="auto"/>
              <w:rPr>
                <w:lang w:val="lt-LT"/>
              </w:rPr>
            </w:pPr>
            <w:r w:rsidRPr="00ED3D25">
              <w:rPr>
                <w:lang w:val="lt-LT"/>
              </w:rPr>
              <w:t>D. Rainey</w:t>
            </w:r>
            <w:r w:rsidR="00AA64EA" w:rsidRPr="00ED3D25">
              <w:rPr>
                <w:lang w:val="lt-LT"/>
              </w:rPr>
              <w:t xml:space="preserve"> </w:t>
            </w:r>
            <w:r w:rsidRPr="00ED3D25">
              <w:rPr>
                <w:lang w:val="lt-LT"/>
              </w:rPr>
              <w:t>(</w:t>
            </w:r>
            <w:r w:rsidR="00AA64EA" w:rsidRPr="00ED3D25">
              <w:rPr>
                <w:lang w:val="lt-LT"/>
              </w:rPr>
              <w:t>2006</w:t>
            </w:r>
            <w:r w:rsidRPr="00ED3D25">
              <w:rPr>
                <w:lang w:val="lt-LT"/>
              </w:rPr>
              <w:t>)</w:t>
            </w:r>
          </w:p>
        </w:tc>
        <w:tc>
          <w:tcPr>
            <w:tcW w:w="7371" w:type="dxa"/>
          </w:tcPr>
          <w:p w:rsidR="00222750" w:rsidRPr="00ED3D25" w:rsidRDefault="00AA64EA" w:rsidP="00F41E1E">
            <w:pPr>
              <w:tabs>
                <w:tab w:val="left" w:pos="851"/>
              </w:tabs>
              <w:spacing w:line="240" w:lineRule="auto"/>
              <w:rPr>
                <w:lang w:val="lt-LT"/>
              </w:rPr>
            </w:pPr>
            <w:r w:rsidRPr="00ED3D25">
              <w:rPr>
                <w:lang w:val="lt-LT"/>
              </w:rPr>
              <w:t>SVV siūlo nemasinei prekybai skirtus gaminius ir paslaugas, tokiu būdu nestandartizuoti gaminiai tampa patrauklūs klientams.</w:t>
            </w:r>
          </w:p>
        </w:tc>
      </w:tr>
      <w:tr w:rsidR="00222750" w:rsidRPr="009E2757" w:rsidTr="00865650">
        <w:tc>
          <w:tcPr>
            <w:tcW w:w="2093" w:type="dxa"/>
          </w:tcPr>
          <w:p w:rsidR="00222750" w:rsidRPr="00ED3D25" w:rsidRDefault="00AA64EA" w:rsidP="00F41E1E">
            <w:pPr>
              <w:tabs>
                <w:tab w:val="left" w:pos="851"/>
              </w:tabs>
              <w:spacing w:line="240" w:lineRule="auto"/>
              <w:rPr>
                <w:lang w:val="lt-LT"/>
              </w:rPr>
            </w:pPr>
            <w:r w:rsidRPr="00ED3D25">
              <w:rPr>
                <w:lang w:val="lt-LT"/>
              </w:rPr>
              <w:t>V. Sūdžius</w:t>
            </w:r>
            <w:r w:rsidR="00013175" w:rsidRPr="00ED3D25">
              <w:rPr>
                <w:lang w:val="lt-LT"/>
              </w:rPr>
              <w:t xml:space="preserve"> (2001)</w:t>
            </w:r>
          </w:p>
        </w:tc>
        <w:tc>
          <w:tcPr>
            <w:tcW w:w="7371" w:type="dxa"/>
          </w:tcPr>
          <w:p w:rsidR="00222750" w:rsidRPr="00ED3D25" w:rsidRDefault="00AA64EA" w:rsidP="00F41E1E">
            <w:pPr>
              <w:tabs>
                <w:tab w:val="left" w:pos="851"/>
              </w:tabs>
              <w:spacing w:line="240" w:lineRule="auto"/>
              <w:rPr>
                <w:lang w:val="lt-LT"/>
              </w:rPr>
            </w:pPr>
            <w:r w:rsidRPr="00ED3D25">
              <w:rPr>
                <w:lang w:val="lt-LT"/>
              </w:rPr>
              <w:t>SVV sugeba greičiau prisitaikyti prie greitai besikeičiančios</w:t>
            </w:r>
            <w:r w:rsidR="00A5657D" w:rsidRPr="00ED3D25">
              <w:rPr>
                <w:lang w:val="lt-LT"/>
              </w:rPr>
              <w:t xml:space="preserve"> ekonominės</w:t>
            </w:r>
            <w:r w:rsidRPr="00ED3D25">
              <w:rPr>
                <w:lang w:val="lt-LT"/>
              </w:rPr>
              <w:t xml:space="preserve"> aplinkos, </w:t>
            </w:r>
            <w:r w:rsidR="00A5657D" w:rsidRPr="00ED3D25">
              <w:rPr>
                <w:lang w:val="lt-LT"/>
              </w:rPr>
              <w:t>orientuojasi į vietinius išteklius, taip prisideda prie šalies ekonomikos</w:t>
            </w:r>
            <w:r w:rsidR="00013175" w:rsidRPr="00ED3D25">
              <w:rPr>
                <w:lang w:val="lt-LT"/>
              </w:rPr>
              <w:t>.</w:t>
            </w:r>
          </w:p>
        </w:tc>
      </w:tr>
      <w:tr w:rsidR="00222750" w:rsidRPr="009E2757" w:rsidTr="00865650">
        <w:tc>
          <w:tcPr>
            <w:tcW w:w="2093" w:type="dxa"/>
          </w:tcPr>
          <w:p w:rsidR="00222750" w:rsidRPr="00ED3D25" w:rsidRDefault="00A5657D" w:rsidP="00F41E1E">
            <w:pPr>
              <w:tabs>
                <w:tab w:val="left" w:pos="851"/>
              </w:tabs>
              <w:spacing w:line="240" w:lineRule="auto"/>
              <w:rPr>
                <w:lang w:val="lt-LT"/>
              </w:rPr>
            </w:pPr>
            <w:r w:rsidRPr="00ED3D25">
              <w:rPr>
                <w:lang w:val="lt-LT"/>
              </w:rPr>
              <w:t>Lietuvos statistikos departamentas (2007)</w:t>
            </w:r>
          </w:p>
        </w:tc>
        <w:tc>
          <w:tcPr>
            <w:tcW w:w="7371" w:type="dxa"/>
          </w:tcPr>
          <w:p w:rsidR="00222750" w:rsidRPr="00ED3D25" w:rsidRDefault="00AB1696" w:rsidP="00F41E1E">
            <w:pPr>
              <w:tabs>
                <w:tab w:val="left" w:pos="851"/>
              </w:tabs>
              <w:spacing w:line="240" w:lineRule="auto"/>
              <w:rPr>
                <w:lang w:val="lt-LT"/>
              </w:rPr>
            </w:pPr>
            <w:r>
              <w:rPr>
                <w:lang w:val="lt-LT"/>
              </w:rPr>
              <w:t>SVV įmonės</w:t>
            </w:r>
            <w:r w:rsidR="00A5657D" w:rsidRPr="00ED3D25">
              <w:rPr>
                <w:lang w:val="lt-LT"/>
              </w:rPr>
              <w:t xml:space="preserve"> yra mobiliausios, besikeičiančios SVV dalys, kurios turi lemiamą poveikį</w:t>
            </w:r>
            <w:r w:rsidR="00655455" w:rsidRPr="00ED3D25">
              <w:rPr>
                <w:lang w:val="lt-LT"/>
              </w:rPr>
              <w:t xml:space="preserve"> bendram ekonominiam augimui, s</w:t>
            </w:r>
            <w:r w:rsidR="00A5657D" w:rsidRPr="00ED3D25">
              <w:rPr>
                <w:lang w:val="lt-LT"/>
              </w:rPr>
              <w:t>ocialiniam stabilumui</w:t>
            </w:r>
            <w:r w:rsidR="00013175" w:rsidRPr="00ED3D25">
              <w:rPr>
                <w:lang w:val="lt-LT"/>
              </w:rPr>
              <w:t>.</w:t>
            </w:r>
          </w:p>
        </w:tc>
      </w:tr>
      <w:tr w:rsidR="00222750" w:rsidRPr="00ED3D25" w:rsidTr="00865650">
        <w:tc>
          <w:tcPr>
            <w:tcW w:w="2093" w:type="dxa"/>
          </w:tcPr>
          <w:p w:rsidR="00222750" w:rsidRPr="00ED3D25" w:rsidRDefault="00655455" w:rsidP="00F41E1E">
            <w:pPr>
              <w:tabs>
                <w:tab w:val="left" w:pos="851"/>
              </w:tabs>
              <w:spacing w:line="240" w:lineRule="auto"/>
              <w:rPr>
                <w:lang w:val="lt-LT"/>
              </w:rPr>
            </w:pPr>
            <w:r w:rsidRPr="00ED3D25">
              <w:rPr>
                <w:lang w:val="lt-LT"/>
              </w:rPr>
              <w:t xml:space="preserve">B. </w:t>
            </w:r>
            <w:r w:rsidR="00A5657D" w:rsidRPr="00ED3D25">
              <w:rPr>
                <w:lang w:val="lt-LT"/>
              </w:rPr>
              <w:t xml:space="preserve">Martinkus, </w:t>
            </w:r>
            <w:r w:rsidRPr="00ED3D25">
              <w:rPr>
                <w:lang w:val="lt-LT"/>
              </w:rPr>
              <w:t>V. Žilinskas</w:t>
            </w:r>
            <w:r w:rsidR="00A5657D" w:rsidRPr="00ED3D25">
              <w:rPr>
                <w:lang w:val="lt-LT"/>
              </w:rPr>
              <w:t xml:space="preserve"> </w:t>
            </w:r>
            <w:r w:rsidR="006C5EC3" w:rsidRPr="00ED3D25">
              <w:rPr>
                <w:lang w:val="lt-LT"/>
              </w:rPr>
              <w:t>(</w:t>
            </w:r>
            <w:r w:rsidR="00A5657D" w:rsidRPr="00ED3D25">
              <w:rPr>
                <w:lang w:val="lt-LT"/>
              </w:rPr>
              <w:t>2001</w:t>
            </w:r>
            <w:r w:rsidR="006C5EC3" w:rsidRPr="00ED3D25">
              <w:rPr>
                <w:lang w:val="lt-LT"/>
              </w:rPr>
              <w:t>)</w:t>
            </w:r>
          </w:p>
        </w:tc>
        <w:tc>
          <w:tcPr>
            <w:tcW w:w="7371" w:type="dxa"/>
          </w:tcPr>
          <w:p w:rsidR="00222750" w:rsidRPr="00ED3D25" w:rsidRDefault="0058023E" w:rsidP="00F41E1E">
            <w:pPr>
              <w:tabs>
                <w:tab w:val="left" w:pos="851"/>
              </w:tabs>
              <w:spacing w:line="240" w:lineRule="auto"/>
              <w:rPr>
                <w:lang w:val="lt-LT"/>
              </w:rPr>
            </w:pPr>
            <w:r w:rsidRPr="00ED3D25">
              <w:rPr>
                <w:lang w:val="lt-LT"/>
              </w:rPr>
              <w:t>SVV tarsi organizacija, kurios veikla skirta vietinei rinkai.</w:t>
            </w:r>
          </w:p>
        </w:tc>
      </w:tr>
      <w:tr w:rsidR="00222750" w:rsidRPr="004B21BF" w:rsidTr="00865650">
        <w:tc>
          <w:tcPr>
            <w:tcW w:w="2093" w:type="dxa"/>
          </w:tcPr>
          <w:p w:rsidR="00222750" w:rsidRPr="00ED3D25" w:rsidRDefault="001669D6" w:rsidP="00F41E1E">
            <w:pPr>
              <w:tabs>
                <w:tab w:val="left" w:pos="851"/>
              </w:tabs>
              <w:spacing w:line="240" w:lineRule="auto"/>
              <w:rPr>
                <w:lang w:val="lt-LT"/>
              </w:rPr>
            </w:pPr>
            <w:r w:rsidRPr="00ED3D25">
              <w:rPr>
                <w:lang w:val="lt-LT"/>
              </w:rPr>
              <w:t>E</w:t>
            </w:r>
            <w:r w:rsidR="00674881" w:rsidRPr="00ED3D25">
              <w:rPr>
                <w:lang w:val="lt-LT"/>
              </w:rPr>
              <w:t xml:space="preserve">uropos </w:t>
            </w:r>
            <w:r w:rsidRPr="00ED3D25">
              <w:rPr>
                <w:lang w:val="lt-LT"/>
              </w:rPr>
              <w:t>K</w:t>
            </w:r>
            <w:r w:rsidR="00674881" w:rsidRPr="00ED3D25">
              <w:rPr>
                <w:lang w:val="lt-LT"/>
              </w:rPr>
              <w:t>omisija</w:t>
            </w:r>
            <w:r w:rsidR="00865650" w:rsidRPr="00ED3D25">
              <w:rPr>
                <w:lang w:val="lt-LT"/>
              </w:rPr>
              <w:t xml:space="preserve"> (2008)</w:t>
            </w:r>
          </w:p>
        </w:tc>
        <w:tc>
          <w:tcPr>
            <w:tcW w:w="7371" w:type="dxa"/>
          </w:tcPr>
          <w:p w:rsidR="00222750" w:rsidRPr="00ED3D25" w:rsidRDefault="001669D6" w:rsidP="00F41E1E">
            <w:pPr>
              <w:tabs>
                <w:tab w:val="left" w:pos="851"/>
              </w:tabs>
              <w:spacing w:line="240" w:lineRule="auto"/>
              <w:rPr>
                <w:lang w:val="lt-LT"/>
              </w:rPr>
            </w:pPr>
            <w:r w:rsidRPr="00ED3D25">
              <w:rPr>
                <w:lang w:val="lt-LT"/>
              </w:rPr>
              <w:t>SVV yra Europos augimo ir darbo vietų pagrindinis kūrėjas</w:t>
            </w:r>
            <w:r w:rsidR="00013175" w:rsidRPr="00ED3D25">
              <w:rPr>
                <w:lang w:val="lt-LT"/>
              </w:rPr>
              <w:t>.</w:t>
            </w:r>
          </w:p>
        </w:tc>
      </w:tr>
    </w:tbl>
    <w:p w:rsidR="00674881" w:rsidRPr="00ED3D25" w:rsidRDefault="00674881" w:rsidP="00F41E1E">
      <w:pPr>
        <w:autoSpaceDE w:val="0"/>
        <w:autoSpaceDN w:val="0"/>
        <w:adjustRightInd w:val="0"/>
        <w:spacing w:after="0" w:line="240" w:lineRule="auto"/>
        <w:rPr>
          <w:sz w:val="20"/>
          <w:szCs w:val="20"/>
          <w:lang w:val="lt-LT"/>
        </w:rPr>
      </w:pPr>
      <w:r w:rsidRPr="00ED3D25">
        <w:rPr>
          <w:sz w:val="20"/>
          <w:szCs w:val="20"/>
          <w:lang w:val="lt-LT"/>
        </w:rPr>
        <w:t>Pastaba: lentelė sudaryta autorės</w:t>
      </w:r>
      <w:r w:rsidR="003A2015" w:rsidRPr="00ED3D25">
        <w:rPr>
          <w:sz w:val="20"/>
          <w:szCs w:val="20"/>
          <w:lang w:val="lt-LT"/>
        </w:rPr>
        <w:t>.</w:t>
      </w:r>
    </w:p>
    <w:p w:rsidR="003A2015" w:rsidRPr="00746E75" w:rsidRDefault="003A2015" w:rsidP="00A94CAA">
      <w:pPr>
        <w:autoSpaceDE w:val="0"/>
        <w:autoSpaceDN w:val="0"/>
        <w:adjustRightInd w:val="0"/>
        <w:spacing w:after="0" w:line="240" w:lineRule="auto"/>
        <w:rPr>
          <w:sz w:val="14"/>
          <w:szCs w:val="14"/>
          <w:lang w:val="lt-LT"/>
        </w:rPr>
      </w:pPr>
    </w:p>
    <w:p w:rsidR="00E46965" w:rsidRPr="00ED3D25" w:rsidRDefault="00156298" w:rsidP="00650F14">
      <w:pPr>
        <w:tabs>
          <w:tab w:val="left" w:pos="851"/>
        </w:tabs>
        <w:spacing w:after="0"/>
        <w:ind w:firstLine="851"/>
        <w:rPr>
          <w:szCs w:val="24"/>
          <w:lang w:val="lt-LT"/>
        </w:rPr>
      </w:pPr>
      <w:r w:rsidRPr="00ED3D25">
        <w:rPr>
          <w:szCs w:val="24"/>
          <w:lang w:val="lt-LT"/>
        </w:rPr>
        <w:t>Apibendrinant lentelėje pateiktus argumentus matoma, kad pasak</w:t>
      </w:r>
      <w:r w:rsidR="00B653A9" w:rsidRPr="00ED3D25">
        <w:rPr>
          <w:szCs w:val="24"/>
          <w:lang w:val="lt-LT"/>
        </w:rPr>
        <w:t xml:space="preserve"> Europos Komisijos</w:t>
      </w:r>
      <w:r w:rsidR="00865650" w:rsidRPr="00ED3D25">
        <w:rPr>
          <w:szCs w:val="24"/>
          <w:lang w:val="lt-LT"/>
        </w:rPr>
        <w:t xml:space="preserve"> (2008)</w:t>
      </w:r>
      <w:r w:rsidR="00B653A9" w:rsidRPr="00ED3D25">
        <w:rPr>
          <w:szCs w:val="24"/>
          <w:lang w:val="lt-LT"/>
        </w:rPr>
        <w:t>,</w:t>
      </w:r>
      <w:r w:rsidRPr="00ED3D25">
        <w:rPr>
          <w:szCs w:val="24"/>
          <w:lang w:val="lt-LT"/>
        </w:rPr>
        <w:t xml:space="preserve"> L. Mažylio</w:t>
      </w:r>
      <w:r w:rsidR="006C5EC3" w:rsidRPr="00ED3D25">
        <w:rPr>
          <w:szCs w:val="24"/>
          <w:lang w:val="lt-LT"/>
        </w:rPr>
        <w:t xml:space="preserve"> </w:t>
      </w:r>
      <w:r w:rsidR="00B653A9" w:rsidRPr="00ED3D25">
        <w:rPr>
          <w:szCs w:val="24"/>
          <w:lang w:val="lt-LT"/>
        </w:rPr>
        <w:t xml:space="preserve">ir kt. </w:t>
      </w:r>
      <w:r w:rsidR="006C5EC3" w:rsidRPr="00ED3D25">
        <w:rPr>
          <w:szCs w:val="24"/>
          <w:lang w:val="lt-LT"/>
        </w:rPr>
        <w:t>(2004)</w:t>
      </w:r>
      <w:r w:rsidR="00E46965" w:rsidRPr="00ED3D25">
        <w:rPr>
          <w:szCs w:val="24"/>
          <w:lang w:val="lt-LT"/>
        </w:rPr>
        <w:t xml:space="preserve"> atli</w:t>
      </w:r>
      <w:r w:rsidRPr="00ED3D25">
        <w:rPr>
          <w:szCs w:val="24"/>
          <w:lang w:val="lt-LT"/>
        </w:rPr>
        <w:t>ktų analizių</w:t>
      </w:r>
      <w:r w:rsidR="00655455" w:rsidRPr="00ED3D25">
        <w:rPr>
          <w:szCs w:val="24"/>
          <w:lang w:val="lt-LT"/>
        </w:rPr>
        <w:t>,</w:t>
      </w:r>
      <w:r w:rsidR="00E46965" w:rsidRPr="00ED3D25">
        <w:rPr>
          <w:szCs w:val="24"/>
          <w:lang w:val="lt-LT"/>
        </w:rPr>
        <w:t xml:space="preserve"> būtent SVV sukuria daugiausiai darbo vietų ir gali pasiūlyti tai,</w:t>
      </w:r>
      <w:r w:rsidRPr="00ED3D25">
        <w:rPr>
          <w:szCs w:val="24"/>
          <w:lang w:val="lt-LT"/>
        </w:rPr>
        <w:t xml:space="preserve"> ko nerasime didžiosiose įmonėse</w:t>
      </w:r>
      <w:r w:rsidR="00E46965" w:rsidRPr="00ED3D25">
        <w:rPr>
          <w:szCs w:val="24"/>
          <w:lang w:val="lt-LT"/>
        </w:rPr>
        <w:t>.</w:t>
      </w:r>
      <w:r w:rsidR="00655455" w:rsidRPr="00ED3D25">
        <w:rPr>
          <w:szCs w:val="24"/>
          <w:lang w:val="lt-LT"/>
        </w:rPr>
        <w:t xml:space="preserve"> L. Mažyliui</w:t>
      </w:r>
      <w:r w:rsidR="00B653A9" w:rsidRPr="00ED3D25">
        <w:rPr>
          <w:szCs w:val="24"/>
          <w:lang w:val="lt-LT"/>
        </w:rPr>
        <w:t xml:space="preserve"> ir kt. (2004)</w:t>
      </w:r>
      <w:r w:rsidR="00655455" w:rsidRPr="00ED3D25">
        <w:rPr>
          <w:szCs w:val="24"/>
          <w:lang w:val="lt-LT"/>
        </w:rPr>
        <w:t xml:space="preserve"> pritaria</w:t>
      </w:r>
      <w:r w:rsidR="006D10BF" w:rsidRPr="00ED3D25">
        <w:rPr>
          <w:szCs w:val="24"/>
          <w:lang w:val="lt-LT"/>
        </w:rPr>
        <w:t xml:space="preserve"> D. Rainey</w:t>
      </w:r>
      <w:r w:rsidR="00B653A9" w:rsidRPr="00ED3D25">
        <w:rPr>
          <w:szCs w:val="24"/>
          <w:lang w:val="lt-LT"/>
        </w:rPr>
        <w:t xml:space="preserve"> (2006)</w:t>
      </w:r>
      <w:r w:rsidR="006D10BF" w:rsidRPr="00ED3D25">
        <w:rPr>
          <w:szCs w:val="24"/>
          <w:lang w:val="lt-LT"/>
        </w:rPr>
        <w:t>, kuris išskiria nestandartizuotas prekes ir paslaugas, kaip pagrindinį klientų traukos šaltinį. Didelę įtaką verslui daro šalies valdymo politika, pavyzdžiui, ek</w:t>
      </w:r>
      <w:r w:rsidR="00650F14" w:rsidRPr="00ED3D25">
        <w:rPr>
          <w:szCs w:val="24"/>
          <w:lang w:val="lt-LT"/>
        </w:rPr>
        <w:t>sporto apimčių kaita, mokestinė</w:t>
      </w:r>
      <w:r w:rsidR="006D10BF" w:rsidRPr="00ED3D25">
        <w:rPr>
          <w:szCs w:val="24"/>
          <w:lang w:val="lt-LT"/>
        </w:rPr>
        <w:t xml:space="preserve"> sistema ir t. t. Tad </w:t>
      </w:r>
      <w:r w:rsidR="00655455" w:rsidRPr="00ED3D25">
        <w:rPr>
          <w:szCs w:val="24"/>
          <w:lang w:val="lt-LT"/>
        </w:rPr>
        <w:t>Lietuvos statistikos departamentas</w:t>
      </w:r>
      <w:r w:rsidR="006C5EC3" w:rsidRPr="00ED3D25">
        <w:rPr>
          <w:szCs w:val="24"/>
          <w:lang w:val="lt-LT"/>
        </w:rPr>
        <w:t xml:space="preserve"> (2007)</w:t>
      </w:r>
      <w:r w:rsidR="00655455" w:rsidRPr="00ED3D25">
        <w:rPr>
          <w:szCs w:val="24"/>
          <w:lang w:val="lt-LT"/>
        </w:rPr>
        <w:t xml:space="preserve"> ir </w:t>
      </w:r>
      <w:r w:rsidR="006D10BF" w:rsidRPr="00ED3D25">
        <w:rPr>
          <w:szCs w:val="24"/>
          <w:lang w:val="lt-LT"/>
        </w:rPr>
        <w:t>V. Sūdžius</w:t>
      </w:r>
      <w:r w:rsidR="006C5EC3" w:rsidRPr="00ED3D25">
        <w:rPr>
          <w:szCs w:val="24"/>
          <w:lang w:val="lt-LT"/>
        </w:rPr>
        <w:t xml:space="preserve"> (2001)</w:t>
      </w:r>
      <w:r w:rsidR="006D10BF" w:rsidRPr="00ED3D25">
        <w:rPr>
          <w:szCs w:val="24"/>
          <w:lang w:val="lt-LT"/>
        </w:rPr>
        <w:t xml:space="preserve"> teigia, kad įvertinant išorinius veiksnius</w:t>
      </w:r>
      <w:r w:rsidR="00650F14" w:rsidRPr="00ED3D25">
        <w:rPr>
          <w:szCs w:val="24"/>
          <w:lang w:val="lt-LT"/>
        </w:rPr>
        <w:t>,</w:t>
      </w:r>
      <w:r w:rsidR="006D10BF" w:rsidRPr="00ED3D25">
        <w:rPr>
          <w:szCs w:val="24"/>
          <w:lang w:val="lt-LT"/>
        </w:rPr>
        <w:t xml:space="preserve"> SVV greičiau</w:t>
      </w:r>
      <w:r w:rsidR="00650F14" w:rsidRPr="00ED3D25">
        <w:rPr>
          <w:szCs w:val="24"/>
          <w:lang w:val="lt-LT"/>
        </w:rPr>
        <w:t xml:space="preserve"> persiorientuojantis ir prisitaikantis</w:t>
      </w:r>
      <w:r w:rsidR="006D10BF" w:rsidRPr="00ED3D25">
        <w:rPr>
          <w:szCs w:val="24"/>
          <w:lang w:val="lt-LT"/>
        </w:rPr>
        <w:t xml:space="preserve"> prie</w:t>
      </w:r>
      <w:r w:rsidR="00655455" w:rsidRPr="00ED3D25">
        <w:rPr>
          <w:szCs w:val="24"/>
          <w:lang w:val="lt-LT"/>
        </w:rPr>
        <w:t xml:space="preserve"> kintančios ekonominės aplinkos, turimų išteklių, taip sukuriant gerovę </w:t>
      </w:r>
      <w:r w:rsidR="00650F14" w:rsidRPr="00ED3D25">
        <w:rPr>
          <w:szCs w:val="24"/>
          <w:lang w:val="lt-LT"/>
        </w:rPr>
        <w:t>valstybei</w:t>
      </w:r>
      <w:r w:rsidR="00655455" w:rsidRPr="00ED3D25">
        <w:rPr>
          <w:szCs w:val="24"/>
          <w:lang w:val="lt-LT"/>
        </w:rPr>
        <w:t>.</w:t>
      </w:r>
      <w:r w:rsidR="00E46965" w:rsidRPr="00ED3D25">
        <w:rPr>
          <w:szCs w:val="24"/>
          <w:lang w:val="lt-LT"/>
        </w:rPr>
        <w:t xml:space="preserve"> </w:t>
      </w:r>
      <w:r w:rsidR="0062448F" w:rsidRPr="00ED3D25">
        <w:rPr>
          <w:szCs w:val="24"/>
          <w:lang w:val="lt-LT"/>
        </w:rPr>
        <w:t>C. Street ir A. Cameron</w:t>
      </w:r>
      <w:r w:rsidR="006C5EC3" w:rsidRPr="00ED3D25">
        <w:rPr>
          <w:szCs w:val="24"/>
          <w:lang w:val="lt-LT"/>
        </w:rPr>
        <w:t xml:space="preserve"> (2007)</w:t>
      </w:r>
      <w:r w:rsidR="0062448F" w:rsidRPr="00ED3D25">
        <w:rPr>
          <w:szCs w:val="24"/>
          <w:lang w:val="lt-LT"/>
        </w:rPr>
        <w:t xml:space="preserve"> pabrėžia, kad mažos ir vidutinės įmonės yra Vakarų valstybių ekonomikos pagrindas, </w:t>
      </w:r>
      <w:r w:rsidR="00650F14" w:rsidRPr="00ED3D25">
        <w:rPr>
          <w:szCs w:val="24"/>
          <w:lang w:val="lt-LT"/>
        </w:rPr>
        <w:t>o didžioji dalis įmonių</w:t>
      </w:r>
      <w:r w:rsidR="0062448F" w:rsidRPr="00ED3D25">
        <w:rPr>
          <w:szCs w:val="24"/>
          <w:lang w:val="lt-LT"/>
        </w:rPr>
        <w:t xml:space="preserve"> priklauso šeimoms, tad būtent šie aspektai įvardinami, kaip socialinis ir ekonominis vaidmuo regionuose. </w:t>
      </w:r>
      <w:r w:rsidR="00AB1696">
        <w:rPr>
          <w:szCs w:val="24"/>
          <w:lang w:val="lt-LT"/>
        </w:rPr>
        <w:t>B. Martinkus ir V. Ž</w:t>
      </w:r>
      <w:r w:rsidR="00655455" w:rsidRPr="00ED3D25">
        <w:rPr>
          <w:szCs w:val="24"/>
          <w:lang w:val="lt-LT"/>
        </w:rPr>
        <w:t>ilinskas</w:t>
      </w:r>
      <w:r w:rsidR="00865650" w:rsidRPr="00ED3D25">
        <w:rPr>
          <w:szCs w:val="24"/>
          <w:lang w:val="lt-LT"/>
        </w:rPr>
        <w:t xml:space="preserve"> (2001)</w:t>
      </w:r>
      <w:r w:rsidR="00655455" w:rsidRPr="00ED3D25">
        <w:rPr>
          <w:szCs w:val="24"/>
          <w:lang w:val="lt-LT"/>
        </w:rPr>
        <w:t xml:space="preserve"> </w:t>
      </w:r>
      <w:r w:rsidR="0062448F" w:rsidRPr="00ED3D25">
        <w:rPr>
          <w:szCs w:val="24"/>
          <w:lang w:val="lt-LT"/>
        </w:rPr>
        <w:t>SVV apjungė tartum į vieną didelę organizaciją, tačiau pabrėžė, kad ji orientuota</w:t>
      </w:r>
      <w:r w:rsidR="005B1200" w:rsidRPr="00ED3D25">
        <w:rPr>
          <w:szCs w:val="24"/>
          <w:lang w:val="lt-LT"/>
        </w:rPr>
        <w:t xml:space="preserve"> </w:t>
      </w:r>
      <w:r w:rsidR="00650F14" w:rsidRPr="00ED3D25">
        <w:rPr>
          <w:szCs w:val="24"/>
          <w:lang w:val="lt-LT"/>
        </w:rPr>
        <w:t xml:space="preserve">tik </w:t>
      </w:r>
      <w:r w:rsidR="0062448F" w:rsidRPr="00ED3D25">
        <w:rPr>
          <w:szCs w:val="24"/>
          <w:lang w:val="lt-LT"/>
        </w:rPr>
        <w:t>į vietinę rinką.</w:t>
      </w:r>
      <w:r w:rsidR="005B1200" w:rsidRPr="00ED3D25">
        <w:rPr>
          <w:szCs w:val="24"/>
          <w:lang w:val="lt-LT"/>
        </w:rPr>
        <w:t xml:space="preserve"> </w:t>
      </w:r>
      <w:r w:rsidR="00650F14" w:rsidRPr="00ED3D25">
        <w:rPr>
          <w:szCs w:val="24"/>
          <w:lang w:val="lt-LT"/>
        </w:rPr>
        <w:t>Šitaip</w:t>
      </w:r>
      <w:r w:rsidR="005B1200" w:rsidRPr="00ED3D25">
        <w:rPr>
          <w:szCs w:val="24"/>
          <w:lang w:val="lt-LT"/>
        </w:rPr>
        <w:t xml:space="preserve"> </w:t>
      </w:r>
      <w:r w:rsidR="0062448F" w:rsidRPr="00ED3D25">
        <w:rPr>
          <w:szCs w:val="24"/>
          <w:lang w:val="lt-LT"/>
        </w:rPr>
        <w:t>b</w:t>
      </w:r>
      <w:r w:rsidR="00650F14" w:rsidRPr="00ED3D25">
        <w:rPr>
          <w:szCs w:val="24"/>
          <w:lang w:val="lt-LT"/>
        </w:rPr>
        <w:t>uvo priminta</w:t>
      </w:r>
      <w:r w:rsidR="00E46965" w:rsidRPr="00ED3D25">
        <w:rPr>
          <w:szCs w:val="24"/>
          <w:lang w:val="lt-LT"/>
        </w:rPr>
        <w:t xml:space="preserve">, kad visos didžiosios kompanijos, kurios dabar puikiai žinomos visame pasaulyje, “išsivystė” iš pačių mažiausiųjų verslų. </w:t>
      </w:r>
    </w:p>
    <w:p w:rsidR="00650F14" w:rsidRPr="00ED3D25" w:rsidRDefault="005B1200" w:rsidP="00AB1696">
      <w:pPr>
        <w:tabs>
          <w:tab w:val="left" w:pos="851"/>
        </w:tabs>
        <w:spacing w:after="0"/>
        <w:ind w:firstLine="851"/>
        <w:rPr>
          <w:szCs w:val="24"/>
          <w:lang w:val="lt-LT"/>
        </w:rPr>
      </w:pPr>
      <w:r w:rsidRPr="00ED3D25">
        <w:rPr>
          <w:szCs w:val="24"/>
          <w:lang w:val="lt-LT"/>
        </w:rPr>
        <w:t>Europos Sąjunga</w:t>
      </w:r>
      <w:r w:rsidR="00650F14" w:rsidRPr="00ED3D25">
        <w:rPr>
          <w:szCs w:val="24"/>
          <w:lang w:val="lt-LT"/>
        </w:rPr>
        <w:t xml:space="preserve"> yra viena didelė bendruomenė, tad norint pasiekti ženklių rezultatų, reikia veikt</w:t>
      </w:r>
      <w:r w:rsidR="00AB1696">
        <w:rPr>
          <w:szCs w:val="24"/>
          <w:lang w:val="lt-LT"/>
        </w:rPr>
        <w:t>i visoms valstybėms bendrai. P</w:t>
      </w:r>
      <w:r w:rsidRPr="00ED3D25">
        <w:rPr>
          <w:szCs w:val="24"/>
          <w:lang w:val="lt-LT"/>
        </w:rPr>
        <w:t xml:space="preserve">atvirtindama, kad nuo šiol didelį dėmesį kreips į SVV, </w:t>
      </w:r>
      <w:r w:rsidR="00650F14" w:rsidRPr="00ED3D25">
        <w:rPr>
          <w:szCs w:val="24"/>
          <w:lang w:val="lt-LT"/>
        </w:rPr>
        <w:t xml:space="preserve">ES </w:t>
      </w:r>
      <w:r w:rsidRPr="00ED3D25">
        <w:rPr>
          <w:szCs w:val="24"/>
          <w:lang w:val="lt-LT"/>
        </w:rPr>
        <w:t xml:space="preserve">priėmė Smulkiojo verslo aktą. </w:t>
      </w:r>
      <w:r w:rsidR="00AB1696">
        <w:rPr>
          <w:szCs w:val="24"/>
          <w:lang w:val="lt-LT"/>
        </w:rPr>
        <w:t>Tikimasi, kad skatinant smulkųjį</w:t>
      </w:r>
      <w:r w:rsidRPr="00ED3D25">
        <w:rPr>
          <w:szCs w:val="24"/>
          <w:lang w:val="lt-LT"/>
        </w:rPr>
        <w:t xml:space="preserve"> ir vidutinį verslą padaugės darbo vietų ir tai lems geresnį gyvenimą regionų bendruomenėms ir pačiai Europai. Aktu </w:t>
      </w:r>
      <w:r w:rsidR="00650F14" w:rsidRPr="00ED3D25">
        <w:rPr>
          <w:szCs w:val="24"/>
          <w:lang w:val="lt-LT"/>
        </w:rPr>
        <w:t>stengiamasi</w:t>
      </w:r>
      <w:r w:rsidRPr="00ED3D25">
        <w:rPr>
          <w:szCs w:val="24"/>
          <w:lang w:val="lt-LT"/>
        </w:rPr>
        <w:t xml:space="preserve"> sukurti geriausias sąlygas </w:t>
      </w:r>
      <w:r w:rsidR="00650F14" w:rsidRPr="00ED3D25">
        <w:rPr>
          <w:szCs w:val="24"/>
          <w:lang w:val="lt-LT"/>
        </w:rPr>
        <w:t>pradėti</w:t>
      </w:r>
      <w:r w:rsidRPr="00ED3D25">
        <w:rPr>
          <w:szCs w:val="24"/>
          <w:lang w:val="lt-LT"/>
        </w:rPr>
        <w:t xml:space="preserve"> ir plėtoti verlą. Užsibrėžtas tikslas sudaryti vienodas sąlygas SVV europiniu lygmeniu, tad Smulkaus verslo akte išdėstyti 10 principų, kurie turi būti  priimti ES </w:t>
      </w:r>
      <w:r w:rsidRPr="00ED3D25">
        <w:rPr>
          <w:szCs w:val="24"/>
          <w:lang w:val="lt-LT"/>
        </w:rPr>
        <w:lastRenderedPageBreak/>
        <w:t>valstybių įvairiuose teisės aktuose bei nuostatuose. Žemiau pateiktoje</w:t>
      </w:r>
      <w:r w:rsidR="00DB20A1" w:rsidRPr="00ED3D25">
        <w:rPr>
          <w:szCs w:val="24"/>
          <w:lang w:val="lt-LT"/>
        </w:rPr>
        <w:t xml:space="preserve"> 2</w:t>
      </w:r>
      <w:r w:rsidRPr="00ED3D25">
        <w:rPr>
          <w:szCs w:val="24"/>
          <w:lang w:val="lt-LT"/>
        </w:rPr>
        <w:t xml:space="preserve"> lentelėje paminėti vieni iš svarbiausiųjų</w:t>
      </w:r>
      <w:r w:rsidR="00746E75">
        <w:rPr>
          <w:szCs w:val="24"/>
          <w:lang w:val="lt-LT"/>
        </w:rPr>
        <w:t xml:space="preserve"> ES Smulkiojo verslo akto principų</w:t>
      </w:r>
      <w:r w:rsidRPr="00ED3D25">
        <w:rPr>
          <w:szCs w:val="24"/>
          <w:lang w:val="lt-LT"/>
        </w:rPr>
        <w:t>:</w:t>
      </w:r>
    </w:p>
    <w:p w:rsidR="005B1200" w:rsidRPr="00ED3D25" w:rsidRDefault="00DB20A1" w:rsidP="005B1200">
      <w:pPr>
        <w:tabs>
          <w:tab w:val="left" w:pos="851"/>
        </w:tabs>
        <w:spacing w:after="0"/>
        <w:ind w:firstLine="851"/>
        <w:jc w:val="right"/>
        <w:rPr>
          <w:b/>
          <w:bCs/>
          <w:szCs w:val="24"/>
          <w:lang w:val="lt-LT"/>
        </w:rPr>
      </w:pPr>
      <w:r w:rsidRPr="00ED3D25">
        <w:rPr>
          <w:b/>
          <w:bCs/>
          <w:szCs w:val="24"/>
          <w:lang w:val="lt-LT"/>
        </w:rPr>
        <w:t>2</w:t>
      </w:r>
      <w:r w:rsidR="005B1200" w:rsidRPr="00ED3D25">
        <w:rPr>
          <w:b/>
          <w:bCs/>
          <w:szCs w:val="24"/>
          <w:lang w:val="lt-LT"/>
        </w:rPr>
        <w:t xml:space="preserve"> lentelė</w:t>
      </w:r>
    </w:p>
    <w:p w:rsidR="003A2015" w:rsidRPr="00ED3D25" w:rsidRDefault="003A2015" w:rsidP="00942E84">
      <w:pPr>
        <w:spacing w:after="0" w:line="240" w:lineRule="auto"/>
        <w:jc w:val="center"/>
        <w:rPr>
          <w:b/>
          <w:bCs/>
          <w:lang w:val="lt-LT"/>
        </w:rPr>
      </w:pPr>
      <w:r w:rsidRPr="00ED3D25">
        <w:rPr>
          <w:b/>
          <w:bCs/>
          <w:lang w:val="lt-LT"/>
        </w:rPr>
        <w:t>Svarbiausi smulkaus verslo akto principai</w:t>
      </w:r>
    </w:p>
    <w:p w:rsidR="00942E84" w:rsidRPr="00ED3D25" w:rsidRDefault="00942E84" w:rsidP="00942E84">
      <w:pPr>
        <w:spacing w:after="0" w:line="240" w:lineRule="auto"/>
        <w:jc w:val="center"/>
        <w:rPr>
          <w:b/>
          <w:bCs/>
          <w:lang w:val="lt-LT"/>
        </w:rPr>
      </w:pPr>
    </w:p>
    <w:tbl>
      <w:tblPr>
        <w:tblStyle w:val="TableGrid"/>
        <w:tblW w:w="0" w:type="auto"/>
        <w:tblLook w:val="04A0" w:firstRow="1" w:lastRow="0" w:firstColumn="1" w:lastColumn="0" w:noHBand="0" w:noVBand="1"/>
      </w:tblPr>
      <w:tblGrid>
        <w:gridCol w:w="2376"/>
        <w:gridCol w:w="7088"/>
      </w:tblGrid>
      <w:tr w:rsidR="003A2015" w:rsidRPr="00ED3D25" w:rsidTr="003A2015">
        <w:tc>
          <w:tcPr>
            <w:tcW w:w="2376" w:type="dxa"/>
            <w:tcBorders>
              <w:top w:val="single" w:sz="4" w:space="0" w:color="auto"/>
              <w:left w:val="single" w:sz="4" w:space="0" w:color="auto"/>
            </w:tcBorders>
            <w:vAlign w:val="center"/>
          </w:tcPr>
          <w:p w:rsidR="003A2015" w:rsidRPr="00ED3D25" w:rsidRDefault="003A2015" w:rsidP="00BA3F3C">
            <w:pPr>
              <w:tabs>
                <w:tab w:val="left" w:pos="851"/>
              </w:tabs>
              <w:spacing w:line="240" w:lineRule="auto"/>
              <w:jc w:val="left"/>
              <w:rPr>
                <w:b/>
                <w:bCs/>
                <w:lang w:val="lt-LT"/>
              </w:rPr>
            </w:pPr>
            <w:r w:rsidRPr="00ED3D25">
              <w:rPr>
                <w:b/>
                <w:bCs/>
                <w:lang w:val="lt-LT"/>
              </w:rPr>
              <w:t>Principas</w:t>
            </w:r>
          </w:p>
        </w:tc>
        <w:tc>
          <w:tcPr>
            <w:tcW w:w="7088" w:type="dxa"/>
            <w:vAlign w:val="center"/>
          </w:tcPr>
          <w:p w:rsidR="003A2015" w:rsidRPr="00ED3D25" w:rsidRDefault="003A2015" w:rsidP="00F41E1E">
            <w:pPr>
              <w:tabs>
                <w:tab w:val="left" w:pos="851"/>
              </w:tabs>
              <w:spacing w:line="240" w:lineRule="auto"/>
              <w:rPr>
                <w:b/>
                <w:bCs/>
                <w:lang w:val="lt-LT"/>
              </w:rPr>
            </w:pPr>
            <w:r w:rsidRPr="00ED3D25">
              <w:rPr>
                <w:b/>
                <w:bCs/>
                <w:lang w:val="lt-LT"/>
              </w:rPr>
              <w:t>Aktualumas</w:t>
            </w:r>
          </w:p>
        </w:tc>
      </w:tr>
      <w:tr w:rsidR="003A2015" w:rsidRPr="009E2757" w:rsidTr="003A2015">
        <w:tc>
          <w:tcPr>
            <w:tcW w:w="2376" w:type="dxa"/>
            <w:vAlign w:val="center"/>
          </w:tcPr>
          <w:p w:rsidR="003A2015" w:rsidRPr="00ED3D25" w:rsidRDefault="003A2015" w:rsidP="00F41E1E">
            <w:pPr>
              <w:tabs>
                <w:tab w:val="left" w:pos="851"/>
              </w:tabs>
              <w:spacing w:line="240" w:lineRule="auto"/>
              <w:rPr>
                <w:lang w:val="lt-LT"/>
              </w:rPr>
            </w:pPr>
            <w:r w:rsidRPr="00ED3D25">
              <w:rPr>
                <w:lang w:val="lt-LT"/>
              </w:rPr>
              <w:t>Šeimos verslas</w:t>
            </w:r>
          </w:p>
        </w:tc>
        <w:tc>
          <w:tcPr>
            <w:tcW w:w="7088" w:type="dxa"/>
            <w:vAlign w:val="center"/>
          </w:tcPr>
          <w:p w:rsidR="003A2015" w:rsidRPr="00ED3D25" w:rsidRDefault="003A2015" w:rsidP="00F41E1E">
            <w:pPr>
              <w:tabs>
                <w:tab w:val="left" w:pos="851"/>
              </w:tabs>
              <w:spacing w:line="240" w:lineRule="auto"/>
              <w:rPr>
                <w:lang w:val="lt-LT"/>
              </w:rPr>
            </w:pPr>
            <w:r w:rsidRPr="00ED3D25">
              <w:rPr>
                <w:lang w:val="lt-LT"/>
              </w:rPr>
              <w:t xml:space="preserve">Sudaryti sąlygas, kad tiek verslininkų ir </w:t>
            </w:r>
            <w:r w:rsidR="00805F26">
              <w:rPr>
                <w:lang w:val="lt-LT"/>
              </w:rPr>
              <w:t xml:space="preserve">jų </w:t>
            </w:r>
            <w:r w:rsidRPr="00ED3D25">
              <w:rPr>
                <w:lang w:val="lt-LT"/>
              </w:rPr>
              <w:t>šeimoms priklausantys verslai klestėtų, o pats verslumas – taptų atlygintas.</w:t>
            </w:r>
          </w:p>
        </w:tc>
      </w:tr>
      <w:tr w:rsidR="003A2015" w:rsidRPr="009E2757" w:rsidTr="003A2015">
        <w:tc>
          <w:tcPr>
            <w:tcW w:w="2376" w:type="dxa"/>
            <w:vAlign w:val="center"/>
          </w:tcPr>
          <w:p w:rsidR="003A2015" w:rsidRPr="00ED3D25" w:rsidRDefault="003A2015" w:rsidP="00F41E1E">
            <w:pPr>
              <w:tabs>
                <w:tab w:val="left" w:pos="851"/>
              </w:tabs>
              <w:spacing w:line="240" w:lineRule="auto"/>
              <w:rPr>
                <w:lang w:val="lt-LT"/>
              </w:rPr>
            </w:pPr>
            <w:r w:rsidRPr="00ED3D25">
              <w:rPr>
                <w:lang w:val="lt-LT"/>
              </w:rPr>
              <w:t>Bankroto atvejis</w:t>
            </w:r>
          </w:p>
        </w:tc>
        <w:tc>
          <w:tcPr>
            <w:tcW w:w="7088" w:type="dxa"/>
            <w:vAlign w:val="center"/>
          </w:tcPr>
          <w:p w:rsidR="003A2015" w:rsidRPr="00ED3D25" w:rsidRDefault="003A2015" w:rsidP="00805F26">
            <w:pPr>
              <w:tabs>
                <w:tab w:val="left" w:pos="851"/>
              </w:tabs>
              <w:spacing w:line="240" w:lineRule="auto"/>
              <w:rPr>
                <w:lang w:val="lt-LT"/>
              </w:rPr>
            </w:pPr>
            <w:r w:rsidRPr="00ED3D25">
              <w:rPr>
                <w:lang w:val="lt-LT"/>
              </w:rPr>
              <w:t xml:space="preserve">Suteikti naujas galimybes verslininkams, kurie patyrė bankrotą, tačiau </w:t>
            </w:r>
            <w:r w:rsidR="00805F26">
              <w:rPr>
                <w:lang w:val="lt-LT"/>
              </w:rPr>
              <w:t>buvo</w:t>
            </w:r>
            <w:r w:rsidRPr="00ED3D25">
              <w:rPr>
                <w:lang w:val="lt-LT"/>
              </w:rPr>
              <w:t xml:space="preserve"> sąžiningi.</w:t>
            </w:r>
          </w:p>
        </w:tc>
      </w:tr>
      <w:tr w:rsidR="003A2015" w:rsidRPr="004B21BF" w:rsidTr="003A2015">
        <w:tc>
          <w:tcPr>
            <w:tcW w:w="2376" w:type="dxa"/>
            <w:vAlign w:val="center"/>
          </w:tcPr>
          <w:p w:rsidR="003A2015" w:rsidRPr="00ED3D25" w:rsidRDefault="003A2015" w:rsidP="00F41E1E">
            <w:pPr>
              <w:tabs>
                <w:tab w:val="left" w:pos="851"/>
              </w:tabs>
              <w:spacing w:line="240" w:lineRule="auto"/>
              <w:rPr>
                <w:lang w:val="lt-LT"/>
              </w:rPr>
            </w:pPr>
            <w:r w:rsidRPr="00ED3D25">
              <w:rPr>
                <w:lang w:val="lt-LT"/>
              </w:rPr>
              <w:t>„Pirma galvokime apie mažuosius“</w:t>
            </w:r>
          </w:p>
        </w:tc>
        <w:tc>
          <w:tcPr>
            <w:tcW w:w="7088" w:type="dxa"/>
            <w:vAlign w:val="center"/>
          </w:tcPr>
          <w:p w:rsidR="003A2015" w:rsidRPr="00ED3D25" w:rsidRDefault="003A2015" w:rsidP="00F41E1E">
            <w:pPr>
              <w:tabs>
                <w:tab w:val="left" w:pos="851"/>
              </w:tabs>
              <w:spacing w:line="240" w:lineRule="auto"/>
              <w:rPr>
                <w:lang w:val="lt-LT"/>
              </w:rPr>
            </w:pPr>
            <w:r w:rsidRPr="00ED3D25">
              <w:rPr>
                <w:lang w:val="lt-LT"/>
              </w:rPr>
              <w:t>Vadovaujantis principu „Pirma galvokime apie mažuosius“ sukurti tai atspindinčias taisykles.</w:t>
            </w:r>
          </w:p>
        </w:tc>
      </w:tr>
      <w:tr w:rsidR="003A2015" w:rsidRPr="00ED3D25" w:rsidTr="003A2015">
        <w:tc>
          <w:tcPr>
            <w:tcW w:w="2376" w:type="dxa"/>
            <w:vAlign w:val="center"/>
          </w:tcPr>
          <w:p w:rsidR="003A2015" w:rsidRPr="00ED3D25" w:rsidRDefault="003A2015" w:rsidP="00F41E1E">
            <w:pPr>
              <w:tabs>
                <w:tab w:val="left" w:pos="851"/>
              </w:tabs>
              <w:spacing w:line="240" w:lineRule="auto"/>
              <w:rPr>
                <w:lang w:val="lt-LT"/>
              </w:rPr>
            </w:pPr>
            <w:r w:rsidRPr="00ED3D25">
              <w:rPr>
                <w:lang w:val="lt-LT"/>
              </w:rPr>
              <w:t>SVV aktualumas</w:t>
            </w:r>
          </w:p>
        </w:tc>
        <w:tc>
          <w:tcPr>
            <w:tcW w:w="7088" w:type="dxa"/>
            <w:vAlign w:val="center"/>
          </w:tcPr>
          <w:p w:rsidR="003A2015" w:rsidRPr="00ED3D25" w:rsidRDefault="003A2015" w:rsidP="00F41E1E">
            <w:pPr>
              <w:tabs>
                <w:tab w:val="left" w:pos="851"/>
              </w:tabs>
              <w:spacing w:line="240" w:lineRule="auto"/>
              <w:rPr>
                <w:lang w:val="lt-LT"/>
              </w:rPr>
            </w:pPr>
            <w:r w:rsidRPr="00ED3D25">
              <w:rPr>
                <w:lang w:val="lt-LT"/>
              </w:rPr>
              <w:t>Skatinti administracines institucijas, kuo daugiau dėmesio skirti SVV</w:t>
            </w:r>
            <w:r w:rsidR="00805F26">
              <w:rPr>
                <w:lang w:val="lt-LT"/>
              </w:rPr>
              <w:t>.</w:t>
            </w:r>
          </w:p>
        </w:tc>
      </w:tr>
      <w:tr w:rsidR="003A2015" w:rsidRPr="009E2757" w:rsidTr="003A2015">
        <w:tc>
          <w:tcPr>
            <w:tcW w:w="2376" w:type="dxa"/>
            <w:vAlign w:val="center"/>
          </w:tcPr>
          <w:p w:rsidR="003A2015" w:rsidRPr="00ED3D25" w:rsidRDefault="003A2015" w:rsidP="00F41E1E">
            <w:pPr>
              <w:tabs>
                <w:tab w:val="left" w:pos="851"/>
              </w:tabs>
              <w:spacing w:line="240" w:lineRule="auto"/>
              <w:rPr>
                <w:lang w:val="lt-LT"/>
              </w:rPr>
            </w:pPr>
            <w:r w:rsidRPr="00ED3D25">
              <w:rPr>
                <w:lang w:val="lt-LT"/>
              </w:rPr>
              <w:t>Valstybės pagalba SVV</w:t>
            </w:r>
          </w:p>
        </w:tc>
        <w:tc>
          <w:tcPr>
            <w:tcW w:w="7088" w:type="dxa"/>
            <w:vAlign w:val="center"/>
          </w:tcPr>
          <w:p w:rsidR="003A2015" w:rsidRPr="00ED3D25" w:rsidRDefault="003A2015" w:rsidP="00F41E1E">
            <w:pPr>
              <w:tabs>
                <w:tab w:val="left" w:pos="851"/>
              </w:tabs>
              <w:spacing w:line="240" w:lineRule="auto"/>
              <w:rPr>
                <w:lang w:val="lt-LT"/>
              </w:rPr>
            </w:pPr>
            <w:r w:rsidRPr="00ED3D25">
              <w:rPr>
                <w:lang w:val="lt-LT"/>
              </w:rPr>
              <w:t>Veiksmingiau taikyti valstybės pagalbą SVV ir palengvinti jų dalyvavimą viešuosiuose pirkimuose.</w:t>
            </w:r>
          </w:p>
        </w:tc>
      </w:tr>
      <w:tr w:rsidR="003A2015" w:rsidRPr="009E2757" w:rsidTr="003A2015">
        <w:tc>
          <w:tcPr>
            <w:tcW w:w="2376" w:type="dxa"/>
            <w:vAlign w:val="center"/>
          </w:tcPr>
          <w:p w:rsidR="003A2015" w:rsidRPr="00ED3D25" w:rsidRDefault="003A2015" w:rsidP="00F41E1E">
            <w:pPr>
              <w:tabs>
                <w:tab w:val="left" w:pos="851"/>
              </w:tabs>
              <w:spacing w:line="240" w:lineRule="auto"/>
              <w:rPr>
                <w:lang w:val="lt-LT"/>
              </w:rPr>
            </w:pPr>
            <w:r w:rsidRPr="00ED3D25">
              <w:rPr>
                <w:lang w:val="lt-LT"/>
              </w:rPr>
              <w:t>Teisinė aplinka</w:t>
            </w:r>
          </w:p>
        </w:tc>
        <w:tc>
          <w:tcPr>
            <w:tcW w:w="7088" w:type="dxa"/>
            <w:vAlign w:val="center"/>
          </w:tcPr>
          <w:p w:rsidR="003A2015" w:rsidRPr="00ED3D25" w:rsidRDefault="003A2015" w:rsidP="00F41E1E">
            <w:pPr>
              <w:tabs>
                <w:tab w:val="left" w:pos="851"/>
              </w:tabs>
              <w:spacing w:line="240" w:lineRule="auto"/>
              <w:rPr>
                <w:lang w:val="lt-LT"/>
              </w:rPr>
            </w:pPr>
            <w:r w:rsidRPr="00ED3D25">
              <w:rPr>
                <w:lang w:val="lt-LT"/>
              </w:rPr>
              <w:t>Pasirūpinti teisine ir verslo aplinka taip, kad SVV lengviau gautų finansavimą ir kad mokėjimai, kurie sudaryti pagal komercinius sandorius, būtų atliekami laiku.</w:t>
            </w:r>
          </w:p>
        </w:tc>
      </w:tr>
      <w:tr w:rsidR="003A2015" w:rsidRPr="004B21BF" w:rsidTr="003A2015">
        <w:tc>
          <w:tcPr>
            <w:tcW w:w="2376" w:type="dxa"/>
            <w:vAlign w:val="center"/>
          </w:tcPr>
          <w:p w:rsidR="003A2015" w:rsidRPr="00ED3D25" w:rsidRDefault="003A2015" w:rsidP="00F41E1E">
            <w:pPr>
              <w:tabs>
                <w:tab w:val="left" w:pos="851"/>
              </w:tabs>
              <w:spacing w:line="240" w:lineRule="auto"/>
              <w:rPr>
                <w:lang w:val="lt-LT"/>
              </w:rPr>
            </w:pPr>
            <w:r w:rsidRPr="00ED3D25">
              <w:rPr>
                <w:lang w:val="lt-LT"/>
              </w:rPr>
              <w:t>SVV skatinimas</w:t>
            </w:r>
          </w:p>
        </w:tc>
        <w:tc>
          <w:tcPr>
            <w:tcW w:w="7088" w:type="dxa"/>
            <w:vAlign w:val="center"/>
          </w:tcPr>
          <w:p w:rsidR="003A2015" w:rsidRPr="00ED3D25" w:rsidRDefault="003A2015" w:rsidP="00F41E1E">
            <w:pPr>
              <w:tabs>
                <w:tab w:val="left" w:pos="851"/>
              </w:tabs>
              <w:spacing w:line="240" w:lineRule="auto"/>
              <w:rPr>
                <w:lang w:val="lt-LT"/>
              </w:rPr>
            </w:pPr>
            <w:r w:rsidRPr="00ED3D25">
              <w:rPr>
                <w:lang w:val="lt-LT"/>
              </w:rPr>
              <w:t>Skatinti SVV naudotis bendrosios rinkos galimybėmis, diegti naujoves.</w:t>
            </w:r>
          </w:p>
        </w:tc>
      </w:tr>
    </w:tbl>
    <w:p w:rsidR="003A2015" w:rsidRPr="00ED3D25" w:rsidRDefault="005B1200" w:rsidP="00746E75">
      <w:pPr>
        <w:tabs>
          <w:tab w:val="left" w:pos="851"/>
        </w:tabs>
        <w:spacing w:after="0" w:line="240" w:lineRule="auto"/>
        <w:rPr>
          <w:sz w:val="20"/>
          <w:szCs w:val="20"/>
          <w:lang w:val="lt-LT"/>
        </w:rPr>
      </w:pPr>
      <w:r w:rsidRPr="00ED3D25">
        <w:rPr>
          <w:sz w:val="20"/>
          <w:szCs w:val="20"/>
          <w:lang w:val="lt-LT"/>
        </w:rPr>
        <w:t>Pastaba: lentelė sudaryta autorės</w:t>
      </w:r>
      <w:r w:rsidR="003A2015" w:rsidRPr="00ED3D25">
        <w:rPr>
          <w:sz w:val="20"/>
          <w:szCs w:val="20"/>
          <w:lang w:val="lt-LT"/>
        </w:rPr>
        <w:t>, remiantis</w:t>
      </w:r>
      <w:r w:rsidR="002F25B4" w:rsidRPr="00ED3D25">
        <w:rPr>
          <w:sz w:val="20"/>
          <w:szCs w:val="20"/>
          <w:lang w:val="lt-LT"/>
        </w:rPr>
        <w:t xml:space="preserve"> ES priimtu</w:t>
      </w:r>
      <w:r w:rsidR="003A2015" w:rsidRPr="00ED3D25">
        <w:rPr>
          <w:sz w:val="20"/>
          <w:szCs w:val="20"/>
          <w:lang w:val="lt-LT"/>
        </w:rPr>
        <w:t xml:space="preserve"> Smulkiojo verslo aktu (2008).</w:t>
      </w:r>
    </w:p>
    <w:p w:rsidR="003A2015" w:rsidRPr="00746E75" w:rsidRDefault="003A2015" w:rsidP="00F41E1E">
      <w:pPr>
        <w:tabs>
          <w:tab w:val="left" w:pos="851"/>
        </w:tabs>
        <w:spacing w:after="0" w:line="240" w:lineRule="auto"/>
        <w:rPr>
          <w:sz w:val="14"/>
          <w:szCs w:val="14"/>
          <w:lang w:val="lt-LT"/>
        </w:rPr>
      </w:pPr>
    </w:p>
    <w:p w:rsidR="005B1200" w:rsidRPr="00ED3D25" w:rsidRDefault="005B1200" w:rsidP="00650F14">
      <w:pPr>
        <w:tabs>
          <w:tab w:val="left" w:pos="851"/>
        </w:tabs>
        <w:spacing w:after="0"/>
        <w:ind w:firstLine="851"/>
        <w:rPr>
          <w:szCs w:val="24"/>
          <w:lang w:val="lt-LT"/>
        </w:rPr>
      </w:pPr>
      <w:r w:rsidRPr="00ED3D25">
        <w:rPr>
          <w:szCs w:val="24"/>
          <w:lang w:val="lt-LT"/>
        </w:rPr>
        <w:t>Šiais principais siekiama, kad kuo daugiau verslų būtų pe</w:t>
      </w:r>
      <w:r w:rsidR="00805F26">
        <w:rPr>
          <w:szCs w:val="24"/>
          <w:lang w:val="lt-LT"/>
        </w:rPr>
        <w:t xml:space="preserve">rduodami šeimoms, nes pagal 2007 </w:t>
      </w:r>
      <w:r w:rsidRPr="00ED3D25">
        <w:rPr>
          <w:szCs w:val="24"/>
          <w:lang w:val="lt-LT"/>
        </w:rPr>
        <w:t xml:space="preserve">m. atliktą </w:t>
      </w:r>
      <w:r w:rsidRPr="00ED3D25">
        <w:rPr>
          <w:i/>
          <w:iCs/>
          <w:szCs w:val="24"/>
          <w:lang w:val="lt-LT"/>
        </w:rPr>
        <w:t xml:space="preserve">Eurobarometer </w:t>
      </w:r>
      <w:r w:rsidRPr="00ED3D25">
        <w:rPr>
          <w:szCs w:val="24"/>
          <w:lang w:val="lt-LT"/>
        </w:rPr>
        <w:t>apklausą manoma, kad per 10 metų apie 6 mln. žmonių išeis į pensiją, o perduodamas verslas išsaugo didžiąją dalį darbo vietų, lyginant su naujo verslo įkūrimu ir sudarytomis naujomis darbo vietomis</w:t>
      </w:r>
      <w:r w:rsidR="00A94CAA" w:rsidRPr="00ED3D25">
        <w:rPr>
          <w:szCs w:val="24"/>
          <w:lang w:val="lt-LT"/>
        </w:rPr>
        <w:t>. Tad</w:t>
      </w:r>
      <w:r w:rsidRPr="00ED3D25">
        <w:rPr>
          <w:szCs w:val="24"/>
          <w:lang w:val="lt-LT"/>
        </w:rPr>
        <w:t xml:space="preserve"> ypač svarbu supaprastinti įgūdžių ir verslo</w:t>
      </w:r>
      <w:r w:rsidR="00A94CAA" w:rsidRPr="00ED3D25">
        <w:rPr>
          <w:szCs w:val="24"/>
          <w:lang w:val="lt-LT"/>
        </w:rPr>
        <w:t xml:space="preserve"> perdavimo sąlygas. </w:t>
      </w:r>
      <w:r w:rsidRPr="00ED3D25">
        <w:rPr>
          <w:szCs w:val="24"/>
          <w:lang w:val="lt-LT"/>
        </w:rPr>
        <w:t>Kitas aspektas – Europoje mažiau moterų verslin</w:t>
      </w:r>
      <w:r w:rsidR="00650F14" w:rsidRPr="00ED3D25">
        <w:rPr>
          <w:szCs w:val="24"/>
          <w:lang w:val="lt-LT"/>
        </w:rPr>
        <w:t>inkių, nei Jungtinėse Amerikos V</w:t>
      </w:r>
      <w:r w:rsidRPr="00ED3D25">
        <w:rPr>
          <w:szCs w:val="24"/>
          <w:lang w:val="lt-LT"/>
        </w:rPr>
        <w:t xml:space="preserve">alstijose, tad ruošiamasi vykdyti daugiau programų, įtraukiančių moteris verslauti. Taip pat </w:t>
      </w:r>
      <w:r w:rsidR="00650F14" w:rsidRPr="00ED3D25">
        <w:rPr>
          <w:szCs w:val="24"/>
          <w:lang w:val="lt-LT"/>
        </w:rPr>
        <w:t>neišnaudotas</w:t>
      </w:r>
      <w:r w:rsidRPr="00ED3D25">
        <w:rPr>
          <w:szCs w:val="24"/>
          <w:lang w:val="lt-LT"/>
        </w:rPr>
        <w:t xml:space="preserve"> imigrantų verslumo potencialas, tad vykdomi seminarai, skelbiama informacija apie galimybę užsiimti verslu į šalį atv</w:t>
      </w:r>
      <w:r w:rsidR="00805F26">
        <w:rPr>
          <w:szCs w:val="24"/>
          <w:lang w:val="lt-LT"/>
        </w:rPr>
        <w:t>ykusiems gyventi užsieniečiams.</w:t>
      </w:r>
    </w:p>
    <w:p w:rsidR="005B1200" w:rsidRPr="00ED3D25" w:rsidRDefault="005B1200" w:rsidP="00185FB4">
      <w:pPr>
        <w:tabs>
          <w:tab w:val="left" w:pos="851"/>
        </w:tabs>
        <w:spacing w:after="0"/>
        <w:ind w:firstLine="851"/>
        <w:rPr>
          <w:szCs w:val="24"/>
          <w:lang w:val="lt-LT"/>
        </w:rPr>
      </w:pPr>
      <w:r w:rsidRPr="00ED3D25">
        <w:rPr>
          <w:szCs w:val="24"/>
          <w:lang w:val="lt-LT"/>
        </w:rPr>
        <w:t>„Lisabonos partnerystės ekonomikos augimui ir darbo vietų kūrimui skatinti įgyvendinime“ (2007) rašoma, kad maždaug 15 proc. įmonių yra uždaromos dėl bankroto, tačiau daug mažiau verslininkų nori</w:t>
      </w:r>
      <w:r w:rsidR="00650F14" w:rsidRPr="00ED3D25">
        <w:rPr>
          <w:szCs w:val="24"/>
          <w:lang w:val="lt-LT"/>
        </w:rPr>
        <w:t xml:space="preserve"> dar kartą bandyti</w:t>
      </w:r>
      <w:r w:rsidRPr="00ED3D25">
        <w:rPr>
          <w:szCs w:val="24"/>
          <w:lang w:val="lt-LT"/>
        </w:rPr>
        <w:t xml:space="preserve"> kurti verslą iš naujo, tad Europos Sąjunga siekia padrąsinti ir suteikti galimybę viską pradėti </w:t>
      </w:r>
      <w:r w:rsidR="00650F14" w:rsidRPr="00ED3D25">
        <w:rPr>
          <w:szCs w:val="24"/>
          <w:lang w:val="lt-LT"/>
        </w:rPr>
        <w:t>„nuo nulio“</w:t>
      </w:r>
      <w:r w:rsidRPr="00ED3D25">
        <w:rPr>
          <w:szCs w:val="24"/>
          <w:lang w:val="lt-LT"/>
        </w:rPr>
        <w:t>, nes atlikti tyrimai rodo, kad maždaug kasmet 700 000 smulkių  ar viduti</w:t>
      </w:r>
      <w:r w:rsidR="00A94CAA" w:rsidRPr="00ED3D25">
        <w:rPr>
          <w:szCs w:val="24"/>
          <w:lang w:val="lt-LT"/>
        </w:rPr>
        <w:t>n</w:t>
      </w:r>
      <w:r w:rsidRPr="00ED3D25">
        <w:rPr>
          <w:szCs w:val="24"/>
          <w:lang w:val="lt-LT"/>
        </w:rPr>
        <w:t>ių įmonių žlunga, o tai lemia, kad apie 2,8 mln.</w:t>
      </w:r>
      <w:r w:rsidR="00185FB4" w:rsidRPr="00ED3D25">
        <w:rPr>
          <w:szCs w:val="24"/>
          <w:lang w:val="lt-LT"/>
        </w:rPr>
        <w:t xml:space="preserve"> darb</w:t>
      </w:r>
      <w:r w:rsidRPr="00ED3D25">
        <w:rPr>
          <w:szCs w:val="24"/>
          <w:lang w:val="lt-LT"/>
        </w:rPr>
        <w:t xml:space="preserve">uotojų </w:t>
      </w:r>
      <w:r w:rsidR="00185FB4" w:rsidRPr="00ED3D25">
        <w:rPr>
          <w:szCs w:val="24"/>
          <w:lang w:val="lt-LT"/>
        </w:rPr>
        <w:t>tampa bedarbiais</w:t>
      </w:r>
      <w:r w:rsidRPr="00ED3D25">
        <w:rPr>
          <w:szCs w:val="24"/>
          <w:lang w:val="lt-LT"/>
        </w:rPr>
        <w:t xml:space="preserve">. Labai svarbu sumažinti administracinį reglamentavimą, nes ekspertų grupės ataskaita „Neproporcingai didelės reikalavimų naštos SVV mažinimo būdai“ (2007) atskleidė, kad maža įmonė sumoka iki 10 kartų daugiau administracinių mokesčių, nei viena didelė. Taip pat valstybėms rekomenduojama taikyti „Gerosios patirties kodeksą“, kad būtų sudaromos palankesnės salygos SVV poreikių tenkinimui. </w:t>
      </w:r>
      <w:r w:rsidR="00EE0F1E" w:rsidRPr="00ED3D25">
        <w:rPr>
          <w:szCs w:val="24"/>
          <w:lang w:val="lt-LT"/>
        </w:rPr>
        <w:t>Papildant</w:t>
      </w:r>
      <w:r w:rsidRPr="00ED3D25">
        <w:rPr>
          <w:szCs w:val="24"/>
          <w:lang w:val="lt-LT"/>
        </w:rPr>
        <w:t xml:space="preserve"> galima paminėti ir Europos Sąjungos vidaus rinkos </w:t>
      </w:r>
      <w:r w:rsidRPr="00ED3D25">
        <w:rPr>
          <w:szCs w:val="24"/>
          <w:lang w:val="lt-LT"/>
        </w:rPr>
        <w:lastRenderedPageBreak/>
        <w:t>taisykles, kurių įvedimas užtikrintų visų narių skirtingų taisyklių suvienodinimą. O tai lemtų efektyvumo padidėjimą</w:t>
      </w:r>
      <w:r w:rsidR="00A94CAA" w:rsidRPr="00ED3D25">
        <w:rPr>
          <w:szCs w:val="24"/>
          <w:lang w:val="lt-LT"/>
        </w:rPr>
        <w:t xml:space="preserve"> e</w:t>
      </w:r>
      <w:r w:rsidR="00EE0F1E" w:rsidRPr="00ED3D25">
        <w:rPr>
          <w:szCs w:val="24"/>
          <w:lang w:val="lt-LT"/>
        </w:rPr>
        <w:t>uropiniu mastu</w:t>
      </w:r>
      <w:r w:rsidRPr="00ED3D25">
        <w:rPr>
          <w:szCs w:val="24"/>
          <w:lang w:val="lt-LT"/>
        </w:rPr>
        <w:t>.</w:t>
      </w:r>
    </w:p>
    <w:p w:rsidR="00E46965" w:rsidRPr="00ED3D25" w:rsidRDefault="009C1C26" w:rsidP="00A94CAA">
      <w:pPr>
        <w:tabs>
          <w:tab w:val="left" w:pos="851"/>
        </w:tabs>
        <w:spacing w:after="0"/>
        <w:ind w:firstLine="851"/>
        <w:rPr>
          <w:szCs w:val="24"/>
          <w:lang w:val="lt-LT"/>
        </w:rPr>
      </w:pPr>
      <w:r w:rsidRPr="00ED3D25">
        <w:rPr>
          <w:szCs w:val="24"/>
          <w:lang w:val="lt-LT"/>
        </w:rPr>
        <w:t xml:space="preserve">Labiausiai </w:t>
      </w:r>
      <w:r w:rsidR="005B1200" w:rsidRPr="00ED3D25">
        <w:rPr>
          <w:szCs w:val="24"/>
          <w:lang w:val="lt-LT"/>
        </w:rPr>
        <w:t>ES susirūpino dėl SVV</w:t>
      </w:r>
      <w:r w:rsidRPr="00ED3D25">
        <w:rPr>
          <w:szCs w:val="24"/>
          <w:lang w:val="lt-LT"/>
        </w:rPr>
        <w:t xml:space="preserve"> ateities ir suskubo imtis smulkaus verslo</w:t>
      </w:r>
      <w:r w:rsidR="005B1200" w:rsidRPr="00ED3D25">
        <w:rPr>
          <w:szCs w:val="24"/>
          <w:lang w:val="lt-LT"/>
        </w:rPr>
        <w:t xml:space="preserve"> skatinimo</w:t>
      </w:r>
      <w:r w:rsidR="00E46965" w:rsidRPr="00ED3D25">
        <w:rPr>
          <w:szCs w:val="24"/>
          <w:lang w:val="lt-LT"/>
        </w:rPr>
        <w:t xml:space="preserve"> regionuose tuomet, kai Europos Komisija atliko apklausą apie verslo kūrimą ir</w:t>
      </w:r>
      <w:r w:rsidRPr="00ED3D25">
        <w:rPr>
          <w:szCs w:val="24"/>
          <w:lang w:val="lt-LT"/>
        </w:rPr>
        <w:t>, deja,</w:t>
      </w:r>
      <w:r w:rsidR="00E46965" w:rsidRPr="00ED3D25">
        <w:rPr>
          <w:szCs w:val="24"/>
          <w:lang w:val="lt-LT"/>
        </w:rPr>
        <w:t xml:space="preserve"> rezultatai buvo ne patys geriausi. Apklausa</w:t>
      </w:r>
      <w:r w:rsidR="00A94CAA" w:rsidRPr="00ED3D25">
        <w:rPr>
          <w:szCs w:val="24"/>
          <w:lang w:val="lt-LT"/>
        </w:rPr>
        <w:t xml:space="preserve"> atskleidė problemą, kad 2007</w:t>
      </w:r>
      <w:r w:rsidR="00E46965" w:rsidRPr="00ED3D25">
        <w:rPr>
          <w:szCs w:val="24"/>
          <w:lang w:val="lt-LT"/>
        </w:rPr>
        <w:t xml:space="preserve"> metais net 4 iš 10 Europos gyventojų norėjo imtis savo verslo ir </w:t>
      </w:r>
      <w:r w:rsidR="00D50052" w:rsidRPr="00ED3D25">
        <w:rPr>
          <w:szCs w:val="24"/>
          <w:lang w:val="lt-LT"/>
        </w:rPr>
        <w:t>tapti</w:t>
      </w:r>
      <w:r w:rsidR="00E46965" w:rsidRPr="00ED3D25">
        <w:rPr>
          <w:szCs w:val="24"/>
          <w:lang w:val="lt-LT"/>
        </w:rPr>
        <w:t xml:space="preserve"> vadovais, tačiau 21 proc. mano, kad jie neturi pakankamo kapitalo, o po kelių metų respondentai </w:t>
      </w:r>
      <w:r w:rsidR="00222750" w:rsidRPr="00ED3D25">
        <w:rPr>
          <w:szCs w:val="24"/>
          <w:lang w:val="lt-LT"/>
        </w:rPr>
        <w:t xml:space="preserve">tapo dar vangesni kurti verslą. </w:t>
      </w:r>
      <w:r w:rsidR="00E46965" w:rsidRPr="00ED3D25">
        <w:rPr>
          <w:szCs w:val="24"/>
          <w:lang w:val="lt-LT"/>
        </w:rPr>
        <w:t xml:space="preserve">Tad šią padėtį buvo privaloma pakeisti. </w:t>
      </w:r>
      <w:r w:rsidR="005B1200" w:rsidRPr="00ED3D25">
        <w:rPr>
          <w:szCs w:val="24"/>
          <w:lang w:val="lt-LT"/>
        </w:rPr>
        <w:t xml:space="preserve">Supratus, kokį stiprų poveikį smulkusis verslas daro visai ekonomikai, </w:t>
      </w:r>
      <w:r w:rsidR="00E46965" w:rsidRPr="00ED3D25">
        <w:rPr>
          <w:szCs w:val="24"/>
          <w:lang w:val="lt-LT"/>
        </w:rPr>
        <w:t xml:space="preserve">pristatytas verslo skatinimo planas „Verslumas 2020“. Šio plano svarbiausi principai pateikti </w:t>
      </w:r>
      <w:r w:rsidR="00DB20A1" w:rsidRPr="00ED3D25">
        <w:rPr>
          <w:szCs w:val="24"/>
          <w:lang w:val="lt-LT"/>
        </w:rPr>
        <w:t>3</w:t>
      </w:r>
      <w:r w:rsidR="00E46965" w:rsidRPr="00ED3D25">
        <w:rPr>
          <w:szCs w:val="24"/>
          <w:lang w:val="lt-LT"/>
        </w:rPr>
        <w:t xml:space="preserve"> lentelėje.</w:t>
      </w:r>
    </w:p>
    <w:p w:rsidR="00E46965" w:rsidRPr="00ED3D25" w:rsidRDefault="00DB20A1" w:rsidP="00E46965">
      <w:pPr>
        <w:tabs>
          <w:tab w:val="left" w:pos="851"/>
        </w:tabs>
        <w:spacing w:after="0"/>
        <w:ind w:firstLine="851"/>
        <w:jc w:val="right"/>
        <w:rPr>
          <w:b/>
          <w:bCs/>
          <w:szCs w:val="24"/>
          <w:lang w:val="lt-LT"/>
        </w:rPr>
      </w:pPr>
      <w:r w:rsidRPr="00ED3D25">
        <w:rPr>
          <w:b/>
          <w:bCs/>
          <w:szCs w:val="24"/>
          <w:lang w:val="lt-LT"/>
        </w:rPr>
        <w:t>3</w:t>
      </w:r>
      <w:r w:rsidR="00E46965" w:rsidRPr="00ED3D25">
        <w:rPr>
          <w:b/>
          <w:bCs/>
          <w:szCs w:val="24"/>
          <w:lang w:val="lt-LT"/>
        </w:rPr>
        <w:t xml:space="preserve"> lentelė</w:t>
      </w:r>
    </w:p>
    <w:p w:rsidR="00942E84" w:rsidRPr="00ED3D25" w:rsidRDefault="00942E84" w:rsidP="00942E84">
      <w:pPr>
        <w:spacing w:after="0" w:line="240" w:lineRule="auto"/>
        <w:jc w:val="center"/>
        <w:rPr>
          <w:b/>
          <w:bCs/>
          <w:lang w:val="lt-LT"/>
        </w:rPr>
      </w:pPr>
      <w:r w:rsidRPr="00ED3D25">
        <w:rPr>
          <w:b/>
          <w:bCs/>
          <w:lang w:val="lt-LT"/>
        </w:rPr>
        <w:t>Verslo skatinimo programos „Verslumas 2020“ svarbiausi tikslai</w:t>
      </w:r>
    </w:p>
    <w:p w:rsidR="00942E84" w:rsidRPr="00ED3D25" w:rsidRDefault="00942E84" w:rsidP="00942E84">
      <w:pPr>
        <w:tabs>
          <w:tab w:val="left" w:pos="851"/>
        </w:tabs>
        <w:spacing w:after="0" w:line="240" w:lineRule="auto"/>
        <w:ind w:firstLine="851"/>
        <w:jc w:val="center"/>
        <w:rPr>
          <w:b/>
          <w:bCs/>
          <w:lang w:val="lt-LT"/>
        </w:rPr>
      </w:pPr>
    </w:p>
    <w:tbl>
      <w:tblPr>
        <w:tblStyle w:val="TableGrid"/>
        <w:tblW w:w="0" w:type="auto"/>
        <w:jc w:val="center"/>
        <w:tblLook w:val="04A0" w:firstRow="1" w:lastRow="0" w:firstColumn="1" w:lastColumn="0" w:noHBand="0" w:noVBand="1"/>
      </w:tblPr>
      <w:tblGrid>
        <w:gridCol w:w="3085"/>
        <w:gridCol w:w="6095"/>
      </w:tblGrid>
      <w:tr w:rsidR="00942E84" w:rsidRPr="00ED3D25" w:rsidTr="008E397C">
        <w:trPr>
          <w:jc w:val="center"/>
        </w:trPr>
        <w:tc>
          <w:tcPr>
            <w:tcW w:w="3085" w:type="dxa"/>
            <w:vAlign w:val="center"/>
          </w:tcPr>
          <w:p w:rsidR="00942E84" w:rsidRPr="00ED3D25" w:rsidRDefault="00942E84" w:rsidP="00F41E1E">
            <w:pPr>
              <w:tabs>
                <w:tab w:val="left" w:pos="851"/>
              </w:tabs>
              <w:spacing w:line="240" w:lineRule="auto"/>
              <w:rPr>
                <w:b/>
                <w:bCs/>
                <w:lang w:val="lt-LT"/>
              </w:rPr>
            </w:pPr>
            <w:r w:rsidRPr="00ED3D25">
              <w:rPr>
                <w:b/>
                <w:bCs/>
                <w:lang w:val="lt-LT"/>
              </w:rPr>
              <w:t>Principas</w:t>
            </w:r>
          </w:p>
        </w:tc>
        <w:tc>
          <w:tcPr>
            <w:tcW w:w="6095" w:type="dxa"/>
            <w:vAlign w:val="center"/>
          </w:tcPr>
          <w:p w:rsidR="00942E84" w:rsidRPr="00ED3D25" w:rsidRDefault="00942E84" w:rsidP="00F41E1E">
            <w:pPr>
              <w:tabs>
                <w:tab w:val="left" w:pos="851"/>
              </w:tabs>
              <w:spacing w:line="240" w:lineRule="auto"/>
              <w:rPr>
                <w:b/>
                <w:bCs/>
                <w:lang w:val="lt-LT"/>
              </w:rPr>
            </w:pPr>
            <w:r w:rsidRPr="00ED3D25">
              <w:rPr>
                <w:b/>
                <w:bCs/>
                <w:lang w:val="lt-LT"/>
              </w:rPr>
              <w:t>Aktualumas</w:t>
            </w:r>
          </w:p>
        </w:tc>
      </w:tr>
      <w:tr w:rsidR="00942E84" w:rsidRPr="009E2757" w:rsidTr="008E397C">
        <w:trPr>
          <w:jc w:val="center"/>
        </w:trPr>
        <w:tc>
          <w:tcPr>
            <w:tcW w:w="3085" w:type="dxa"/>
            <w:vAlign w:val="center"/>
          </w:tcPr>
          <w:p w:rsidR="00942E84" w:rsidRPr="00ED3D25" w:rsidRDefault="00942E84" w:rsidP="00F41E1E">
            <w:pPr>
              <w:tabs>
                <w:tab w:val="left" w:pos="851"/>
              </w:tabs>
              <w:spacing w:line="240" w:lineRule="auto"/>
              <w:rPr>
                <w:lang w:val="lt-LT"/>
              </w:rPr>
            </w:pPr>
            <w:r w:rsidRPr="00ED3D25">
              <w:rPr>
                <w:lang w:val="lt-LT"/>
              </w:rPr>
              <w:t>Europos mažų paskolų rinka</w:t>
            </w:r>
          </w:p>
        </w:tc>
        <w:tc>
          <w:tcPr>
            <w:tcW w:w="6095" w:type="dxa"/>
            <w:vAlign w:val="center"/>
          </w:tcPr>
          <w:p w:rsidR="00942E84" w:rsidRPr="00ED3D25" w:rsidRDefault="00942E84" w:rsidP="00F41E1E">
            <w:pPr>
              <w:tabs>
                <w:tab w:val="left" w:pos="851"/>
              </w:tabs>
              <w:spacing w:line="240" w:lineRule="auto"/>
              <w:rPr>
                <w:lang w:val="lt-LT"/>
              </w:rPr>
            </w:pPr>
            <w:r w:rsidRPr="00ED3D25">
              <w:rPr>
                <w:lang w:val="lt-LT"/>
              </w:rPr>
              <w:t>Ji užtikrintų lengvesnias sąlygas gauti lėšų versui ir mokesčių</w:t>
            </w:r>
            <w:r w:rsidR="008D58DB">
              <w:rPr>
                <w:lang w:val="lt-LT"/>
              </w:rPr>
              <w:t xml:space="preserve"> taikymo</w:t>
            </w:r>
            <w:r w:rsidRPr="00ED3D25">
              <w:rPr>
                <w:lang w:val="lt-LT"/>
              </w:rPr>
              <w:t xml:space="preserve"> taisykles.</w:t>
            </w:r>
          </w:p>
        </w:tc>
      </w:tr>
      <w:tr w:rsidR="00942E84" w:rsidRPr="009E2757" w:rsidTr="008E397C">
        <w:trPr>
          <w:jc w:val="center"/>
        </w:trPr>
        <w:tc>
          <w:tcPr>
            <w:tcW w:w="3085" w:type="dxa"/>
            <w:vAlign w:val="center"/>
          </w:tcPr>
          <w:p w:rsidR="00942E84" w:rsidRPr="00ED3D25" w:rsidRDefault="00942E84" w:rsidP="00F41E1E">
            <w:pPr>
              <w:tabs>
                <w:tab w:val="left" w:pos="851"/>
              </w:tabs>
              <w:spacing w:line="240" w:lineRule="auto"/>
              <w:rPr>
                <w:lang w:val="lt-LT"/>
              </w:rPr>
            </w:pPr>
            <w:r w:rsidRPr="00ED3D25">
              <w:rPr>
                <w:lang w:val="lt-LT"/>
              </w:rPr>
              <w:t>Verslas mokyklose</w:t>
            </w:r>
          </w:p>
        </w:tc>
        <w:tc>
          <w:tcPr>
            <w:tcW w:w="6095" w:type="dxa"/>
            <w:vAlign w:val="center"/>
          </w:tcPr>
          <w:p w:rsidR="00942E84" w:rsidRPr="00ED3D25" w:rsidRDefault="00942E84" w:rsidP="00F41E1E">
            <w:pPr>
              <w:tabs>
                <w:tab w:val="left" w:pos="851"/>
              </w:tabs>
              <w:spacing w:line="240" w:lineRule="auto"/>
              <w:rPr>
                <w:lang w:val="lt-LT"/>
              </w:rPr>
            </w:pPr>
            <w:r w:rsidRPr="00ED3D25">
              <w:rPr>
                <w:lang w:val="lt-LT"/>
              </w:rPr>
              <w:t>Suteiktų galimybę moksleiviams iki mokyklos baigimo įgauti su verslumu susijusios patirties.</w:t>
            </w:r>
          </w:p>
        </w:tc>
      </w:tr>
      <w:tr w:rsidR="00942E84" w:rsidRPr="009E2757" w:rsidTr="008E397C">
        <w:trPr>
          <w:jc w:val="center"/>
        </w:trPr>
        <w:tc>
          <w:tcPr>
            <w:tcW w:w="3085" w:type="dxa"/>
            <w:vAlign w:val="center"/>
          </w:tcPr>
          <w:p w:rsidR="00942E84" w:rsidRPr="00ED3D25" w:rsidRDefault="00942E84" w:rsidP="00F41E1E">
            <w:pPr>
              <w:tabs>
                <w:tab w:val="left" w:pos="851"/>
              </w:tabs>
              <w:spacing w:line="240" w:lineRule="auto"/>
              <w:rPr>
                <w:lang w:val="lt-LT"/>
              </w:rPr>
            </w:pPr>
            <w:r w:rsidRPr="00ED3D25">
              <w:rPr>
                <w:lang w:val="lt-LT"/>
              </w:rPr>
              <w:t>Greitesnis įmonės sukūrimas</w:t>
            </w:r>
          </w:p>
        </w:tc>
        <w:tc>
          <w:tcPr>
            <w:tcW w:w="6095" w:type="dxa"/>
            <w:vAlign w:val="center"/>
          </w:tcPr>
          <w:p w:rsidR="00942E84" w:rsidRPr="00ED3D25" w:rsidRDefault="00942E84" w:rsidP="00F41E1E">
            <w:pPr>
              <w:tabs>
                <w:tab w:val="left" w:pos="851"/>
              </w:tabs>
              <w:spacing w:line="240" w:lineRule="auto"/>
              <w:rPr>
                <w:lang w:val="lt-LT"/>
              </w:rPr>
            </w:pPr>
            <w:r w:rsidRPr="00ED3D25">
              <w:rPr>
                <w:lang w:val="lt-LT"/>
              </w:rPr>
              <w:t>Sutrumpinti įmonės įsteigimo ir reikiamų licencijų, leidimų gavimo trukmę.</w:t>
            </w:r>
          </w:p>
        </w:tc>
      </w:tr>
      <w:tr w:rsidR="00942E84" w:rsidRPr="009E2757" w:rsidTr="008E397C">
        <w:trPr>
          <w:jc w:val="center"/>
        </w:trPr>
        <w:tc>
          <w:tcPr>
            <w:tcW w:w="3085" w:type="dxa"/>
            <w:vAlign w:val="center"/>
          </w:tcPr>
          <w:p w:rsidR="00942E84" w:rsidRPr="00ED3D25" w:rsidRDefault="00942E84" w:rsidP="00F41E1E">
            <w:pPr>
              <w:tabs>
                <w:tab w:val="left" w:pos="-7763"/>
              </w:tabs>
              <w:spacing w:line="240" w:lineRule="auto"/>
              <w:rPr>
                <w:lang w:val="lt-LT"/>
              </w:rPr>
            </w:pPr>
            <w:r w:rsidRPr="00ED3D25">
              <w:rPr>
                <w:lang w:val="lt-LT"/>
              </w:rPr>
              <w:t>Verslininkystės lankstumas</w:t>
            </w:r>
          </w:p>
        </w:tc>
        <w:tc>
          <w:tcPr>
            <w:tcW w:w="6095" w:type="dxa"/>
            <w:vAlign w:val="center"/>
          </w:tcPr>
          <w:p w:rsidR="00942E84" w:rsidRPr="00ED3D25" w:rsidRDefault="00942E84" w:rsidP="00F41E1E">
            <w:pPr>
              <w:tabs>
                <w:tab w:val="left" w:pos="851"/>
              </w:tabs>
              <w:spacing w:line="240" w:lineRule="auto"/>
              <w:rPr>
                <w:lang w:val="lt-LT"/>
              </w:rPr>
            </w:pPr>
            <w:r w:rsidRPr="00ED3D25">
              <w:rPr>
                <w:lang w:val="lt-LT"/>
              </w:rPr>
              <w:t>Supaprasti verslo pradėjimą, pardavimą, perdavimą ar bandymą iš naujo vykdyti verslą.</w:t>
            </w:r>
          </w:p>
        </w:tc>
      </w:tr>
      <w:tr w:rsidR="00942E84" w:rsidRPr="004B21BF" w:rsidTr="008E397C">
        <w:trPr>
          <w:jc w:val="center"/>
        </w:trPr>
        <w:tc>
          <w:tcPr>
            <w:tcW w:w="3085" w:type="dxa"/>
            <w:vAlign w:val="center"/>
          </w:tcPr>
          <w:p w:rsidR="00942E84" w:rsidRPr="00ED3D25" w:rsidRDefault="00942E84" w:rsidP="00F41E1E">
            <w:pPr>
              <w:tabs>
                <w:tab w:val="left" w:pos="851"/>
              </w:tabs>
              <w:spacing w:line="240" w:lineRule="auto"/>
              <w:rPr>
                <w:lang w:val="lt-LT"/>
              </w:rPr>
            </w:pPr>
            <w:r w:rsidRPr="00ED3D25">
              <w:rPr>
                <w:lang w:val="lt-LT"/>
              </w:rPr>
              <w:t>Internetinė prekyba</w:t>
            </w:r>
          </w:p>
        </w:tc>
        <w:tc>
          <w:tcPr>
            <w:tcW w:w="6095" w:type="dxa"/>
            <w:vAlign w:val="center"/>
          </w:tcPr>
          <w:p w:rsidR="00942E84" w:rsidRPr="00ED3D25" w:rsidRDefault="00942E84" w:rsidP="00F41E1E">
            <w:pPr>
              <w:tabs>
                <w:tab w:val="left" w:pos="851"/>
              </w:tabs>
              <w:spacing w:line="240" w:lineRule="auto"/>
              <w:rPr>
                <w:lang w:val="lt-LT"/>
              </w:rPr>
            </w:pPr>
            <w:r w:rsidRPr="00ED3D25">
              <w:rPr>
                <w:lang w:val="lt-LT"/>
              </w:rPr>
              <w:t>Pašalinti kliūtis internetinei prekybai tarptautiniu mastu.</w:t>
            </w:r>
          </w:p>
        </w:tc>
      </w:tr>
      <w:tr w:rsidR="00942E84" w:rsidRPr="004B21BF" w:rsidTr="008E397C">
        <w:trPr>
          <w:jc w:val="center"/>
        </w:trPr>
        <w:tc>
          <w:tcPr>
            <w:tcW w:w="3085" w:type="dxa"/>
            <w:vAlign w:val="center"/>
          </w:tcPr>
          <w:p w:rsidR="00942E84" w:rsidRPr="00ED3D25" w:rsidRDefault="00942E84" w:rsidP="00F41E1E">
            <w:pPr>
              <w:tabs>
                <w:tab w:val="left" w:pos="-7763"/>
              </w:tabs>
              <w:spacing w:line="240" w:lineRule="auto"/>
              <w:rPr>
                <w:lang w:val="lt-LT"/>
              </w:rPr>
            </w:pPr>
            <w:r w:rsidRPr="00ED3D25">
              <w:rPr>
                <w:lang w:val="lt-LT"/>
              </w:rPr>
              <w:t>Konsultacijų skaičiaus didinimas</w:t>
            </w:r>
          </w:p>
        </w:tc>
        <w:tc>
          <w:tcPr>
            <w:tcW w:w="6095" w:type="dxa"/>
            <w:vAlign w:val="center"/>
          </w:tcPr>
          <w:p w:rsidR="00942E84" w:rsidRPr="00ED3D25" w:rsidRDefault="00942E84" w:rsidP="00F41E1E">
            <w:pPr>
              <w:tabs>
                <w:tab w:val="left" w:pos="851"/>
              </w:tabs>
              <w:spacing w:line="240" w:lineRule="auto"/>
              <w:rPr>
                <w:lang w:val="lt-LT"/>
              </w:rPr>
            </w:pPr>
            <w:r w:rsidRPr="00ED3D25">
              <w:rPr>
                <w:lang w:val="lt-LT"/>
              </w:rPr>
              <w:t>Konsultavimo, paramos programų moterims, vyresnio amžiaus žmonėms, imigrantams ir kitiems būsimiems verslininkams rengimas.</w:t>
            </w:r>
          </w:p>
        </w:tc>
      </w:tr>
      <w:tr w:rsidR="00942E84" w:rsidRPr="004B21BF" w:rsidTr="008E397C">
        <w:trPr>
          <w:jc w:val="center"/>
        </w:trPr>
        <w:tc>
          <w:tcPr>
            <w:tcW w:w="3085" w:type="dxa"/>
            <w:vAlign w:val="center"/>
          </w:tcPr>
          <w:p w:rsidR="00942E84" w:rsidRPr="00ED3D25" w:rsidRDefault="00942E84" w:rsidP="00F41E1E">
            <w:pPr>
              <w:tabs>
                <w:tab w:val="left" w:pos="851"/>
              </w:tabs>
              <w:spacing w:line="240" w:lineRule="auto"/>
              <w:rPr>
                <w:lang w:val="lt-LT"/>
              </w:rPr>
            </w:pPr>
            <w:r w:rsidRPr="00ED3D25">
              <w:rPr>
                <w:lang w:val="lt-LT"/>
              </w:rPr>
              <w:t>Skubi pagalba</w:t>
            </w:r>
          </w:p>
        </w:tc>
        <w:tc>
          <w:tcPr>
            <w:tcW w:w="6095" w:type="dxa"/>
            <w:vAlign w:val="center"/>
          </w:tcPr>
          <w:p w:rsidR="00942E84" w:rsidRPr="00ED3D25" w:rsidRDefault="00942E84" w:rsidP="00F41E1E">
            <w:pPr>
              <w:tabs>
                <w:tab w:val="left" w:pos="851"/>
              </w:tabs>
              <w:spacing w:line="240" w:lineRule="auto"/>
              <w:rPr>
                <w:lang w:val="lt-LT"/>
              </w:rPr>
            </w:pPr>
            <w:r w:rsidRPr="00ED3D25">
              <w:rPr>
                <w:lang w:val="lt-LT"/>
              </w:rPr>
              <w:t>Padėti su trumpalaikiais finansiniais sunkumais susidūrusioms įmonėms.</w:t>
            </w:r>
          </w:p>
        </w:tc>
      </w:tr>
    </w:tbl>
    <w:p w:rsidR="00E46965" w:rsidRPr="00ED3D25" w:rsidRDefault="00E46965" w:rsidP="008E397C">
      <w:pPr>
        <w:tabs>
          <w:tab w:val="left" w:pos="851"/>
        </w:tabs>
        <w:spacing w:after="0" w:line="240" w:lineRule="auto"/>
        <w:ind w:firstLine="284"/>
        <w:rPr>
          <w:sz w:val="20"/>
          <w:szCs w:val="20"/>
          <w:lang w:val="lt-LT"/>
        </w:rPr>
      </w:pPr>
      <w:r w:rsidRPr="00ED3D25">
        <w:rPr>
          <w:sz w:val="20"/>
          <w:szCs w:val="20"/>
          <w:lang w:val="lt-LT"/>
        </w:rPr>
        <w:t>Pastaba: lentelė sudaryta autorės</w:t>
      </w:r>
      <w:r w:rsidR="00942E84" w:rsidRPr="00ED3D25">
        <w:rPr>
          <w:sz w:val="20"/>
          <w:szCs w:val="20"/>
          <w:lang w:val="lt-LT"/>
        </w:rPr>
        <w:t xml:space="preserve"> remiantis „Verslumas 2020“</w:t>
      </w:r>
      <w:r w:rsidR="00805F26">
        <w:rPr>
          <w:sz w:val="20"/>
          <w:szCs w:val="20"/>
          <w:lang w:val="lt-LT"/>
        </w:rPr>
        <w:t xml:space="preserve"> (2013)</w:t>
      </w:r>
      <w:r w:rsidR="00942E84" w:rsidRPr="00ED3D25">
        <w:rPr>
          <w:sz w:val="20"/>
          <w:szCs w:val="20"/>
          <w:lang w:val="lt-LT"/>
        </w:rPr>
        <w:t xml:space="preserve"> programa</w:t>
      </w:r>
      <w:r w:rsidR="00384687" w:rsidRPr="00ED3D25">
        <w:rPr>
          <w:sz w:val="20"/>
          <w:szCs w:val="20"/>
          <w:lang w:val="lt-LT"/>
        </w:rPr>
        <w:t>.</w:t>
      </w:r>
    </w:p>
    <w:p w:rsidR="00942E84" w:rsidRPr="00746E75" w:rsidRDefault="00942E84" w:rsidP="00942E84">
      <w:pPr>
        <w:tabs>
          <w:tab w:val="left" w:pos="851"/>
        </w:tabs>
        <w:spacing w:after="0" w:line="240" w:lineRule="auto"/>
        <w:rPr>
          <w:sz w:val="14"/>
          <w:szCs w:val="14"/>
          <w:lang w:val="lt-LT"/>
        </w:rPr>
      </w:pPr>
    </w:p>
    <w:p w:rsidR="00E46965" w:rsidRPr="00ED3D25" w:rsidRDefault="00E46965" w:rsidP="00633764">
      <w:pPr>
        <w:tabs>
          <w:tab w:val="left" w:pos="851"/>
        </w:tabs>
        <w:spacing w:after="0"/>
        <w:ind w:firstLine="851"/>
        <w:rPr>
          <w:szCs w:val="24"/>
          <w:lang w:val="lt-LT"/>
        </w:rPr>
      </w:pPr>
      <w:r w:rsidRPr="00ED3D25">
        <w:rPr>
          <w:szCs w:val="24"/>
          <w:lang w:val="lt-LT"/>
        </w:rPr>
        <w:t xml:space="preserve">Šiais principais siekiama supaprastinti įmonių steigimo tvarką, kad daugiau fizinių asmenų </w:t>
      </w:r>
      <w:r w:rsidR="00880E82" w:rsidRPr="00ED3D25">
        <w:rPr>
          <w:szCs w:val="24"/>
          <w:lang w:val="lt-LT"/>
        </w:rPr>
        <w:t>priimtų sprendimą</w:t>
      </w:r>
      <w:r w:rsidRPr="00ED3D25">
        <w:rPr>
          <w:szCs w:val="24"/>
          <w:lang w:val="lt-LT"/>
        </w:rPr>
        <w:t xml:space="preserve"> </w:t>
      </w:r>
      <w:r w:rsidR="00185FB4" w:rsidRPr="00ED3D25">
        <w:rPr>
          <w:szCs w:val="24"/>
          <w:lang w:val="lt-LT"/>
        </w:rPr>
        <w:t>tapt</w:t>
      </w:r>
      <w:r w:rsidRPr="00ED3D25">
        <w:rPr>
          <w:szCs w:val="24"/>
          <w:lang w:val="lt-LT"/>
        </w:rPr>
        <w:t>i verslininkais ir nepabūgtų ver</w:t>
      </w:r>
      <w:r w:rsidR="00880E82" w:rsidRPr="00ED3D25">
        <w:rPr>
          <w:szCs w:val="24"/>
          <w:lang w:val="lt-LT"/>
        </w:rPr>
        <w:t>slo įteisinimo politikos, kuri vyksta</w:t>
      </w:r>
      <w:r w:rsidRPr="00ED3D25">
        <w:rPr>
          <w:szCs w:val="24"/>
          <w:lang w:val="lt-LT"/>
        </w:rPr>
        <w:t xml:space="preserve"> ne</w:t>
      </w:r>
      <w:r w:rsidR="00880E82" w:rsidRPr="00ED3D25">
        <w:rPr>
          <w:szCs w:val="24"/>
          <w:lang w:val="lt-LT"/>
        </w:rPr>
        <w:t xml:space="preserve"> taip jau ir greitai</w:t>
      </w:r>
      <w:r w:rsidRPr="00ED3D25">
        <w:rPr>
          <w:szCs w:val="24"/>
          <w:lang w:val="lt-LT"/>
        </w:rPr>
        <w:t>. Taip pat</w:t>
      </w:r>
      <w:r w:rsidR="00185FB4" w:rsidRPr="00ED3D25">
        <w:rPr>
          <w:szCs w:val="24"/>
          <w:lang w:val="lt-LT"/>
        </w:rPr>
        <w:t>,</w:t>
      </w:r>
      <w:r w:rsidRPr="00ED3D25">
        <w:rPr>
          <w:szCs w:val="24"/>
          <w:lang w:val="lt-LT"/>
        </w:rPr>
        <w:t xml:space="preserve"> kaip buvo minėta anksčiau</w:t>
      </w:r>
      <w:r w:rsidR="00880E82" w:rsidRPr="00ED3D25">
        <w:rPr>
          <w:szCs w:val="24"/>
          <w:lang w:val="lt-LT"/>
        </w:rPr>
        <w:t xml:space="preserve"> apklausoje</w:t>
      </w:r>
      <w:r w:rsidRPr="00ED3D25">
        <w:rPr>
          <w:szCs w:val="24"/>
          <w:lang w:val="lt-LT"/>
        </w:rPr>
        <w:t>, žmon</w:t>
      </w:r>
      <w:r w:rsidR="00880E82" w:rsidRPr="00ED3D25">
        <w:rPr>
          <w:szCs w:val="24"/>
          <w:lang w:val="lt-LT"/>
        </w:rPr>
        <w:t xml:space="preserve">ės negali pradėti verslo dėl kapitalo stygiaus, tad siekiama supaprastinti paskolų gavimą, trumpalaikes paskolas ir </w:t>
      </w:r>
      <w:r w:rsidR="00633764">
        <w:rPr>
          <w:szCs w:val="24"/>
          <w:lang w:val="lt-LT"/>
        </w:rPr>
        <w:t>kitas priemones</w:t>
      </w:r>
      <w:r w:rsidR="00880E82" w:rsidRPr="00ED3D25">
        <w:rPr>
          <w:szCs w:val="24"/>
          <w:lang w:val="lt-LT"/>
        </w:rPr>
        <w:t xml:space="preserve">. </w:t>
      </w:r>
      <w:r w:rsidR="00D50588" w:rsidRPr="00ED3D25">
        <w:rPr>
          <w:szCs w:val="24"/>
          <w:lang w:val="lt-LT"/>
        </w:rPr>
        <w:t>Labai svarbų žingsnį norima žengti, kad moksleiviai</w:t>
      </w:r>
      <w:r w:rsidR="003E6C22" w:rsidRPr="00ED3D25">
        <w:rPr>
          <w:szCs w:val="24"/>
          <w:lang w:val="lt-LT"/>
        </w:rPr>
        <w:t xml:space="preserve"> būtų supažindinami su verslumu. T</w:t>
      </w:r>
      <w:r w:rsidR="00D50588" w:rsidRPr="00ED3D25">
        <w:rPr>
          <w:szCs w:val="24"/>
          <w:lang w:val="lt-LT"/>
        </w:rPr>
        <w:t xml:space="preserve">aip būtų ugdoma nauja verslininkų karta, kuri išmanytų šią sferą nuo </w:t>
      </w:r>
      <w:r w:rsidR="00185FB4" w:rsidRPr="00ED3D25">
        <w:rPr>
          <w:szCs w:val="24"/>
          <w:lang w:val="lt-LT"/>
        </w:rPr>
        <w:t>paauglystės</w:t>
      </w:r>
      <w:r w:rsidR="00D50588" w:rsidRPr="00ED3D25">
        <w:rPr>
          <w:szCs w:val="24"/>
          <w:lang w:val="lt-LT"/>
        </w:rPr>
        <w:t xml:space="preserve"> ir lengviau </w:t>
      </w:r>
      <w:r w:rsidR="003E6C22" w:rsidRPr="00ED3D25">
        <w:rPr>
          <w:szCs w:val="24"/>
          <w:lang w:val="lt-LT"/>
        </w:rPr>
        <w:t xml:space="preserve">jiems </w:t>
      </w:r>
      <w:r w:rsidR="00D50588" w:rsidRPr="00ED3D25">
        <w:rPr>
          <w:szCs w:val="24"/>
          <w:lang w:val="lt-LT"/>
        </w:rPr>
        <w:t xml:space="preserve">būtų vystyti verslą užaugus. Labai aktualios yra konsultacijos, kurios padeda suprasti verslo </w:t>
      </w:r>
      <w:r w:rsidR="00185FB4" w:rsidRPr="00ED3D25">
        <w:rPr>
          <w:szCs w:val="24"/>
          <w:lang w:val="lt-LT"/>
        </w:rPr>
        <w:t>politiką, reglamentavimą, reikalavimus, skatinimo subtilybes</w:t>
      </w:r>
      <w:r w:rsidR="00D50588" w:rsidRPr="00ED3D25">
        <w:rPr>
          <w:szCs w:val="24"/>
          <w:lang w:val="lt-LT"/>
        </w:rPr>
        <w:t xml:space="preserve"> ir sužinoti svarbiausias naujienas verslo pasaulyje, kas vyksta, kokiose programose naudinga dalyvauti.</w:t>
      </w:r>
    </w:p>
    <w:p w:rsidR="00952F45" w:rsidRPr="00145B82" w:rsidRDefault="00582344" w:rsidP="004C1FAF">
      <w:pPr>
        <w:tabs>
          <w:tab w:val="left" w:pos="851"/>
        </w:tabs>
        <w:spacing w:after="0"/>
        <w:ind w:firstLine="851"/>
        <w:rPr>
          <w:szCs w:val="24"/>
          <w:lang w:val="lt-LT"/>
        </w:rPr>
      </w:pPr>
      <w:r w:rsidRPr="00ED3D25">
        <w:rPr>
          <w:szCs w:val="24"/>
          <w:lang w:val="lt-LT"/>
        </w:rPr>
        <w:t>Vertinant regionų poli</w:t>
      </w:r>
      <w:r w:rsidR="00633764">
        <w:rPr>
          <w:szCs w:val="24"/>
          <w:lang w:val="lt-LT"/>
        </w:rPr>
        <w:t>tiką ir smulkų bei vidutinį versl</w:t>
      </w:r>
      <w:r w:rsidRPr="00ED3D25">
        <w:rPr>
          <w:szCs w:val="24"/>
          <w:lang w:val="lt-LT"/>
        </w:rPr>
        <w:t xml:space="preserve">ą, padaroma išvada, kad būtent mažosios įmonės „laiko“ ne tik vietinę rinką, tačiau ir didžiąją dalį visos ekonomikos. </w:t>
      </w:r>
      <w:r>
        <w:rPr>
          <w:szCs w:val="24"/>
          <w:lang w:val="lt-LT"/>
        </w:rPr>
        <w:t xml:space="preserve">Būtent </w:t>
      </w:r>
      <w:r>
        <w:rPr>
          <w:szCs w:val="24"/>
          <w:lang w:val="lt-LT"/>
        </w:rPr>
        <w:lastRenderedPageBreak/>
        <w:t xml:space="preserve">smulkiojo ir vidutinio verslo įmonės laikomos </w:t>
      </w:r>
      <w:r w:rsidRPr="00ED3D25">
        <w:rPr>
          <w:szCs w:val="24"/>
          <w:lang w:val="lt-LT"/>
        </w:rPr>
        <w:t>greičiausiai prisitaikančio</w:t>
      </w:r>
      <w:r>
        <w:rPr>
          <w:szCs w:val="24"/>
          <w:lang w:val="lt-LT"/>
        </w:rPr>
        <w:t>mis prie rinkos kaitos ir darančios</w:t>
      </w:r>
      <w:r w:rsidRPr="00ED3D25">
        <w:rPr>
          <w:szCs w:val="24"/>
          <w:lang w:val="lt-LT"/>
        </w:rPr>
        <w:t xml:space="preserve"> didelį poveikį šalies ekonomikai. </w:t>
      </w:r>
      <w:r w:rsidR="00633764">
        <w:rPr>
          <w:szCs w:val="24"/>
          <w:lang w:val="lt-LT"/>
        </w:rPr>
        <w:t>Dėl šios priežasties</w:t>
      </w:r>
      <w:r w:rsidRPr="00ED3D25">
        <w:rPr>
          <w:szCs w:val="24"/>
          <w:lang w:val="lt-LT"/>
        </w:rPr>
        <w:t xml:space="preserve"> ES taip rūpinasi šiais verslo kūrėjais, kuria rėmimo programas, skatina pradėti verslą bei jį plėsti.</w:t>
      </w:r>
    </w:p>
    <w:p w:rsidR="00DB20A1" w:rsidRPr="00ED3D25" w:rsidRDefault="000B7860" w:rsidP="004C1FAF">
      <w:pPr>
        <w:pStyle w:val="Heading2"/>
        <w:numPr>
          <w:ilvl w:val="1"/>
          <w:numId w:val="20"/>
        </w:numPr>
        <w:spacing w:before="0" w:beforeAutospacing="0" w:after="240" w:afterAutospacing="0" w:line="360" w:lineRule="auto"/>
        <w:ind w:left="0" w:firstLine="0"/>
        <w:rPr>
          <w:sz w:val="24"/>
          <w:szCs w:val="24"/>
          <w:lang w:val="lt-LT"/>
        </w:rPr>
      </w:pPr>
      <w:bookmarkStart w:id="6" w:name="_Toc419534695"/>
      <w:r w:rsidRPr="00ED3D25">
        <w:rPr>
          <w:sz w:val="24"/>
          <w:szCs w:val="24"/>
          <w:lang w:val="lt-LT"/>
        </w:rPr>
        <w:t>Smulkaus ir vidutinio verslo finansavimo šaltiniai</w:t>
      </w:r>
      <w:r w:rsidR="002F25B4" w:rsidRPr="00ED3D25">
        <w:rPr>
          <w:sz w:val="24"/>
          <w:szCs w:val="24"/>
          <w:lang w:val="lt-LT"/>
        </w:rPr>
        <w:t xml:space="preserve"> ir priemonės</w:t>
      </w:r>
      <w:bookmarkEnd w:id="6"/>
    </w:p>
    <w:p w:rsidR="000B7860" w:rsidRPr="00ED3D25" w:rsidRDefault="000B7860" w:rsidP="004C1FAF">
      <w:pPr>
        <w:tabs>
          <w:tab w:val="left" w:pos="851"/>
        </w:tabs>
        <w:spacing w:after="0"/>
        <w:ind w:firstLine="851"/>
        <w:rPr>
          <w:szCs w:val="24"/>
          <w:lang w:val="lt-LT"/>
        </w:rPr>
      </w:pPr>
      <w:r w:rsidRPr="00ED3D25">
        <w:rPr>
          <w:szCs w:val="24"/>
          <w:lang w:val="lt-LT"/>
        </w:rPr>
        <w:t xml:space="preserve">Verslas reikalauja nemažo piniginio įnašo, kad būtų užtikrinta įprastinė įmonės veikla, t. y. paslaugų teikimas, gamyba. Tad tiek verslo pradžia, tiek įmonės plėtimasis yra sunkus žingsnis mažai ar vidutinei įmonei, nes yra reikalingos lėšos, kurios būtų investuojamos į verslą. Tačiau dažniausiai susiduriama su problema, kuomet įmonės steigimui ar plėtrai lėšų nėra ar jų kiekis nepakankamas, tad tenka ieškoti finansavimo šaltinių kitur. Toliau apžvelgiami V. </w:t>
      </w:r>
      <w:r w:rsidRPr="00ED3D25">
        <w:rPr>
          <w:caps/>
          <w:szCs w:val="24"/>
          <w:lang w:val="lt-LT"/>
        </w:rPr>
        <w:t>A</w:t>
      </w:r>
      <w:r w:rsidR="00B564FB" w:rsidRPr="00ED3D25">
        <w:rPr>
          <w:szCs w:val="24"/>
          <w:lang w:val="lt-LT"/>
        </w:rPr>
        <w:t>leknevičienės (2004) nurodyti SVV</w:t>
      </w:r>
      <w:r w:rsidRPr="00ED3D25">
        <w:rPr>
          <w:szCs w:val="24"/>
          <w:lang w:val="lt-LT"/>
        </w:rPr>
        <w:t xml:space="preserve"> finansavimo šaltiniai.</w:t>
      </w:r>
    </w:p>
    <w:p w:rsidR="00B564FB" w:rsidRPr="00ED3D25" w:rsidRDefault="002E2F24" w:rsidP="002E2F24">
      <w:pPr>
        <w:tabs>
          <w:tab w:val="left" w:pos="851"/>
        </w:tabs>
        <w:spacing w:after="0"/>
        <w:ind w:firstLine="851"/>
        <w:rPr>
          <w:szCs w:val="24"/>
          <w:lang w:val="lt-LT"/>
        </w:rPr>
      </w:pPr>
      <w:r>
        <w:rPr>
          <w:szCs w:val="24"/>
          <w:lang w:val="lt-LT"/>
        </w:rPr>
        <w:t>Sa</w:t>
      </w:r>
      <w:r w:rsidR="00B564FB" w:rsidRPr="00ED3D25">
        <w:rPr>
          <w:szCs w:val="24"/>
          <w:lang w:val="lt-LT"/>
        </w:rPr>
        <w:t xml:space="preserve">varankiškas </w:t>
      </w:r>
      <w:r>
        <w:rPr>
          <w:szCs w:val="24"/>
          <w:lang w:val="lt-LT"/>
        </w:rPr>
        <w:t xml:space="preserve">investicijų į verslą </w:t>
      </w:r>
      <w:r w:rsidR="00B564FB" w:rsidRPr="00ED3D25">
        <w:rPr>
          <w:szCs w:val="24"/>
          <w:lang w:val="lt-LT"/>
        </w:rPr>
        <w:t xml:space="preserve">finansavimas yra patikimiausias, tačiau susiduriama su pinigų surinkimo problema įmonės viduje. </w:t>
      </w:r>
      <w:r>
        <w:rPr>
          <w:szCs w:val="24"/>
          <w:lang w:val="lt-LT"/>
        </w:rPr>
        <w:t>H</w:t>
      </w:r>
      <w:r w:rsidRPr="00ED3D25">
        <w:rPr>
          <w:szCs w:val="24"/>
          <w:lang w:val="lt-LT"/>
        </w:rPr>
        <w:t>. Genay ir kiti (1996) teigia: „įmonės, kurios turi didelių augimo galimybių, linkusios investicijas finansuoti savo kapitalu, nei sko</w:t>
      </w:r>
      <w:r>
        <w:rPr>
          <w:szCs w:val="24"/>
          <w:lang w:val="lt-LT"/>
        </w:rPr>
        <w:t>lintis iš bankų“.</w:t>
      </w:r>
      <w:r w:rsidR="00B564FB" w:rsidRPr="00ED3D25">
        <w:rPr>
          <w:szCs w:val="24"/>
          <w:lang w:val="lt-LT"/>
        </w:rPr>
        <w:t>Savo kapitalu įvardinami įmonės pinigai – tai nepaskirstytas pelnas, pajamos už parduotą ilgalaikį turtą. Taip pat priskiriami giminių ir artimųjų piniginiai įnašai, bet visuomet egzistuoja nesėkmės galimybė. Tuomet netenkama ne tik savo, bet ir artimųjų santaupų, kas lemia suprastėjusius tarpusavio santykius. Siekiant to išvengti rekomenduotina ieškoti partnerių, kurie būtų linkę investuoti į įmonę.</w:t>
      </w:r>
    </w:p>
    <w:p w:rsidR="00DB6A4F" w:rsidRPr="006B01BF" w:rsidRDefault="00B564FB" w:rsidP="006B01BF">
      <w:pPr>
        <w:tabs>
          <w:tab w:val="left" w:pos="851"/>
        </w:tabs>
        <w:spacing w:after="0"/>
        <w:ind w:firstLine="851"/>
        <w:rPr>
          <w:szCs w:val="24"/>
          <w:lang w:val="lt-LT"/>
        </w:rPr>
      </w:pPr>
      <w:r w:rsidRPr="00ED3D25">
        <w:rPr>
          <w:szCs w:val="24"/>
          <w:lang w:val="lt-LT"/>
        </w:rPr>
        <w:t>Tad toliau kalbama apie numatomų išlaidų finansavimo išorinius šaltinius, kokios galimybės pasinaudoti juo, su kokiais sunkumais ar kliūtimis yra susiduriama. Remiantis žemiau pateikta schema matyti, kad yra skiriami du rėmimo tipai – tai finansinis ir nefinansinis. Pirmiausiai yra apt</w:t>
      </w:r>
      <w:r w:rsidR="006B01BF">
        <w:rPr>
          <w:szCs w:val="24"/>
          <w:lang w:val="lt-LT"/>
        </w:rPr>
        <w:t>ariamas finansavimas pinigais:</w:t>
      </w:r>
    </w:p>
    <w:p w:rsidR="00B564FB" w:rsidRPr="00ED3D25" w:rsidRDefault="00B564FB" w:rsidP="008E397C">
      <w:pPr>
        <w:tabs>
          <w:tab w:val="left" w:pos="851"/>
        </w:tabs>
        <w:spacing w:after="0"/>
        <w:ind w:firstLine="567"/>
        <w:rPr>
          <w:szCs w:val="24"/>
          <w:lang w:val="lt-LT"/>
        </w:rPr>
      </w:pPr>
      <w:r w:rsidRPr="00ED3D25">
        <w:rPr>
          <w:noProof/>
          <w:szCs w:val="24"/>
        </w:rPr>
        <w:drawing>
          <wp:inline distT="0" distB="0" distL="0" distR="0">
            <wp:extent cx="5581816" cy="2639833"/>
            <wp:effectExtent l="0" t="0" r="0" b="2730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942E84" w:rsidRPr="00ED3D25" w:rsidRDefault="00942E84" w:rsidP="00942E84">
      <w:pPr>
        <w:spacing w:after="0" w:line="240" w:lineRule="auto"/>
        <w:jc w:val="center"/>
        <w:rPr>
          <w:b/>
          <w:bCs/>
          <w:szCs w:val="24"/>
          <w:lang w:val="lt-LT"/>
        </w:rPr>
      </w:pPr>
      <w:r w:rsidRPr="00ED3D25">
        <w:rPr>
          <w:b/>
          <w:bCs/>
          <w:szCs w:val="24"/>
          <w:lang w:val="lt-LT"/>
        </w:rPr>
        <w:t>1 pav. Verslo rėmimo galimybės Lietuvoje</w:t>
      </w:r>
    </w:p>
    <w:p w:rsidR="008E397C" w:rsidRPr="004C1FAF" w:rsidRDefault="008E397C" w:rsidP="00F41E1E">
      <w:pPr>
        <w:spacing w:after="0" w:line="240" w:lineRule="auto"/>
        <w:rPr>
          <w:b/>
          <w:bCs/>
          <w:sz w:val="14"/>
          <w:szCs w:val="12"/>
          <w:lang w:val="lt-LT"/>
        </w:rPr>
      </w:pPr>
    </w:p>
    <w:p w:rsidR="00942E84" w:rsidRPr="002E2F24" w:rsidRDefault="00B564FB" w:rsidP="004C1FAF">
      <w:pPr>
        <w:tabs>
          <w:tab w:val="left" w:pos="851"/>
        </w:tabs>
        <w:spacing w:after="0" w:line="240" w:lineRule="auto"/>
        <w:jc w:val="center"/>
        <w:rPr>
          <w:sz w:val="20"/>
          <w:szCs w:val="20"/>
          <w:lang w:val="lt-LT"/>
        </w:rPr>
      </w:pPr>
      <w:r w:rsidRPr="00ED3D25">
        <w:rPr>
          <w:sz w:val="20"/>
          <w:szCs w:val="20"/>
          <w:lang w:val="lt-LT"/>
        </w:rPr>
        <w:t xml:space="preserve">Pastaba: </w:t>
      </w:r>
      <w:r w:rsidR="008E397C" w:rsidRPr="00ED3D25">
        <w:rPr>
          <w:sz w:val="20"/>
          <w:szCs w:val="20"/>
          <w:lang w:val="lt-LT"/>
        </w:rPr>
        <w:t>paveikslas</w:t>
      </w:r>
      <w:r w:rsidRPr="00ED3D25">
        <w:rPr>
          <w:sz w:val="20"/>
          <w:szCs w:val="20"/>
          <w:lang w:val="lt-LT"/>
        </w:rPr>
        <w:t xml:space="preserve"> sudaryta</w:t>
      </w:r>
      <w:r w:rsidR="008E397C" w:rsidRPr="00ED3D25">
        <w:rPr>
          <w:sz w:val="20"/>
          <w:szCs w:val="20"/>
          <w:lang w:val="lt-LT"/>
        </w:rPr>
        <w:t>s</w:t>
      </w:r>
      <w:r w:rsidRPr="00ED3D25">
        <w:rPr>
          <w:sz w:val="20"/>
          <w:szCs w:val="20"/>
          <w:lang w:val="lt-LT"/>
        </w:rPr>
        <w:t xml:space="preserve"> autorės</w:t>
      </w:r>
      <w:r w:rsidR="008E397C" w:rsidRPr="00ED3D25">
        <w:rPr>
          <w:sz w:val="20"/>
          <w:szCs w:val="20"/>
          <w:lang w:val="lt-LT"/>
        </w:rPr>
        <w:t>, rem</w:t>
      </w:r>
      <w:r w:rsidR="002F25B4" w:rsidRPr="00ED3D25">
        <w:rPr>
          <w:sz w:val="20"/>
          <w:szCs w:val="20"/>
          <w:lang w:val="lt-LT"/>
        </w:rPr>
        <w:t>iantis Lietuvos ūkio ministerijos informacija</w:t>
      </w:r>
      <w:r w:rsidR="008E397C" w:rsidRPr="00ED3D25">
        <w:rPr>
          <w:sz w:val="20"/>
          <w:szCs w:val="20"/>
          <w:lang w:val="lt-LT"/>
        </w:rPr>
        <w:t>.</w:t>
      </w:r>
    </w:p>
    <w:p w:rsidR="004C1FAF" w:rsidRPr="004C1FAF" w:rsidRDefault="004C1FAF" w:rsidP="000B7860">
      <w:pPr>
        <w:tabs>
          <w:tab w:val="left" w:pos="851"/>
        </w:tabs>
        <w:spacing w:after="0"/>
        <w:ind w:firstLine="851"/>
        <w:rPr>
          <w:sz w:val="14"/>
          <w:szCs w:val="14"/>
          <w:lang w:val="lt-LT"/>
        </w:rPr>
      </w:pPr>
    </w:p>
    <w:p w:rsidR="000B7860" w:rsidRPr="00ED3D25" w:rsidRDefault="000B7860" w:rsidP="000B7860">
      <w:pPr>
        <w:tabs>
          <w:tab w:val="left" w:pos="851"/>
        </w:tabs>
        <w:spacing w:after="0"/>
        <w:ind w:firstLine="851"/>
        <w:rPr>
          <w:szCs w:val="24"/>
          <w:lang w:val="lt-LT"/>
        </w:rPr>
      </w:pPr>
      <w:r w:rsidRPr="00ED3D25">
        <w:rPr>
          <w:szCs w:val="24"/>
          <w:lang w:val="lt-LT"/>
        </w:rPr>
        <w:t xml:space="preserve">Mokestinėmis lengvatomis valstybė siekia didinti įmonių produktyvumą, ūkio plėtojimą. LR valstybės kontrolė priskaičiuoja iki 18 mokestinių lengvatų rūšių verslui: pelno mokesčio, pridėtinės vertės mokesčio (PVM) tarifo mažinimas, veiklos priskyrimo PVM  neapmokestinamai veiklai. </w:t>
      </w:r>
    </w:p>
    <w:p w:rsidR="000B7860" w:rsidRPr="00ED3D25" w:rsidRDefault="002E2F24" w:rsidP="003037CA">
      <w:pPr>
        <w:pStyle w:val="ListParagraph"/>
        <w:numPr>
          <w:ilvl w:val="0"/>
          <w:numId w:val="8"/>
        </w:numPr>
        <w:tabs>
          <w:tab w:val="left" w:pos="851"/>
        </w:tabs>
        <w:spacing w:after="0"/>
        <w:ind w:left="0" w:firstLine="360"/>
        <w:rPr>
          <w:szCs w:val="24"/>
          <w:lang w:val="lt-LT"/>
        </w:rPr>
      </w:pPr>
      <w:r>
        <w:rPr>
          <w:szCs w:val="24"/>
          <w:lang w:val="lt-LT"/>
        </w:rPr>
        <w:t>Lengvatinis</w:t>
      </w:r>
      <w:r w:rsidR="000B7860" w:rsidRPr="00ED3D25">
        <w:rPr>
          <w:szCs w:val="24"/>
          <w:lang w:val="lt-LT"/>
        </w:rPr>
        <w:t xml:space="preserve"> PVM, kurio dydis siekia 9 proc. gali būti taikomas toms įmonėms, kurios: užsiima šilumos energijos tiekimu gyvenamosioms patalpoms, taip pat šalto bei karšto vandens tiekėjams; leidžia knygas ir kitą neperiodinę literatūrą, periodinę literatūrą (išskyrus leidinius, kurių didžiąją dalį apimties sudaro </w:t>
      </w:r>
      <w:r w:rsidR="00B564FB" w:rsidRPr="00ED3D25">
        <w:rPr>
          <w:szCs w:val="24"/>
          <w:lang w:val="lt-LT"/>
        </w:rPr>
        <w:t>ap</w:t>
      </w:r>
      <w:r w:rsidR="000B7860" w:rsidRPr="00ED3D25">
        <w:rPr>
          <w:szCs w:val="24"/>
          <w:lang w:val="lt-LT"/>
        </w:rPr>
        <w:t>mokama reklama); veža keleivius, jų bagažą, tačiau tik specialiems maršrutams, kurių sąrašą sudaro Susisiekimo ministerija. Taip pat taikomas dar mažesnis PVM – 5 proc. toms įmonėms, kurios: užsiima neįgaliųjų technikos priemonių gamyba, jų remontu, taip pat vaistų ir med. pagalbos priemonėmis.</w:t>
      </w:r>
    </w:p>
    <w:p w:rsidR="000B7860" w:rsidRPr="00ED3D25" w:rsidRDefault="000B7860" w:rsidP="003037CA">
      <w:pPr>
        <w:pStyle w:val="ListParagraph"/>
        <w:numPr>
          <w:ilvl w:val="0"/>
          <w:numId w:val="8"/>
        </w:numPr>
        <w:tabs>
          <w:tab w:val="left" w:pos="851"/>
        </w:tabs>
        <w:spacing w:after="0"/>
        <w:ind w:left="0" w:firstLine="360"/>
        <w:rPr>
          <w:szCs w:val="24"/>
          <w:lang w:val="lt-LT"/>
        </w:rPr>
      </w:pPr>
      <w:r w:rsidRPr="00ED3D25">
        <w:rPr>
          <w:szCs w:val="24"/>
          <w:lang w:val="lt-LT"/>
        </w:rPr>
        <w:t>Lengvatinis pelno mokestis siekia tik 5 proc. Juo gali pasinaudoti įmonės, kuriose dirba ne dau</w:t>
      </w:r>
      <w:r w:rsidR="00096FEA" w:rsidRPr="00ED3D25">
        <w:rPr>
          <w:szCs w:val="24"/>
          <w:lang w:val="lt-LT"/>
        </w:rPr>
        <w:t>g</w:t>
      </w:r>
      <w:r w:rsidRPr="00ED3D25">
        <w:rPr>
          <w:szCs w:val="24"/>
          <w:lang w:val="lt-LT"/>
        </w:rPr>
        <w:t xml:space="preserve">iau kaip 10 darbuotojų, o metinės pajamos nesiekia </w:t>
      </w:r>
      <w:r w:rsidR="003037CA">
        <w:rPr>
          <w:szCs w:val="24"/>
          <w:lang w:val="lt-LT"/>
        </w:rPr>
        <w:t>daugiau nei 289,62 tūkst. eurų.</w:t>
      </w:r>
      <w:r w:rsidRPr="00ED3D25">
        <w:rPr>
          <w:szCs w:val="24"/>
          <w:lang w:val="lt-LT"/>
        </w:rPr>
        <w:t xml:space="preserve"> Taip pat proporcingai mokestis mažinamas nuo riboto darbingumo darbuotojų skaičiaus įmonėje.</w:t>
      </w:r>
    </w:p>
    <w:p w:rsidR="000B7860" w:rsidRPr="00ED3D25" w:rsidRDefault="000B7860" w:rsidP="000B7860">
      <w:pPr>
        <w:pStyle w:val="ListParagraph"/>
        <w:tabs>
          <w:tab w:val="left" w:pos="851"/>
        </w:tabs>
        <w:spacing w:after="0"/>
        <w:ind w:left="0" w:firstLine="851"/>
        <w:rPr>
          <w:szCs w:val="24"/>
          <w:lang w:val="lt-LT"/>
        </w:rPr>
      </w:pPr>
      <w:r w:rsidRPr="00ED3D25">
        <w:rPr>
          <w:szCs w:val="24"/>
          <w:lang w:val="lt-LT"/>
        </w:rPr>
        <w:t>Verslą galima skatinti ne tik mokestinėmis lengvatomis, tačiau ir valstybės ar savivaldybių skiriamomis tiesiogiai subsidijomis arba per darbo biržą. Ši paramos forma pasireiškia:</w:t>
      </w:r>
    </w:p>
    <w:p w:rsidR="000B7860" w:rsidRPr="00ED3D25" w:rsidRDefault="000B7860" w:rsidP="003037CA">
      <w:pPr>
        <w:pStyle w:val="ListParagraph"/>
        <w:numPr>
          <w:ilvl w:val="0"/>
          <w:numId w:val="9"/>
        </w:numPr>
        <w:tabs>
          <w:tab w:val="left" w:pos="851"/>
        </w:tabs>
        <w:spacing w:after="0"/>
        <w:ind w:left="0" w:firstLine="360"/>
        <w:rPr>
          <w:szCs w:val="24"/>
          <w:lang w:val="lt-LT"/>
        </w:rPr>
      </w:pPr>
      <w:r w:rsidRPr="00ED3D25">
        <w:rPr>
          <w:szCs w:val="24"/>
          <w:lang w:val="lt-LT"/>
        </w:rPr>
        <w:t>darbo užmokesčio kompensavimu, kuomet siekiama kad darbo biržoje registruotieji būtų įdarbinami, taip pat darbuotojai, gavusieji įspėjimą apie būsimą atleidimą. Tokiu atveju darbdaviui yra subsidijuojamas darbuotojų darbo užmokestis;</w:t>
      </w:r>
    </w:p>
    <w:p w:rsidR="000B7860" w:rsidRPr="00ED3D25" w:rsidRDefault="000B7860" w:rsidP="003037CA">
      <w:pPr>
        <w:pStyle w:val="ListParagraph"/>
        <w:numPr>
          <w:ilvl w:val="0"/>
          <w:numId w:val="9"/>
        </w:numPr>
        <w:tabs>
          <w:tab w:val="left" w:pos="851"/>
        </w:tabs>
        <w:spacing w:after="0"/>
        <w:ind w:left="0" w:firstLine="360"/>
        <w:rPr>
          <w:szCs w:val="24"/>
          <w:lang w:val="lt-LT"/>
        </w:rPr>
      </w:pPr>
      <w:r w:rsidRPr="00ED3D25">
        <w:rPr>
          <w:szCs w:val="24"/>
          <w:lang w:val="lt-LT"/>
        </w:rPr>
        <w:t>darbuotojų kvalifikacijos kėlimo išlaidų subsidijavimu. Bandoma užtikrinti, kad bedarbis įgytų reikiamą kvalifikaciją darbo vietoje, o darbuotojas galėtų priimti jam reikalingus darbuotojus;</w:t>
      </w:r>
    </w:p>
    <w:p w:rsidR="000B7860" w:rsidRPr="00ED3D25" w:rsidRDefault="000B7860" w:rsidP="003037CA">
      <w:pPr>
        <w:pStyle w:val="ListParagraph"/>
        <w:numPr>
          <w:ilvl w:val="0"/>
          <w:numId w:val="9"/>
        </w:numPr>
        <w:tabs>
          <w:tab w:val="left" w:pos="851"/>
        </w:tabs>
        <w:spacing w:after="0"/>
        <w:ind w:left="0" w:firstLine="360"/>
        <w:rPr>
          <w:szCs w:val="24"/>
          <w:lang w:val="lt-LT"/>
        </w:rPr>
      </w:pPr>
      <w:r w:rsidRPr="00ED3D25">
        <w:rPr>
          <w:szCs w:val="24"/>
          <w:lang w:val="lt-LT"/>
        </w:rPr>
        <w:t>darbo rotacijomis bandoma bedarbiams suteikti laikiną darbo vietą. Taip suteikiama nauda tiek bedarbiui, gaunant darbą, tiek darbdaviui, nes pakeičiamas jo atostogaujantis darbuotojas laikina darbo jėga;</w:t>
      </w:r>
    </w:p>
    <w:p w:rsidR="000B7860" w:rsidRPr="00ED3D25" w:rsidRDefault="000B7860" w:rsidP="000B7860">
      <w:pPr>
        <w:pStyle w:val="ListParagraph"/>
        <w:numPr>
          <w:ilvl w:val="0"/>
          <w:numId w:val="9"/>
        </w:numPr>
        <w:tabs>
          <w:tab w:val="left" w:pos="851"/>
        </w:tabs>
        <w:spacing w:after="0"/>
        <w:rPr>
          <w:szCs w:val="24"/>
          <w:lang w:val="lt-LT"/>
        </w:rPr>
      </w:pPr>
      <w:r w:rsidRPr="00ED3D25">
        <w:rPr>
          <w:szCs w:val="24"/>
          <w:lang w:val="lt-LT"/>
        </w:rPr>
        <w:t>steigiamos darbo vietos, kurios pritaikomos pagal darbuotojo neįgalumą.</w:t>
      </w:r>
    </w:p>
    <w:p w:rsidR="000B7860" w:rsidRPr="00ED3D25" w:rsidRDefault="000B7860" w:rsidP="00BA3F3C">
      <w:pPr>
        <w:pStyle w:val="ListParagraph"/>
        <w:numPr>
          <w:ilvl w:val="0"/>
          <w:numId w:val="9"/>
        </w:numPr>
        <w:tabs>
          <w:tab w:val="left" w:pos="709"/>
        </w:tabs>
        <w:spacing w:after="0"/>
        <w:ind w:left="0" w:firstLine="360"/>
        <w:rPr>
          <w:szCs w:val="24"/>
          <w:lang w:val="lt-LT"/>
        </w:rPr>
      </w:pPr>
      <w:r w:rsidRPr="00ED3D25">
        <w:rPr>
          <w:szCs w:val="24"/>
          <w:lang w:val="lt-LT"/>
        </w:rPr>
        <w:t>padengia parodų, mugių, seminarų ir kitų renginių, kurie skatina ir plėtoja verslą, taip pat verslo įregistravimo išlaidas, vietinės reklamos išlaidas iki 50 proc., informacinių leidinių, konsultacijų išlaidas.</w:t>
      </w:r>
    </w:p>
    <w:p w:rsidR="000B7860" w:rsidRPr="00ED3D25" w:rsidRDefault="001B3199" w:rsidP="001B3199">
      <w:pPr>
        <w:tabs>
          <w:tab w:val="left" w:pos="851"/>
        </w:tabs>
        <w:spacing w:after="0"/>
        <w:ind w:firstLine="851"/>
        <w:rPr>
          <w:szCs w:val="24"/>
          <w:lang w:val="lt-LT"/>
        </w:rPr>
      </w:pPr>
      <w:r w:rsidRPr="00ED3D25">
        <w:rPr>
          <w:szCs w:val="24"/>
          <w:lang w:val="lt-LT"/>
        </w:rPr>
        <w:t xml:space="preserve">Vertinant komercinių bankų paskolas, reikia pabrėžti, kad tam tikrų prisiimtų įsipareigojimų įvykdymas laiku smulkioms ir vidutinėms įmonėms sukelia didesnę riziką, nei stambiosioms (Audretsch, 1993). Taip yra dėl to, kad smulkus verslas dažnai nesugeba grąžinti paskolų laiku arba visai jų negrąžina. Nuo galimos rizikos, kad suteikta paskola nebus grąžinta, </w:t>
      </w:r>
      <w:r w:rsidRPr="00ED3D25">
        <w:rPr>
          <w:szCs w:val="24"/>
          <w:lang w:val="lt-LT"/>
        </w:rPr>
        <w:lastRenderedPageBreak/>
        <w:t>bankai apsisaugodami sudaro aukštus reikalavimus SV</w:t>
      </w:r>
      <w:r w:rsidR="004369BD">
        <w:rPr>
          <w:szCs w:val="24"/>
          <w:lang w:val="lt-LT"/>
        </w:rPr>
        <w:t>V įmonėms</w:t>
      </w:r>
      <w:r w:rsidRPr="00ED3D25">
        <w:rPr>
          <w:szCs w:val="24"/>
          <w:lang w:val="lt-LT"/>
        </w:rPr>
        <w:t>, pavyzdžiui, nustato aukštą palūkanų normą, nekilnojamojo turto užstatymą, kitų subjektų suteikiamą garantiją, aukštos kokybės verslo plano pateikimą ir kt. Įmonei ne</w:t>
      </w:r>
      <w:r w:rsidR="004369BD">
        <w:rPr>
          <w:szCs w:val="24"/>
          <w:lang w:val="lt-LT"/>
        </w:rPr>
        <w:t>atitinkant numatytų reikalavimų</w:t>
      </w:r>
      <w:r w:rsidRPr="00ED3D25">
        <w:rPr>
          <w:szCs w:val="24"/>
          <w:lang w:val="lt-LT"/>
        </w:rPr>
        <w:t xml:space="preserve"> nesuteikiama paskola. Lietuvoje </w:t>
      </w:r>
      <w:r w:rsidR="000B7860" w:rsidRPr="00ED3D25">
        <w:rPr>
          <w:szCs w:val="24"/>
          <w:lang w:val="lt-LT"/>
        </w:rPr>
        <w:t xml:space="preserve">veikiantys komerciniai bankai siūlo kreiptis į juos, </w:t>
      </w:r>
      <w:r w:rsidRPr="00ED3D25">
        <w:rPr>
          <w:szCs w:val="24"/>
          <w:lang w:val="lt-LT"/>
        </w:rPr>
        <w:t>jie</w:t>
      </w:r>
      <w:r w:rsidR="000B7860" w:rsidRPr="00ED3D25">
        <w:rPr>
          <w:szCs w:val="24"/>
          <w:lang w:val="lt-LT"/>
        </w:rPr>
        <w:t xml:space="preserve"> siūlo prekybos, investicijų ir verslo plėtros finansavimą. Skolinimosi sąlygos priklauso nuo įmonių dydžio, kredito tipo, trukmės, užstato ir kitų akcentų. Dalis bankų teikia specialias paskolas:</w:t>
      </w:r>
    </w:p>
    <w:p w:rsidR="000B7860" w:rsidRPr="00ED3D25" w:rsidRDefault="000B7860" w:rsidP="004C1FAF">
      <w:pPr>
        <w:pStyle w:val="ListParagraph"/>
        <w:numPr>
          <w:ilvl w:val="0"/>
          <w:numId w:val="10"/>
        </w:numPr>
        <w:spacing w:after="0"/>
        <w:ind w:left="0" w:firstLine="360"/>
        <w:rPr>
          <w:szCs w:val="24"/>
          <w:lang w:val="lt-LT"/>
        </w:rPr>
      </w:pPr>
      <w:r w:rsidRPr="00ED3D25">
        <w:rPr>
          <w:szCs w:val="24"/>
          <w:lang w:val="lt-LT"/>
        </w:rPr>
        <w:t>viena iš jų yra pasidalintos rizikos paskola</w:t>
      </w:r>
      <w:r w:rsidR="00096FEA" w:rsidRPr="00ED3D25">
        <w:rPr>
          <w:szCs w:val="24"/>
          <w:lang w:val="lt-LT"/>
        </w:rPr>
        <w:t xml:space="preserve">. Tai paskolos, </w:t>
      </w:r>
      <w:r w:rsidRPr="00ED3D25">
        <w:rPr>
          <w:szCs w:val="24"/>
          <w:lang w:val="lt-LT"/>
        </w:rPr>
        <w:t>kurios skiriamos kaip ir ankstesnės – investicijoms, apyvartiniam kapitalui papildyti, su sąlyga, kad plečiama smulkios ar vidutinės įmonės veikla. Paskolos yra formuojamos po lygiai iš banko ir Europos Investicijų Fondo (EIF) lėšų</w:t>
      </w:r>
      <w:r w:rsidR="00096FEA" w:rsidRPr="00ED3D25">
        <w:rPr>
          <w:szCs w:val="24"/>
          <w:lang w:val="lt-LT"/>
        </w:rPr>
        <w:t>.</w:t>
      </w:r>
    </w:p>
    <w:p w:rsidR="000B7860" w:rsidRPr="00ED3D25" w:rsidRDefault="000B7860" w:rsidP="004C1FAF">
      <w:pPr>
        <w:pStyle w:val="ListParagraph"/>
        <w:numPr>
          <w:ilvl w:val="0"/>
          <w:numId w:val="10"/>
        </w:numPr>
        <w:spacing w:after="0"/>
        <w:ind w:left="0" w:firstLine="360"/>
        <w:rPr>
          <w:szCs w:val="24"/>
          <w:lang w:val="lt-LT"/>
        </w:rPr>
      </w:pPr>
      <w:r w:rsidRPr="00ED3D25">
        <w:rPr>
          <w:szCs w:val="24"/>
          <w:lang w:val="lt-LT"/>
        </w:rPr>
        <w:t>pagal JEREMIE (liet. bendri Europos ištekliai mikroįmonėms, mažosioms ir vidutinėms įmonėms finansauoti) programą suteikiama galimybė pasinaudoti per tarpininkus (mikro) paskolomis, vertybinių popierių pakeitimo priemones, investicijas į technologijų perdavimą. Šią programą sukūrė E</w:t>
      </w:r>
      <w:r w:rsidR="004369BD">
        <w:rPr>
          <w:szCs w:val="24"/>
          <w:lang w:val="lt-LT"/>
        </w:rPr>
        <w:t xml:space="preserve">uropos </w:t>
      </w:r>
      <w:r w:rsidRPr="00ED3D25">
        <w:rPr>
          <w:szCs w:val="24"/>
          <w:lang w:val="lt-LT"/>
        </w:rPr>
        <w:t>K</w:t>
      </w:r>
      <w:r w:rsidR="004369BD">
        <w:rPr>
          <w:szCs w:val="24"/>
          <w:lang w:val="lt-LT"/>
        </w:rPr>
        <w:t>omisija</w:t>
      </w:r>
      <w:r w:rsidRPr="00ED3D25">
        <w:rPr>
          <w:szCs w:val="24"/>
          <w:lang w:val="lt-LT"/>
        </w:rPr>
        <w:t xml:space="preserve"> ir Europos investicijų fondas (EIF). </w:t>
      </w:r>
    </w:p>
    <w:p w:rsidR="000B7860" w:rsidRPr="00ED3D25" w:rsidRDefault="000B7860" w:rsidP="004C1FAF">
      <w:pPr>
        <w:pStyle w:val="ListParagraph"/>
        <w:numPr>
          <w:ilvl w:val="0"/>
          <w:numId w:val="10"/>
        </w:numPr>
        <w:spacing w:after="0"/>
        <w:ind w:left="0" w:firstLine="360"/>
        <w:rPr>
          <w:szCs w:val="24"/>
          <w:lang w:val="lt-LT"/>
        </w:rPr>
      </w:pPr>
      <w:r w:rsidRPr="00ED3D25">
        <w:rPr>
          <w:szCs w:val="24"/>
          <w:lang w:val="lt-LT"/>
        </w:rPr>
        <w:t>Taip pat JEREMIE programa teikia ir nefinansinę paramą: garantijas, netiesiogines garantijas, bendras garantijas, akcinio kapitalo garantijas.</w:t>
      </w:r>
    </w:p>
    <w:p w:rsidR="000B7860" w:rsidRPr="00ED3D25" w:rsidRDefault="00BD08CD" w:rsidP="004369BD">
      <w:pPr>
        <w:pStyle w:val="ListParagraph"/>
        <w:spacing w:after="0"/>
        <w:ind w:left="0" w:firstLine="851"/>
        <w:rPr>
          <w:szCs w:val="24"/>
          <w:lang w:val="lt-LT"/>
        </w:rPr>
      </w:pPr>
      <w:r w:rsidRPr="00ED3D25">
        <w:rPr>
          <w:szCs w:val="24"/>
          <w:lang w:val="lt-LT"/>
        </w:rPr>
        <w:t>Galima teigti, kad neglaudus ryšys tarp SV</w:t>
      </w:r>
      <w:r w:rsidR="004369BD">
        <w:rPr>
          <w:szCs w:val="24"/>
          <w:lang w:val="lt-LT"/>
        </w:rPr>
        <w:t>V įmonių</w:t>
      </w:r>
      <w:r w:rsidRPr="00ED3D25">
        <w:rPr>
          <w:szCs w:val="24"/>
          <w:lang w:val="lt-LT"/>
        </w:rPr>
        <w:t xml:space="preserve"> ir bankų sukelia įmonių stagnaciją, nes negalėdamos </w:t>
      </w:r>
      <w:r w:rsidR="004369BD" w:rsidRPr="00ED3D25">
        <w:rPr>
          <w:szCs w:val="24"/>
          <w:lang w:val="lt-LT"/>
        </w:rPr>
        <w:t xml:space="preserve">gauti reikiamo finansavimo </w:t>
      </w:r>
      <w:r w:rsidRPr="00ED3D25">
        <w:rPr>
          <w:szCs w:val="24"/>
          <w:lang w:val="lt-LT"/>
        </w:rPr>
        <w:t xml:space="preserve">įmonės nevykdo verslo plėtros, o tai lemia, kad nekuriamos naujos darbo vietos, neprisidedama prie valstybės ekonomikos ir gerovės augimo (V. Snieška, 2004). </w:t>
      </w:r>
      <w:r w:rsidR="000B7860" w:rsidRPr="00ED3D25">
        <w:rPr>
          <w:szCs w:val="24"/>
          <w:lang w:val="lt-LT"/>
        </w:rPr>
        <w:t>Lyginant komercinius bankus su kredito unijomis svarbu paminėti, kad būtent antro</w:t>
      </w:r>
      <w:r w:rsidRPr="00ED3D25">
        <w:rPr>
          <w:szCs w:val="24"/>
          <w:lang w:val="lt-LT"/>
        </w:rPr>
        <w:t>sios yra labiau „atsigręžusios“</w:t>
      </w:r>
      <w:r w:rsidR="000B7860" w:rsidRPr="00ED3D25">
        <w:rPr>
          <w:szCs w:val="24"/>
          <w:lang w:val="lt-LT"/>
        </w:rPr>
        <w:t xml:space="preserve"> į smulkių ir vidutinių įmonių interesus. Tai lemia, kad smulkusis verslas daugiausiai koncentruojasi į nedideles paskola</w:t>
      </w:r>
      <w:r w:rsidR="004369BD">
        <w:rPr>
          <w:szCs w:val="24"/>
          <w:lang w:val="lt-LT"/>
        </w:rPr>
        <w:t>s, ką gali suteikti k</w:t>
      </w:r>
      <w:r w:rsidR="000B7860" w:rsidRPr="00ED3D25">
        <w:rPr>
          <w:szCs w:val="24"/>
          <w:lang w:val="lt-LT"/>
        </w:rPr>
        <w:t>redito unijos. Pabrėžtina, kad jų paskolų sąlyg</w:t>
      </w:r>
      <w:r w:rsidR="004369BD">
        <w:rPr>
          <w:szCs w:val="24"/>
          <w:lang w:val="lt-LT"/>
        </w:rPr>
        <w:t>os yra daug labiau priimtinesnė</w:t>
      </w:r>
      <w:r w:rsidR="000B7860" w:rsidRPr="00ED3D25">
        <w:rPr>
          <w:szCs w:val="24"/>
          <w:lang w:val="lt-LT"/>
        </w:rPr>
        <w:t xml:space="preserve">s smulkiam verslui, </w:t>
      </w:r>
      <w:r w:rsidR="004369BD">
        <w:rPr>
          <w:szCs w:val="24"/>
          <w:lang w:val="lt-LT"/>
        </w:rPr>
        <w:t xml:space="preserve">nes </w:t>
      </w:r>
      <w:r w:rsidR="000B7860" w:rsidRPr="00ED3D25">
        <w:rPr>
          <w:szCs w:val="24"/>
          <w:lang w:val="lt-LT"/>
        </w:rPr>
        <w:t>galima paskolos grąžinimą prisitaikyti prie verslui palankesnių salygų, pavyzdžiui, mokėti kaskart mažėjančiomis dalimis, lygiomis arba mokant tik palūkanas kiekvieną mėnesį, o pačią paskolą grąžinant, kai sueina paskolos terminas. Tai vienas populiariausių būdų, kuriuo naudojasi smulkūs ver</w:t>
      </w:r>
      <w:r w:rsidR="004369BD">
        <w:rPr>
          <w:szCs w:val="24"/>
          <w:lang w:val="lt-LT"/>
        </w:rPr>
        <w:t>slai kurti, plėsti savo veiklą.</w:t>
      </w:r>
    </w:p>
    <w:p w:rsidR="000B7860" w:rsidRPr="00ED3D25" w:rsidRDefault="000B7860" w:rsidP="000B7860">
      <w:pPr>
        <w:tabs>
          <w:tab w:val="left" w:pos="851"/>
        </w:tabs>
        <w:spacing w:after="0"/>
        <w:ind w:firstLine="851"/>
        <w:rPr>
          <w:szCs w:val="24"/>
          <w:lang w:val="lt-LT"/>
        </w:rPr>
      </w:pPr>
      <w:r w:rsidRPr="00ED3D25">
        <w:rPr>
          <w:szCs w:val="24"/>
          <w:lang w:val="lt-LT"/>
        </w:rPr>
        <w:t xml:space="preserve">Lietuvoje veikia ne viena įmonė administruojanti Europos Sąjungos struktūrinių fondų paramą, padedanti įmonei ją gauti. </w:t>
      </w:r>
      <w:r w:rsidR="001B3199" w:rsidRPr="00ED3D25">
        <w:rPr>
          <w:szCs w:val="24"/>
          <w:lang w:val="lt-LT"/>
        </w:rPr>
        <w:t xml:space="preserve">Viena didžiausių </w:t>
      </w:r>
      <w:r w:rsidRPr="00ED3D25">
        <w:rPr>
          <w:szCs w:val="24"/>
          <w:lang w:val="lt-LT"/>
        </w:rPr>
        <w:t>UAB „Investicijos ir verslo garantijos“ (INVEGA) – įmonė siekianti skatinti verslo augimą, jo plėtrą bei konkurencingumą. Jai patikėta administruoti ES paramos verslui lengvatines paskolas, kurios teikiamos naujam verslui ar verslininkams, dirbantiems su verslo liudijimu, tačiau ne ilgiau kaip vienus metus. Išskiriamos tokios rūšys:</w:t>
      </w:r>
    </w:p>
    <w:p w:rsidR="000B7860" w:rsidRPr="00ED3D25" w:rsidRDefault="004369BD" w:rsidP="004C1FAF">
      <w:pPr>
        <w:pStyle w:val="ListParagraph"/>
        <w:numPr>
          <w:ilvl w:val="0"/>
          <w:numId w:val="11"/>
        </w:numPr>
        <w:tabs>
          <w:tab w:val="left" w:pos="-5812"/>
        </w:tabs>
        <w:spacing w:after="0"/>
        <w:ind w:left="0" w:firstLine="360"/>
        <w:rPr>
          <w:szCs w:val="24"/>
          <w:lang w:val="lt-LT"/>
        </w:rPr>
      </w:pPr>
      <w:r>
        <w:rPr>
          <w:szCs w:val="24"/>
          <w:lang w:val="lt-LT"/>
        </w:rPr>
        <w:lastRenderedPageBreak/>
        <w:t>Didžiausią</w:t>
      </w:r>
      <w:r w:rsidR="00634EDE" w:rsidRPr="00ED3D25">
        <w:rPr>
          <w:szCs w:val="24"/>
          <w:lang w:val="lt-LT"/>
        </w:rPr>
        <w:t xml:space="preserve"> Verslumo skatinimo fondo paramą</w:t>
      </w:r>
      <w:r w:rsidR="000B7860" w:rsidRPr="00ED3D25">
        <w:rPr>
          <w:szCs w:val="24"/>
          <w:lang w:val="lt-LT"/>
        </w:rPr>
        <w:t xml:space="preserve"> </w:t>
      </w:r>
      <w:r w:rsidR="00634EDE" w:rsidRPr="00ED3D25">
        <w:rPr>
          <w:szCs w:val="24"/>
          <w:lang w:val="lt-LT"/>
        </w:rPr>
        <w:t xml:space="preserve">gavęs </w:t>
      </w:r>
      <w:r w:rsidR="000B7860" w:rsidRPr="00ED3D25">
        <w:rPr>
          <w:szCs w:val="24"/>
          <w:lang w:val="lt-LT"/>
        </w:rPr>
        <w:t>verslininkas paskolą turi mokėti</w:t>
      </w:r>
      <w:r w:rsidR="00634EDE" w:rsidRPr="00ED3D25">
        <w:rPr>
          <w:szCs w:val="24"/>
          <w:lang w:val="lt-LT"/>
        </w:rPr>
        <w:t xml:space="preserve"> kartu su palūkanomis.</w:t>
      </w:r>
      <w:r w:rsidR="000B7860" w:rsidRPr="00ED3D25">
        <w:rPr>
          <w:szCs w:val="24"/>
          <w:lang w:val="lt-LT"/>
        </w:rPr>
        <w:t xml:space="preserve"> Rengiantis teikti paraišką dėl paskolos gavimo labai svarbu atkreipti dėmesį į tai, kad paskolos nėra teikiamos įmonėms, kurios nesiekia pelno, taip pat sunkumus patiriančiosioms, priklausančioms žuvininkystės bei akvakultūros</w:t>
      </w:r>
      <w:r w:rsidR="001B3199" w:rsidRPr="00ED3D25">
        <w:rPr>
          <w:szCs w:val="24"/>
          <w:lang w:val="lt-LT"/>
        </w:rPr>
        <w:t>, anglių, žemės ūkio sektoriams</w:t>
      </w:r>
      <w:r w:rsidR="000B7860" w:rsidRPr="00ED3D25">
        <w:rPr>
          <w:szCs w:val="24"/>
          <w:lang w:val="lt-LT"/>
        </w:rPr>
        <w:t>, užsiimančioms krovinių pervežimu, t. y. šių transporto priemonių įsigijimui.</w:t>
      </w:r>
    </w:p>
    <w:p w:rsidR="000B7860" w:rsidRPr="00ED3D25" w:rsidRDefault="000B7860" w:rsidP="004C1FAF">
      <w:pPr>
        <w:pStyle w:val="ListParagraph"/>
        <w:numPr>
          <w:ilvl w:val="0"/>
          <w:numId w:val="11"/>
        </w:numPr>
        <w:tabs>
          <w:tab w:val="left" w:pos="851"/>
        </w:tabs>
        <w:spacing w:after="0"/>
        <w:ind w:left="0" w:firstLine="360"/>
        <w:rPr>
          <w:szCs w:val="24"/>
          <w:lang w:val="lt-LT"/>
        </w:rPr>
      </w:pPr>
      <w:r w:rsidRPr="00ED3D25">
        <w:rPr>
          <w:szCs w:val="24"/>
          <w:lang w:val="lt-LT"/>
        </w:rPr>
        <w:t xml:space="preserve">Mažų kreditų teikimas (1 etapas) </w:t>
      </w:r>
      <w:r w:rsidR="00634EDE" w:rsidRPr="00ED3D25">
        <w:rPr>
          <w:szCs w:val="24"/>
          <w:lang w:val="lt-LT"/>
        </w:rPr>
        <w:t xml:space="preserve">– </w:t>
      </w:r>
      <w:r w:rsidRPr="00ED3D25">
        <w:rPr>
          <w:szCs w:val="24"/>
          <w:lang w:val="lt-LT"/>
        </w:rPr>
        <w:t>iš ES struktūrinių fondų</w:t>
      </w:r>
      <w:r w:rsidR="00634EDE" w:rsidRPr="00ED3D25">
        <w:rPr>
          <w:szCs w:val="24"/>
          <w:lang w:val="lt-LT"/>
        </w:rPr>
        <w:t xml:space="preserve"> v</w:t>
      </w:r>
      <w:r w:rsidRPr="00ED3D25">
        <w:rPr>
          <w:szCs w:val="24"/>
          <w:lang w:val="lt-LT"/>
        </w:rPr>
        <w:t>ienas gavėjas gali skolintis tik vieną kartą. Besiskolinančios įmonės pagrindinė sąlyga yra ta, kad ji turi būti registruota ir pagrindinę veiklą privalo vykdyti Lietuvoje. Kreditų paskirtis yra investicijos ar apyvartinio kapitalo finansavimas. Taip pat kreditas negali būti panaudojamas padengti esamus įsiskolinimus ar jų dalį. Šis etapas jau yra pasibaigęs.</w:t>
      </w:r>
    </w:p>
    <w:p w:rsidR="000B7860" w:rsidRPr="00ED3D25" w:rsidRDefault="000B7860" w:rsidP="004C1FAF">
      <w:pPr>
        <w:pStyle w:val="ListParagraph"/>
        <w:numPr>
          <w:ilvl w:val="0"/>
          <w:numId w:val="11"/>
        </w:numPr>
        <w:tabs>
          <w:tab w:val="left" w:pos="851"/>
        </w:tabs>
        <w:spacing w:after="0"/>
        <w:ind w:left="0" w:firstLine="360"/>
        <w:rPr>
          <w:szCs w:val="24"/>
          <w:lang w:val="lt-LT"/>
        </w:rPr>
      </w:pPr>
      <w:r w:rsidRPr="00ED3D25">
        <w:rPr>
          <w:szCs w:val="24"/>
          <w:lang w:val="lt-LT"/>
        </w:rPr>
        <w:t>Mažų kreditų teikimas (2 etapas) – šiuo etapu skiriama žymiai didesnė ES struktūrinių fondų suma, nei pirmuoju etapu</w:t>
      </w:r>
      <w:r w:rsidR="001A662B" w:rsidRPr="00ED3D25">
        <w:rPr>
          <w:szCs w:val="24"/>
          <w:lang w:val="lt-LT"/>
        </w:rPr>
        <w:t xml:space="preserve">. </w:t>
      </w:r>
      <w:r w:rsidRPr="00ED3D25">
        <w:rPr>
          <w:szCs w:val="24"/>
          <w:lang w:val="lt-LT"/>
        </w:rPr>
        <w:t xml:space="preserve">Šie kreditai gali būti skirti vienam gavėjui vieną kartą per 12 mėnesių laikotarpį. Kaip ir pirmame etape yra nustatyta maksimali vienam paskolos gavėjui skirta </w:t>
      </w:r>
      <w:r w:rsidR="001A662B" w:rsidRPr="00ED3D25">
        <w:rPr>
          <w:szCs w:val="24"/>
          <w:lang w:val="lt-LT"/>
        </w:rPr>
        <w:t>suma bei g</w:t>
      </w:r>
      <w:r w:rsidRPr="00ED3D25">
        <w:rPr>
          <w:szCs w:val="24"/>
          <w:lang w:val="lt-LT"/>
        </w:rPr>
        <w:t>alioja tos pačios pagrindinės sąlygos.</w:t>
      </w:r>
    </w:p>
    <w:p w:rsidR="000B7860" w:rsidRPr="00ED3D25" w:rsidRDefault="000B7860" w:rsidP="004C1FAF">
      <w:pPr>
        <w:pStyle w:val="ListParagraph"/>
        <w:numPr>
          <w:ilvl w:val="0"/>
          <w:numId w:val="11"/>
        </w:numPr>
        <w:tabs>
          <w:tab w:val="left" w:pos="851"/>
        </w:tabs>
        <w:spacing w:after="0"/>
        <w:ind w:left="0" w:firstLine="360"/>
        <w:rPr>
          <w:szCs w:val="24"/>
          <w:lang w:val="lt-LT"/>
        </w:rPr>
      </w:pPr>
      <w:r w:rsidRPr="00ED3D25">
        <w:rPr>
          <w:szCs w:val="24"/>
          <w:lang w:val="lt-LT"/>
        </w:rPr>
        <w:t>Atviras kreditų fondas (AKF) –  lėšos priklauso INVEGA ir skiriamos per tarpininkus. Jei bankas nusprendžia suteikti kreditą, kuris turi atitikti tam tikrus reikalavimus, tuomet jis privalo kreiptis į INVEGA su prašymu, kad</w:t>
      </w:r>
      <w:r w:rsidR="0061635E" w:rsidRPr="00ED3D25">
        <w:rPr>
          <w:szCs w:val="24"/>
          <w:lang w:val="lt-LT"/>
        </w:rPr>
        <w:t xml:space="preserve"> lėšos būtų rezervuojamos.</w:t>
      </w:r>
      <w:r w:rsidRPr="00ED3D25">
        <w:rPr>
          <w:szCs w:val="24"/>
          <w:lang w:val="lt-LT"/>
        </w:rPr>
        <w:t xml:space="preserve"> Kaip ir ankstesniuose punktuose SVV privalo skolintas lėšas panaudoti apyvartinio kapitalo trūkumui, naujos veiklos pradžiai, investicijoms ar verslo stiprinimui. Šiuo a</w:t>
      </w:r>
      <w:r w:rsidR="0061635E" w:rsidRPr="00ED3D25">
        <w:rPr>
          <w:szCs w:val="24"/>
          <w:lang w:val="lt-LT"/>
        </w:rPr>
        <w:t>tveju galima imti du kreditus.</w:t>
      </w:r>
    </w:p>
    <w:p w:rsidR="000B7860" w:rsidRPr="00ED3D25" w:rsidRDefault="000B7860" w:rsidP="000B7860">
      <w:pPr>
        <w:tabs>
          <w:tab w:val="left" w:pos="851"/>
        </w:tabs>
        <w:spacing w:after="0"/>
        <w:ind w:firstLine="851"/>
        <w:rPr>
          <w:szCs w:val="24"/>
          <w:lang w:val="lt-LT"/>
        </w:rPr>
      </w:pPr>
      <w:r w:rsidRPr="00ED3D25">
        <w:rPr>
          <w:szCs w:val="24"/>
          <w:lang w:val="lt-LT"/>
        </w:rPr>
        <w:t>Toliau aptariamos nefinansinės verslo rėmimo galimybės. Dalį jų vykdo anksčiau jau minėtos agentūros ir įstaigos.</w:t>
      </w:r>
      <w:r w:rsidR="0061635E" w:rsidRPr="00ED3D25">
        <w:rPr>
          <w:szCs w:val="24"/>
          <w:lang w:val="lt-LT"/>
        </w:rPr>
        <w:t xml:space="preserve"> </w:t>
      </w:r>
      <w:r w:rsidR="00651DB0" w:rsidRPr="00ED3D25">
        <w:rPr>
          <w:szCs w:val="24"/>
          <w:lang w:val="lt-LT"/>
        </w:rPr>
        <w:t>INVEGA siūlo</w:t>
      </w:r>
      <w:r w:rsidRPr="00ED3D25">
        <w:rPr>
          <w:szCs w:val="24"/>
          <w:lang w:val="lt-LT"/>
        </w:rPr>
        <w:t xml:space="preserve"> dar viena jų teikiama paslauga smulkiam ir v</w:t>
      </w:r>
      <w:r w:rsidR="00651DB0" w:rsidRPr="00ED3D25">
        <w:rPr>
          <w:szCs w:val="24"/>
          <w:lang w:val="lt-LT"/>
        </w:rPr>
        <w:t>idutiniam verslui – garantijas</w:t>
      </w:r>
      <w:r w:rsidRPr="00ED3D25">
        <w:rPr>
          <w:szCs w:val="24"/>
          <w:lang w:val="lt-LT"/>
        </w:rPr>
        <w:t>. Plečiant verslą ne visuo</w:t>
      </w:r>
      <w:r w:rsidR="00D70EE9">
        <w:rPr>
          <w:szCs w:val="24"/>
          <w:lang w:val="lt-LT"/>
        </w:rPr>
        <w:t>me</w:t>
      </w:r>
      <w:r w:rsidR="00BD08CD" w:rsidRPr="00ED3D25">
        <w:rPr>
          <w:szCs w:val="24"/>
          <w:lang w:val="lt-LT"/>
        </w:rPr>
        <w:t xml:space="preserve">t bankui pakanka įmonės turto </w:t>
      </w:r>
      <w:r w:rsidRPr="00ED3D25">
        <w:rPr>
          <w:szCs w:val="24"/>
          <w:lang w:val="lt-LT"/>
        </w:rPr>
        <w:t>laidavimui, kad būtų suteikta paskola, tad tokiu atveju kreipiamasi į INVEGA. Šios įmonės garantija prilyginama valstybės garantijai. Taip yra garantuoja, kad 80 proc. paskolos ji padengs, o kiti 20 proc. užtikrinami besiskolinančios įmonės įsigyjamo turt</w:t>
      </w:r>
      <w:r w:rsidR="00D70EE9">
        <w:rPr>
          <w:szCs w:val="24"/>
          <w:lang w:val="lt-LT"/>
        </w:rPr>
        <w:t xml:space="preserve">o įkeitimu. </w:t>
      </w:r>
      <w:r w:rsidRPr="00ED3D25">
        <w:rPr>
          <w:szCs w:val="24"/>
          <w:lang w:val="lt-LT"/>
        </w:rPr>
        <w:t xml:space="preserve">Garantijos suteikiamos, kai paskolos skiriamos materialioms investicijos, nematerialioms investicijoms, pavyzdžiui, patentų perėmimui, licencijoms, taip pat apyvartinėms lėšoms. Garantijos kreditui neteikiamos iš Atviro kreditų fondo. </w:t>
      </w:r>
    </w:p>
    <w:p w:rsidR="004C1FAF" w:rsidRPr="004C1FAF" w:rsidRDefault="00C742A3" w:rsidP="004C1FAF">
      <w:pPr>
        <w:tabs>
          <w:tab w:val="left" w:pos="851"/>
        </w:tabs>
        <w:spacing w:after="0"/>
        <w:ind w:firstLine="851"/>
        <w:rPr>
          <w:szCs w:val="24"/>
          <w:lang w:val="lt-LT"/>
        </w:rPr>
      </w:pPr>
      <w:r w:rsidRPr="00ED3D25">
        <w:rPr>
          <w:szCs w:val="24"/>
          <w:lang w:val="lt-LT"/>
        </w:rPr>
        <w:t xml:space="preserve">Apibendrinant </w:t>
      </w:r>
      <w:r w:rsidR="00BD08CD" w:rsidRPr="00ED3D25">
        <w:rPr>
          <w:szCs w:val="24"/>
          <w:lang w:val="lt-LT"/>
        </w:rPr>
        <w:t>galima teigti, ka</w:t>
      </w:r>
      <w:r w:rsidR="00DD2AD5" w:rsidRPr="00ED3D25">
        <w:rPr>
          <w:szCs w:val="24"/>
          <w:lang w:val="lt-LT"/>
        </w:rPr>
        <w:t>d egzistuoja daugybė būdų dėl verslo rėmimo ir nuo vykdomos veiklos priklauso, kuo versininkas gali pasinaudoti ir ką pasirinkti, kad atitiktų jo lūkesčius, verslo pobūdį ir visa tai, kas verslininkui svarbiausia vykdant veiklą.</w:t>
      </w:r>
    </w:p>
    <w:p w:rsidR="00E10FAD" w:rsidRDefault="00E10FAD">
      <w:pPr>
        <w:spacing w:line="276" w:lineRule="auto"/>
        <w:jc w:val="left"/>
        <w:rPr>
          <w:rFonts w:eastAsia="Times New Roman"/>
          <w:b/>
          <w:bCs/>
          <w:szCs w:val="24"/>
          <w:lang w:val="lt-LT" w:eastAsia="es-ES"/>
        </w:rPr>
      </w:pPr>
      <w:bookmarkStart w:id="7" w:name="_Toc419534696"/>
      <w:r>
        <w:rPr>
          <w:szCs w:val="24"/>
          <w:lang w:val="lt-LT"/>
        </w:rPr>
        <w:br w:type="page"/>
      </w:r>
    </w:p>
    <w:p w:rsidR="001B3199" w:rsidRPr="00ED3D25" w:rsidRDefault="00DF4B19" w:rsidP="004C1FAF">
      <w:pPr>
        <w:pStyle w:val="Heading2"/>
        <w:numPr>
          <w:ilvl w:val="1"/>
          <w:numId w:val="20"/>
        </w:numPr>
        <w:spacing w:before="240" w:beforeAutospacing="0" w:after="240" w:afterAutospacing="0" w:line="360" w:lineRule="auto"/>
        <w:ind w:left="1077"/>
        <w:rPr>
          <w:sz w:val="24"/>
          <w:szCs w:val="24"/>
          <w:lang w:val="lt-LT"/>
        </w:rPr>
      </w:pPr>
      <w:r w:rsidRPr="00ED3D25">
        <w:rPr>
          <w:sz w:val="24"/>
          <w:szCs w:val="24"/>
          <w:lang w:val="lt-LT"/>
        </w:rPr>
        <w:lastRenderedPageBreak/>
        <w:t>E</w:t>
      </w:r>
      <w:r w:rsidR="00F42D95" w:rsidRPr="00ED3D25">
        <w:rPr>
          <w:sz w:val="24"/>
          <w:szCs w:val="24"/>
          <w:lang w:val="lt-LT"/>
        </w:rPr>
        <w:t>S</w:t>
      </w:r>
      <w:r w:rsidR="003D5939" w:rsidRPr="00ED3D25">
        <w:rPr>
          <w:sz w:val="24"/>
          <w:szCs w:val="24"/>
          <w:lang w:val="lt-LT"/>
        </w:rPr>
        <w:t xml:space="preserve"> </w:t>
      </w:r>
      <w:r w:rsidR="002F25B4" w:rsidRPr="00ED3D25">
        <w:rPr>
          <w:sz w:val="24"/>
          <w:szCs w:val="24"/>
          <w:lang w:val="lt-LT"/>
        </w:rPr>
        <w:t xml:space="preserve">finansinės </w:t>
      </w:r>
      <w:r w:rsidR="00B5088C">
        <w:rPr>
          <w:sz w:val="24"/>
          <w:szCs w:val="24"/>
          <w:lang w:val="lt-LT"/>
        </w:rPr>
        <w:t xml:space="preserve"> paramos</w:t>
      </w:r>
      <w:r w:rsidR="002F25B4" w:rsidRPr="00ED3D25">
        <w:rPr>
          <w:sz w:val="24"/>
          <w:szCs w:val="24"/>
          <w:lang w:val="lt-LT"/>
        </w:rPr>
        <w:t xml:space="preserve"> SVV </w:t>
      </w:r>
      <w:r w:rsidRPr="00ED3D25">
        <w:rPr>
          <w:sz w:val="24"/>
          <w:szCs w:val="24"/>
          <w:lang w:val="lt-LT"/>
        </w:rPr>
        <w:t>tikslai ir tipai</w:t>
      </w:r>
      <w:bookmarkEnd w:id="7"/>
    </w:p>
    <w:p w:rsidR="008120B4" w:rsidRPr="00ED3D25" w:rsidRDefault="00803756" w:rsidP="006B01BF">
      <w:pPr>
        <w:tabs>
          <w:tab w:val="left" w:pos="851"/>
        </w:tabs>
        <w:spacing w:after="0"/>
        <w:ind w:firstLine="851"/>
        <w:rPr>
          <w:szCs w:val="24"/>
          <w:lang w:val="lt-LT"/>
        </w:rPr>
      </w:pPr>
      <w:r w:rsidRPr="00ED3D25">
        <w:rPr>
          <w:szCs w:val="24"/>
          <w:lang w:val="lt-LT"/>
        </w:rPr>
        <w:t>Europos Sąjunga ne veltui vykdo regionų politiką, kurios tikslas atskirties tarp regionų mažinimas. Tai ypač pasitarnauja smulkiam ir vidutiniam verslui, kuriam atsiranda papildoma gali</w:t>
      </w:r>
      <w:r w:rsidR="00610A17" w:rsidRPr="00ED3D25">
        <w:rPr>
          <w:szCs w:val="24"/>
          <w:lang w:val="lt-LT"/>
        </w:rPr>
        <w:t>mybė gauti finansavimą verslo kūrimui, plėtrai. Tai paskatina</w:t>
      </w:r>
      <w:r w:rsidRPr="00ED3D25">
        <w:rPr>
          <w:szCs w:val="24"/>
          <w:lang w:val="lt-LT"/>
        </w:rPr>
        <w:t xml:space="preserve"> kurti idėjas verslui, jas įgyvendinti ir judėti į priekį. Thore Tomassen teigia: „ES šalyse struktūrinių fondų (regionų) politika vaidina svarbų vaidmenį regionų plėtroje bei prioritetų ir strategijų nustatyme“, tad labai svarbu išskirti atskiras regionines problemas šalyje, kad panaudotos struktūrinės lėšos teiktų naudą. </w:t>
      </w:r>
      <w:r w:rsidR="0043562A" w:rsidRPr="00ED3D25">
        <w:rPr>
          <w:szCs w:val="24"/>
          <w:lang w:val="lt-LT"/>
        </w:rPr>
        <w:t xml:space="preserve">Tad pagal tai išskiriami pagrindiniai ES finansinės paramos tikslai </w:t>
      </w:r>
      <w:r w:rsidR="008120B4" w:rsidRPr="00ED3D25">
        <w:rPr>
          <w:szCs w:val="24"/>
          <w:lang w:val="lt-LT"/>
        </w:rPr>
        <w:t>žemiau pateiktoje</w:t>
      </w:r>
      <w:r w:rsidR="001B3199" w:rsidRPr="00ED3D25">
        <w:rPr>
          <w:szCs w:val="24"/>
          <w:lang w:val="lt-LT"/>
        </w:rPr>
        <w:t xml:space="preserve"> 4</w:t>
      </w:r>
      <w:r w:rsidR="008120B4" w:rsidRPr="00ED3D25">
        <w:rPr>
          <w:szCs w:val="24"/>
          <w:lang w:val="lt-LT"/>
        </w:rPr>
        <w:t xml:space="preserve"> lentelėje.</w:t>
      </w:r>
    </w:p>
    <w:p w:rsidR="008120B4" w:rsidRPr="00ED3D25" w:rsidRDefault="001B3199" w:rsidP="008120B4">
      <w:pPr>
        <w:tabs>
          <w:tab w:val="left" w:pos="851"/>
        </w:tabs>
        <w:spacing w:after="0"/>
        <w:ind w:firstLine="851"/>
        <w:jc w:val="right"/>
        <w:rPr>
          <w:b/>
          <w:bCs/>
          <w:szCs w:val="24"/>
          <w:lang w:val="lt-LT"/>
        </w:rPr>
      </w:pPr>
      <w:r w:rsidRPr="00ED3D25">
        <w:rPr>
          <w:b/>
          <w:bCs/>
          <w:szCs w:val="24"/>
          <w:lang w:val="lt-LT"/>
        </w:rPr>
        <w:t>4</w:t>
      </w:r>
      <w:r w:rsidR="008120B4" w:rsidRPr="00ED3D25">
        <w:rPr>
          <w:b/>
          <w:bCs/>
          <w:szCs w:val="24"/>
          <w:lang w:val="lt-LT"/>
        </w:rPr>
        <w:t xml:space="preserve"> lentelė</w:t>
      </w:r>
    </w:p>
    <w:p w:rsidR="008E397C" w:rsidRPr="00ED3D25" w:rsidRDefault="008E397C" w:rsidP="008E397C">
      <w:pPr>
        <w:tabs>
          <w:tab w:val="left" w:pos="851"/>
        </w:tabs>
        <w:spacing w:after="0" w:line="240" w:lineRule="auto"/>
        <w:jc w:val="center"/>
        <w:rPr>
          <w:b/>
          <w:bCs/>
          <w:lang w:val="lt-LT"/>
        </w:rPr>
      </w:pPr>
      <w:r w:rsidRPr="00ED3D25">
        <w:rPr>
          <w:b/>
          <w:bCs/>
          <w:lang w:val="lt-LT"/>
        </w:rPr>
        <w:t>ES finansinės paramos tikslai</w:t>
      </w:r>
    </w:p>
    <w:p w:rsidR="008E397C" w:rsidRPr="00ED3D25" w:rsidRDefault="008E397C" w:rsidP="008E397C">
      <w:pPr>
        <w:tabs>
          <w:tab w:val="left" w:pos="851"/>
        </w:tabs>
        <w:spacing w:after="0" w:line="240" w:lineRule="auto"/>
        <w:jc w:val="center"/>
        <w:rPr>
          <w:b/>
          <w:bCs/>
          <w:lang w:val="lt-LT"/>
        </w:rPr>
      </w:pPr>
    </w:p>
    <w:tbl>
      <w:tblPr>
        <w:tblStyle w:val="TableGrid"/>
        <w:tblW w:w="0" w:type="auto"/>
        <w:jc w:val="center"/>
        <w:tblInd w:w="-368" w:type="dxa"/>
        <w:tblLook w:val="04A0" w:firstRow="1" w:lastRow="0" w:firstColumn="1" w:lastColumn="0" w:noHBand="0" w:noVBand="1"/>
      </w:tblPr>
      <w:tblGrid>
        <w:gridCol w:w="2268"/>
        <w:gridCol w:w="6483"/>
      </w:tblGrid>
      <w:tr w:rsidR="008120B4" w:rsidRPr="004B21BF" w:rsidTr="008E397C">
        <w:trPr>
          <w:jc w:val="center"/>
        </w:trPr>
        <w:tc>
          <w:tcPr>
            <w:tcW w:w="2268" w:type="dxa"/>
          </w:tcPr>
          <w:p w:rsidR="008120B4" w:rsidRPr="00ED3D25" w:rsidRDefault="008120B4" w:rsidP="00F41E1E">
            <w:pPr>
              <w:tabs>
                <w:tab w:val="left" w:pos="851"/>
              </w:tabs>
              <w:spacing w:line="240" w:lineRule="auto"/>
              <w:rPr>
                <w:b/>
                <w:bCs/>
                <w:lang w:val="lt-LT"/>
              </w:rPr>
            </w:pPr>
            <w:r w:rsidRPr="00ED3D25">
              <w:rPr>
                <w:b/>
                <w:bCs/>
                <w:lang w:val="lt-LT"/>
              </w:rPr>
              <w:t>Bendrieji tikslai</w:t>
            </w:r>
          </w:p>
        </w:tc>
        <w:tc>
          <w:tcPr>
            <w:tcW w:w="6483" w:type="dxa"/>
          </w:tcPr>
          <w:p w:rsidR="008120B4" w:rsidRPr="00ED3D25" w:rsidRDefault="008120B4" w:rsidP="00F41E1E">
            <w:pPr>
              <w:pStyle w:val="ListParagraph"/>
              <w:numPr>
                <w:ilvl w:val="0"/>
                <w:numId w:val="18"/>
              </w:numPr>
              <w:spacing w:line="240" w:lineRule="auto"/>
              <w:ind w:left="317" w:hanging="317"/>
              <w:rPr>
                <w:lang w:val="lt-LT"/>
              </w:rPr>
            </w:pPr>
            <w:r w:rsidRPr="00ED3D25">
              <w:rPr>
                <w:lang w:val="lt-LT"/>
              </w:rPr>
              <w:t xml:space="preserve"> skatinti ne žemės ūkio veiklą kaime;</w:t>
            </w:r>
          </w:p>
          <w:p w:rsidR="008120B4" w:rsidRPr="00ED3D25" w:rsidRDefault="008120B4" w:rsidP="00F41E1E">
            <w:pPr>
              <w:pStyle w:val="ListParagraph"/>
              <w:numPr>
                <w:ilvl w:val="0"/>
                <w:numId w:val="18"/>
              </w:numPr>
              <w:spacing w:line="240" w:lineRule="auto"/>
              <w:ind w:left="317" w:hanging="317"/>
              <w:rPr>
                <w:lang w:val="lt-LT"/>
              </w:rPr>
            </w:pPr>
            <w:r w:rsidRPr="00ED3D25">
              <w:rPr>
                <w:lang w:val="lt-LT"/>
              </w:rPr>
              <w:t xml:space="preserve"> kurti naujus pajamų šaltinius ir darbo vietas;</w:t>
            </w:r>
          </w:p>
        </w:tc>
      </w:tr>
      <w:tr w:rsidR="008120B4" w:rsidRPr="004B21BF" w:rsidTr="008E397C">
        <w:trPr>
          <w:jc w:val="center"/>
        </w:trPr>
        <w:tc>
          <w:tcPr>
            <w:tcW w:w="2268" w:type="dxa"/>
          </w:tcPr>
          <w:p w:rsidR="008120B4" w:rsidRPr="00ED3D25" w:rsidRDefault="008120B4" w:rsidP="00F41E1E">
            <w:pPr>
              <w:tabs>
                <w:tab w:val="left" w:pos="851"/>
              </w:tabs>
              <w:spacing w:line="240" w:lineRule="auto"/>
              <w:rPr>
                <w:b/>
                <w:bCs/>
                <w:lang w:val="lt-LT"/>
              </w:rPr>
            </w:pPr>
            <w:r w:rsidRPr="00ED3D25">
              <w:rPr>
                <w:b/>
                <w:bCs/>
                <w:lang w:val="lt-LT"/>
              </w:rPr>
              <w:t>Specialieji tikslai</w:t>
            </w:r>
          </w:p>
        </w:tc>
        <w:tc>
          <w:tcPr>
            <w:tcW w:w="6483" w:type="dxa"/>
          </w:tcPr>
          <w:p w:rsidR="008120B4" w:rsidRPr="00ED3D25" w:rsidRDefault="008120B4" w:rsidP="00F41E1E">
            <w:pPr>
              <w:pStyle w:val="ListParagraph"/>
              <w:numPr>
                <w:ilvl w:val="0"/>
                <w:numId w:val="13"/>
              </w:numPr>
              <w:tabs>
                <w:tab w:val="left" w:pos="498"/>
              </w:tabs>
              <w:spacing w:line="240" w:lineRule="auto"/>
              <w:ind w:left="356"/>
              <w:rPr>
                <w:lang w:val="lt-LT"/>
              </w:rPr>
            </w:pPr>
            <w:r w:rsidRPr="00ED3D25">
              <w:rPr>
                <w:lang w:val="lt-LT"/>
              </w:rPr>
              <w:t>kaimo vietovėse naujų darbo vietų kūrimas ir esamų išlaikymas;</w:t>
            </w:r>
          </w:p>
          <w:p w:rsidR="008120B4" w:rsidRPr="00ED3D25" w:rsidRDefault="008120B4" w:rsidP="00F41E1E">
            <w:pPr>
              <w:pStyle w:val="ListParagraph"/>
              <w:numPr>
                <w:ilvl w:val="0"/>
                <w:numId w:val="13"/>
              </w:numPr>
              <w:tabs>
                <w:tab w:val="left" w:pos="498"/>
              </w:tabs>
              <w:spacing w:line="240" w:lineRule="auto"/>
              <w:ind w:left="356"/>
              <w:rPr>
                <w:lang w:val="lt-LT"/>
              </w:rPr>
            </w:pPr>
            <w:r w:rsidRPr="00ED3D25">
              <w:rPr>
                <w:lang w:val="lt-LT"/>
              </w:rPr>
              <w:t>plėsti verslų įvairovę kaime;</w:t>
            </w:r>
          </w:p>
          <w:p w:rsidR="008120B4" w:rsidRPr="00ED3D25" w:rsidRDefault="00D70EE9" w:rsidP="00F41E1E">
            <w:pPr>
              <w:pStyle w:val="ListParagraph"/>
              <w:numPr>
                <w:ilvl w:val="0"/>
                <w:numId w:val="13"/>
              </w:numPr>
              <w:tabs>
                <w:tab w:val="left" w:pos="498"/>
              </w:tabs>
              <w:spacing w:line="240" w:lineRule="auto"/>
              <w:ind w:left="356"/>
              <w:rPr>
                <w:lang w:val="lt-LT"/>
              </w:rPr>
            </w:pPr>
            <w:r>
              <w:rPr>
                <w:lang w:val="lt-LT"/>
              </w:rPr>
              <w:t>paįvairinti</w:t>
            </w:r>
            <w:r w:rsidR="008120B4" w:rsidRPr="00ED3D25">
              <w:rPr>
                <w:lang w:val="lt-LT"/>
              </w:rPr>
              <w:t xml:space="preserve"> paslaugų spektrą;</w:t>
            </w:r>
          </w:p>
          <w:p w:rsidR="008120B4" w:rsidRPr="00ED3D25" w:rsidRDefault="008120B4" w:rsidP="00F41E1E">
            <w:pPr>
              <w:pStyle w:val="ListParagraph"/>
              <w:numPr>
                <w:ilvl w:val="0"/>
                <w:numId w:val="13"/>
              </w:numPr>
              <w:tabs>
                <w:tab w:val="left" w:pos="498"/>
              </w:tabs>
              <w:spacing w:line="240" w:lineRule="auto"/>
              <w:ind w:left="356"/>
              <w:rPr>
                <w:lang w:val="lt-LT"/>
              </w:rPr>
            </w:pPr>
            <w:r w:rsidRPr="00ED3D25">
              <w:rPr>
                <w:lang w:val="lt-LT"/>
              </w:rPr>
              <w:t>remti ir renovuoti paveldo vertybes kaimuose.</w:t>
            </w:r>
          </w:p>
        </w:tc>
      </w:tr>
      <w:tr w:rsidR="008120B4" w:rsidRPr="00ED3D25" w:rsidTr="008E397C">
        <w:trPr>
          <w:jc w:val="center"/>
        </w:trPr>
        <w:tc>
          <w:tcPr>
            <w:tcW w:w="2268" w:type="dxa"/>
          </w:tcPr>
          <w:p w:rsidR="008120B4" w:rsidRPr="00ED3D25" w:rsidRDefault="008120B4" w:rsidP="00F41E1E">
            <w:pPr>
              <w:tabs>
                <w:tab w:val="left" w:pos="851"/>
              </w:tabs>
              <w:spacing w:line="240" w:lineRule="auto"/>
              <w:rPr>
                <w:b/>
                <w:bCs/>
                <w:lang w:val="lt-LT"/>
              </w:rPr>
            </w:pPr>
            <w:r w:rsidRPr="00ED3D25">
              <w:rPr>
                <w:b/>
                <w:bCs/>
                <w:lang w:val="lt-LT"/>
              </w:rPr>
              <w:t>Veiklos tikslai</w:t>
            </w:r>
          </w:p>
        </w:tc>
        <w:tc>
          <w:tcPr>
            <w:tcW w:w="6483" w:type="dxa"/>
          </w:tcPr>
          <w:p w:rsidR="008120B4" w:rsidRPr="00ED3D25" w:rsidRDefault="008120B4" w:rsidP="00F41E1E">
            <w:pPr>
              <w:pStyle w:val="ListParagraph"/>
              <w:numPr>
                <w:ilvl w:val="0"/>
                <w:numId w:val="14"/>
              </w:numPr>
              <w:tabs>
                <w:tab w:val="left" w:pos="851"/>
              </w:tabs>
              <w:spacing w:line="240" w:lineRule="auto"/>
              <w:ind w:left="356"/>
              <w:rPr>
                <w:lang w:val="lt-LT"/>
              </w:rPr>
            </w:pPr>
            <w:r w:rsidRPr="00ED3D25">
              <w:rPr>
                <w:lang w:val="lt-LT"/>
              </w:rPr>
              <w:t>verslumo skatinimas, ypatingas dėmesys jaunimui ir moterims;</w:t>
            </w:r>
          </w:p>
          <w:p w:rsidR="008120B4" w:rsidRPr="00ED3D25" w:rsidRDefault="008120B4" w:rsidP="00F41E1E">
            <w:pPr>
              <w:pStyle w:val="ListParagraph"/>
              <w:numPr>
                <w:ilvl w:val="0"/>
                <w:numId w:val="14"/>
              </w:numPr>
              <w:tabs>
                <w:tab w:val="left" w:pos="851"/>
              </w:tabs>
              <w:spacing w:line="240" w:lineRule="auto"/>
              <w:ind w:left="356"/>
              <w:rPr>
                <w:lang w:val="lt-LT"/>
              </w:rPr>
            </w:pPr>
            <w:r w:rsidRPr="00ED3D25">
              <w:rPr>
                <w:lang w:val="lt-LT"/>
              </w:rPr>
              <w:t>naujų iniciatyvų rėmimas;</w:t>
            </w:r>
          </w:p>
          <w:p w:rsidR="008120B4" w:rsidRPr="00ED3D25" w:rsidRDefault="00D70EE9" w:rsidP="00F41E1E">
            <w:pPr>
              <w:pStyle w:val="ListParagraph"/>
              <w:numPr>
                <w:ilvl w:val="0"/>
                <w:numId w:val="14"/>
              </w:numPr>
              <w:tabs>
                <w:tab w:val="left" w:pos="851"/>
              </w:tabs>
              <w:spacing w:line="240" w:lineRule="auto"/>
              <w:ind w:left="356"/>
              <w:rPr>
                <w:lang w:val="lt-LT"/>
              </w:rPr>
            </w:pPr>
            <w:r>
              <w:rPr>
                <w:lang w:val="lt-LT"/>
              </w:rPr>
              <w:t>remti esamų mažų</w:t>
            </w:r>
            <w:r w:rsidR="008120B4" w:rsidRPr="00ED3D25">
              <w:rPr>
                <w:lang w:val="lt-LT"/>
              </w:rPr>
              <w:t xml:space="preserve"> įmonių modernizavimą;</w:t>
            </w:r>
          </w:p>
          <w:p w:rsidR="008120B4" w:rsidRPr="00ED3D25" w:rsidRDefault="008120B4" w:rsidP="00F41E1E">
            <w:pPr>
              <w:pStyle w:val="ListParagraph"/>
              <w:numPr>
                <w:ilvl w:val="0"/>
                <w:numId w:val="14"/>
              </w:numPr>
              <w:tabs>
                <w:tab w:val="left" w:pos="851"/>
              </w:tabs>
              <w:spacing w:line="240" w:lineRule="auto"/>
              <w:ind w:left="356"/>
              <w:rPr>
                <w:lang w:val="lt-LT"/>
              </w:rPr>
            </w:pPr>
            <w:r w:rsidRPr="00ED3D25">
              <w:rPr>
                <w:lang w:val="lt-LT"/>
              </w:rPr>
              <w:t>skatinti amatų technologijas, remti gaminių prekybą, demonstravimą.</w:t>
            </w:r>
          </w:p>
        </w:tc>
      </w:tr>
    </w:tbl>
    <w:p w:rsidR="008120B4" w:rsidRPr="00ED3D25" w:rsidRDefault="008120B4" w:rsidP="001810F6">
      <w:pPr>
        <w:tabs>
          <w:tab w:val="left" w:pos="851"/>
        </w:tabs>
        <w:spacing w:after="0" w:line="240" w:lineRule="auto"/>
        <w:ind w:firstLine="426"/>
        <w:rPr>
          <w:sz w:val="20"/>
          <w:szCs w:val="20"/>
          <w:lang w:val="lt-LT"/>
        </w:rPr>
      </w:pPr>
      <w:r w:rsidRPr="00ED3D25">
        <w:rPr>
          <w:sz w:val="20"/>
          <w:szCs w:val="20"/>
          <w:lang w:val="lt-LT"/>
        </w:rPr>
        <w:t>Pastaba: lentelė sudaryta autorės</w:t>
      </w:r>
      <w:r w:rsidR="001810F6" w:rsidRPr="00ED3D25">
        <w:rPr>
          <w:sz w:val="20"/>
          <w:szCs w:val="20"/>
          <w:lang w:val="lt-LT"/>
        </w:rPr>
        <w:t>, remiantis „</w:t>
      </w:r>
      <w:r w:rsidR="00D70EE9">
        <w:rPr>
          <w:sz w:val="20"/>
          <w:szCs w:val="20"/>
          <w:lang w:val="lt-LT"/>
        </w:rPr>
        <w:t>Smulkaus verslo aktu</w:t>
      </w:r>
      <w:r w:rsidR="00B35754" w:rsidRPr="00ED3D25">
        <w:rPr>
          <w:sz w:val="20"/>
          <w:szCs w:val="20"/>
          <w:lang w:val="lt-LT"/>
        </w:rPr>
        <w:t>“ (2008).</w:t>
      </w:r>
    </w:p>
    <w:p w:rsidR="001810F6" w:rsidRPr="00ED3D25" w:rsidRDefault="001810F6" w:rsidP="001810F6">
      <w:pPr>
        <w:tabs>
          <w:tab w:val="left" w:pos="851"/>
        </w:tabs>
        <w:spacing w:after="0" w:line="240" w:lineRule="auto"/>
        <w:ind w:firstLine="426"/>
        <w:rPr>
          <w:sz w:val="20"/>
          <w:szCs w:val="20"/>
          <w:lang w:val="lt-LT"/>
        </w:rPr>
      </w:pPr>
    </w:p>
    <w:p w:rsidR="001B3199" w:rsidRPr="00ED3D25" w:rsidRDefault="001B3199" w:rsidP="00D70EE9">
      <w:pPr>
        <w:tabs>
          <w:tab w:val="left" w:pos="851"/>
        </w:tabs>
        <w:spacing w:after="0"/>
        <w:ind w:firstLine="851"/>
        <w:rPr>
          <w:szCs w:val="24"/>
          <w:lang w:val="lt-LT"/>
        </w:rPr>
      </w:pPr>
      <w:r w:rsidRPr="00ED3D25">
        <w:rPr>
          <w:szCs w:val="24"/>
          <w:lang w:val="lt-LT"/>
        </w:rPr>
        <w:t>Trumpai apibendrinant ES finansinės paramos skyrimo tikslus</w:t>
      </w:r>
      <w:r w:rsidR="00746E75">
        <w:rPr>
          <w:szCs w:val="24"/>
          <w:lang w:val="lt-LT"/>
        </w:rPr>
        <w:t xml:space="preserve"> (žr. 4 lentelę)</w:t>
      </w:r>
      <w:r w:rsidRPr="00ED3D25">
        <w:rPr>
          <w:szCs w:val="24"/>
          <w:lang w:val="lt-LT"/>
        </w:rPr>
        <w:t xml:space="preserve"> galime patvirtinti, tai, kas buvo aptarta ankstesniuose poskyriuose. Pavyzdžiui,</w:t>
      </w:r>
      <w:r w:rsidR="00D70EE9">
        <w:rPr>
          <w:szCs w:val="24"/>
          <w:lang w:val="lt-LT"/>
        </w:rPr>
        <w:t xml:space="preserve"> bendruosiuose tiksluose</w:t>
      </w:r>
      <w:r w:rsidRPr="00ED3D25">
        <w:rPr>
          <w:szCs w:val="24"/>
          <w:lang w:val="lt-LT"/>
        </w:rPr>
        <w:t xml:space="preserve"> </w:t>
      </w:r>
      <w:r w:rsidR="00D70EE9">
        <w:rPr>
          <w:szCs w:val="24"/>
          <w:lang w:val="lt-LT"/>
        </w:rPr>
        <w:t>paminėtas</w:t>
      </w:r>
      <w:r w:rsidRPr="00ED3D25">
        <w:rPr>
          <w:szCs w:val="24"/>
          <w:lang w:val="lt-LT"/>
        </w:rPr>
        <w:t xml:space="preserve"> naujų darbo vietų kūrimas vienas iš SVV pagrindinių </w:t>
      </w:r>
      <w:r w:rsidR="00D70EE9">
        <w:rPr>
          <w:szCs w:val="24"/>
          <w:lang w:val="lt-LT"/>
        </w:rPr>
        <w:t>rėmimo paskatų, iš specialiųjų</w:t>
      </w:r>
      <w:r w:rsidRPr="00ED3D25">
        <w:rPr>
          <w:szCs w:val="24"/>
          <w:lang w:val="lt-LT"/>
        </w:rPr>
        <w:t xml:space="preserve"> išskiriama</w:t>
      </w:r>
      <w:r w:rsidR="00D70EE9">
        <w:rPr>
          <w:szCs w:val="24"/>
          <w:lang w:val="lt-LT"/>
        </w:rPr>
        <w:t xml:space="preserve"> – </w:t>
      </w:r>
      <w:r w:rsidRPr="00ED3D25">
        <w:rPr>
          <w:szCs w:val="24"/>
          <w:lang w:val="lt-LT"/>
        </w:rPr>
        <w:t>paslaugų spektro plėtra, paveldo vertybių restauracija ir jų pritaikymas verslauti, o iš veiklos tikslų –</w:t>
      </w:r>
      <w:r w:rsidR="00D70EE9">
        <w:rPr>
          <w:szCs w:val="24"/>
          <w:lang w:val="lt-LT"/>
        </w:rPr>
        <w:t xml:space="preserve"> </w:t>
      </w:r>
      <w:r w:rsidRPr="00ED3D25">
        <w:rPr>
          <w:szCs w:val="24"/>
          <w:lang w:val="lt-LT"/>
        </w:rPr>
        <w:t xml:space="preserve"> įmonės modernizavimas, amatų technologijų atgaivinimas, iniciatyvumas.</w:t>
      </w:r>
    </w:p>
    <w:p w:rsidR="0043562A" w:rsidRPr="00ED3D25" w:rsidRDefault="00D70EE9" w:rsidP="0043152E">
      <w:pPr>
        <w:tabs>
          <w:tab w:val="left" w:pos="851"/>
        </w:tabs>
        <w:spacing w:after="0"/>
        <w:ind w:firstLine="851"/>
        <w:rPr>
          <w:szCs w:val="24"/>
          <w:lang w:val="lt-LT"/>
        </w:rPr>
      </w:pPr>
      <w:r>
        <w:rPr>
          <w:szCs w:val="24"/>
          <w:lang w:val="lt-LT"/>
        </w:rPr>
        <w:t>ES vykdo</w:t>
      </w:r>
      <w:r w:rsidR="0043562A" w:rsidRPr="00ED3D25">
        <w:rPr>
          <w:szCs w:val="24"/>
          <w:lang w:val="lt-LT"/>
        </w:rPr>
        <w:t xml:space="preserve"> </w:t>
      </w:r>
      <w:r w:rsidR="001B3199" w:rsidRPr="00ED3D25">
        <w:rPr>
          <w:szCs w:val="24"/>
          <w:lang w:val="lt-LT"/>
        </w:rPr>
        <w:t>projektus verslumu</w:t>
      </w:r>
      <w:r>
        <w:rPr>
          <w:szCs w:val="24"/>
          <w:lang w:val="lt-LT"/>
        </w:rPr>
        <w:t>i skatinti</w:t>
      </w:r>
      <w:r w:rsidR="0043152E" w:rsidRPr="0043152E">
        <w:rPr>
          <w:szCs w:val="24"/>
          <w:lang w:val="lt-LT"/>
        </w:rPr>
        <w:t xml:space="preserve"> </w:t>
      </w:r>
      <w:r w:rsidR="0043152E" w:rsidRPr="00ED3D25">
        <w:rPr>
          <w:szCs w:val="24"/>
          <w:lang w:val="lt-LT"/>
        </w:rPr>
        <w:t>ne tik bendrai</w:t>
      </w:r>
      <w:r w:rsidR="0043562A" w:rsidRPr="00ED3D25">
        <w:rPr>
          <w:szCs w:val="24"/>
          <w:lang w:val="lt-LT"/>
        </w:rPr>
        <w:t>, tačiau juos suskaldo pagal vietoves, pavyzdžiui, kaimo vietovėse akcentuojamas naujų darbo vietų kūrimas, skatinamas veržlu</w:t>
      </w:r>
      <w:r w:rsidR="001B3199" w:rsidRPr="00ED3D25">
        <w:rPr>
          <w:szCs w:val="24"/>
          <w:lang w:val="lt-LT"/>
        </w:rPr>
        <w:t>mas, aktyvumas</w:t>
      </w:r>
      <w:r w:rsidR="0043152E">
        <w:rPr>
          <w:szCs w:val="24"/>
          <w:lang w:val="lt-LT"/>
        </w:rPr>
        <w:t>,</w:t>
      </w:r>
      <w:r w:rsidR="001B3199" w:rsidRPr="00ED3D25">
        <w:rPr>
          <w:szCs w:val="24"/>
          <w:lang w:val="lt-LT"/>
        </w:rPr>
        <w:t xml:space="preserve"> konkurencingumas.</w:t>
      </w:r>
      <w:r w:rsidR="0043562A" w:rsidRPr="00ED3D25">
        <w:rPr>
          <w:szCs w:val="24"/>
          <w:lang w:val="lt-LT"/>
        </w:rPr>
        <w:t xml:space="preserve"> Nacionalinė mokėjimų agentūra (NMA) administruoja šiuos projektus, susijusius su kaimo plėtra, o per kitas anksčiau aptartas finansavimo galimybes, prie kurių prisideda ES, neišskiriama vietovė, tad joms keliama daugiau reikalavimų ir kitos finansavimo formos</w:t>
      </w:r>
      <w:r w:rsidR="001B3199" w:rsidRPr="00ED3D25">
        <w:rPr>
          <w:szCs w:val="24"/>
          <w:lang w:val="lt-LT"/>
        </w:rPr>
        <w:t>, t. y. daugiau paskolų teikimas, o ne investavimo priemonė</w:t>
      </w:r>
      <w:r w:rsidR="0043562A" w:rsidRPr="00ED3D25">
        <w:rPr>
          <w:szCs w:val="24"/>
          <w:lang w:val="lt-LT"/>
        </w:rPr>
        <w:t xml:space="preserve">. </w:t>
      </w:r>
    </w:p>
    <w:p w:rsidR="00610A17" w:rsidRPr="00ED3D25" w:rsidRDefault="00610A17" w:rsidP="001B3199">
      <w:pPr>
        <w:tabs>
          <w:tab w:val="left" w:pos="851"/>
        </w:tabs>
        <w:spacing w:after="0"/>
        <w:ind w:firstLine="851"/>
        <w:rPr>
          <w:szCs w:val="24"/>
          <w:lang w:val="lt-LT"/>
        </w:rPr>
      </w:pPr>
      <w:r w:rsidRPr="00ED3D25">
        <w:rPr>
          <w:szCs w:val="24"/>
          <w:lang w:val="lt-LT"/>
        </w:rPr>
        <w:lastRenderedPageBreak/>
        <w:t xml:space="preserve">Daugiausiai dėmesio </w:t>
      </w:r>
      <w:r w:rsidR="0043562A" w:rsidRPr="00ED3D25">
        <w:rPr>
          <w:szCs w:val="24"/>
          <w:lang w:val="lt-LT"/>
        </w:rPr>
        <w:t xml:space="preserve">pagal 2007-2013 m. kaimo plėtros strategiją </w:t>
      </w:r>
      <w:r w:rsidRPr="00ED3D25">
        <w:rPr>
          <w:szCs w:val="24"/>
          <w:lang w:val="lt-LT"/>
        </w:rPr>
        <w:t>buvo skiriama finansinei paramai smulkiam ir vidutiniam verslui kaimo vietovėse vystyti. Pasak atliktų tyrimų kaimo vietovės Lietuvoje sudaro daugiau nei 97 proc. teritorijos. Siekiama, kad</w:t>
      </w:r>
      <w:r w:rsidR="008120B4" w:rsidRPr="00ED3D25">
        <w:rPr>
          <w:szCs w:val="24"/>
          <w:lang w:val="lt-LT"/>
        </w:rPr>
        <w:t xml:space="preserve"> </w:t>
      </w:r>
      <w:r w:rsidR="001B3199" w:rsidRPr="00ED3D25">
        <w:rPr>
          <w:szCs w:val="24"/>
          <w:lang w:val="lt-LT"/>
        </w:rPr>
        <w:t xml:space="preserve">kaimo potencialas </w:t>
      </w:r>
      <w:r w:rsidR="008120B4" w:rsidRPr="00ED3D25">
        <w:rPr>
          <w:szCs w:val="24"/>
          <w:lang w:val="lt-LT"/>
        </w:rPr>
        <w:t xml:space="preserve">kuo labiau </w:t>
      </w:r>
      <w:r w:rsidR="001B3199" w:rsidRPr="00ED3D25">
        <w:rPr>
          <w:szCs w:val="24"/>
          <w:lang w:val="lt-LT"/>
        </w:rPr>
        <w:t xml:space="preserve">būtų išnaudotas </w:t>
      </w:r>
      <w:r w:rsidRPr="00ED3D25">
        <w:rPr>
          <w:szCs w:val="24"/>
          <w:lang w:val="lt-LT"/>
        </w:rPr>
        <w:t xml:space="preserve">ekonomikos augimui, tad panaudojant ES finansinę paramą tikimasi, kad kaimo gyventojai, kurie daugiausiai </w:t>
      </w:r>
      <w:r w:rsidR="008120B4" w:rsidRPr="00ED3D25">
        <w:rPr>
          <w:szCs w:val="24"/>
          <w:lang w:val="lt-LT"/>
        </w:rPr>
        <w:t>prisideda savo darbo jėga</w:t>
      </w:r>
      <w:r w:rsidRPr="00ED3D25">
        <w:rPr>
          <w:szCs w:val="24"/>
          <w:lang w:val="lt-LT"/>
        </w:rPr>
        <w:t xml:space="preserve"> žemės ūkyje, steigtų verslus ir kurtų naujas darbo vietas. Analizuojant šią rėmimo priemonę, pabrėžiama, kad ji taikoma labai mažoms įmonėms kaimo vietovėse, tai reiškia, kad įmonėje neturi dirbti daugiau nei 10 darbuotojų, o jos metinis balansas arba metinė apyvarta neturi viršyti 2 mln. eurų. Parama teikiama tiems asmenims, kurie išmano tą veiklos sritį. </w:t>
      </w:r>
    </w:p>
    <w:p w:rsidR="00610A17" w:rsidRPr="00ED3D25" w:rsidRDefault="00610A17" w:rsidP="00610A17">
      <w:pPr>
        <w:tabs>
          <w:tab w:val="left" w:pos="851"/>
        </w:tabs>
        <w:spacing w:after="0"/>
        <w:ind w:firstLine="851"/>
        <w:rPr>
          <w:szCs w:val="24"/>
          <w:lang w:val="lt-LT"/>
        </w:rPr>
      </w:pPr>
      <w:r w:rsidRPr="00ED3D25">
        <w:rPr>
          <w:szCs w:val="24"/>
          <w:lang w:val="lt-LT"/>
        </w:rPr>
        <w:t>ES vykdomai programai numatytos lėšos gali būti skiriamos finansuojant į</w:t>
      </w:r>
      <w:r w:rsidR="0043152E">
        <w:rPr>
          <w:szCs w:val="24"/>
          <w:lang w:val="lt-LT"/>
        </w:rPr>
        <w:t xml:space="preserve">monei būtinų statinių statybą, </w:t>
      </w:r>
      <w:r w:rsidRPr="00ED3D25">
        <w:rPr>
          <w:szCs w:val="24"/>
          <w:lang w:val="lt-LT"/>
        </w:rPr>
        <w:t>rekonstravimą, pritaikymą vykdomai veiklai, reikiamų technologijų įsig</w:t>
      </w:r>
      <w:r w:rsidR="0043152E">
        <w:rPr>
          <w:szCs w:val="24"/>
          <w:lang w:val="lt-LT"/>
        </w:rPr>
        <w:t>ijimą, infrastruktūros gerinimą</w:t>
      </w:r>
      <w:r w:rsidRPr="00ED3D25">
        <w:rPr>
          <w:szCs w:val="24"/>
          <w:lang w:val="lt-LT"/>
        </w:rPr>
        <w:t>, internetinės sve</w:t>
      </w:r>
      <w:r w:rsidR="0043152E">
        <w:rPr>
          <w:szCs w:val="24"/>
          <w:lang w:val="lt-LT"/>
        </w:rPr>
        <w:t>tainės sukūrimą, apie projekto</w:t>
      </w:r>
      <w:r w:rsidRPr="00ED3D25">
        <w:rPr>
          <w:szCs w:val="24"/>
          <w:lang w:val="lt-LT"/>
        </w:rPr>
        <w:t xml:space="preserve"> naujienų skleidimo išlaidas. Prieš priimant sprendimą suteikti verslininkui paramą yra įvertinamas pareiškėjo verslo planas, kuriame nurodyti prognozuojamųjų metų rodikliai turi atitikti nustatytus ekonominio gyvybingumo rodiklius. </w:t>
      </w:r>
    </w:p>
    <w:p w:rsidR="00610A17" w:rsidRPr="00ED3D25" w:rsidRDefault="00610A17" w:rsidP="00610A17">
      <w:pPr>
        <w:tabs>
          <w:tab w:val="left" w:pos="851"/>
        </w:tabs>
        <w:spacing w:after="0"/>
        <w:ind w:firstLine="851"/>
        <w:rPr>
          <w:szCs w:val="24"/>
          <w:lang w:val="lt-LT"/>
        </w:rPr>
      </w:pPr>
      <w:r w:rsidRPr="00ED3D25">
        <w:rPr>
          <w:szCs w:val="24"/>
          <w:lang w:val="lt-LT"/>
        </w:rPr>
        <w:t>Numatyta, kad ver</w:t>
      </w:r>
      <w:r w:rsidR="0043152E">
        <w:rPr>
          <w:szCs w:val="24"/>
          <w:lang w:val="lt-LT"/>
        </w:rPr>
        <w:t>s</w:t>
      </w:r>
      <w:r w:rsidRPr="00ED3D25">
        <w:rPr>
          <w:szCs w:val="24"/>
          <w:lang w:val="lt-LT"/>
        </w:rPr>
        <w:t xml:space="preserve">lo plėtrai ES finansinė parama gali padengti iki 65 proc. numatytų išlaidų. Paramos dydis vienam paramos gavėjui negali viršyti daugiau, kaip 200 tūkst. eurų. o kuriantys verslą susijusį su amatais – finansuojama iki 75 proc. Steigiant naują įmonę ir pateikiant paraišką iki tam tikros datos maksimali finansavimo suma </w:t>
      </w:r>
      <w:r w:rsidR="0043152E">
        <w:rPr>
          <w:szCs w:val="24"/>
          <w:lang w:val="lt-LT"/>
        </w:rPr>
        <w:t xml:space="preserve">2007-2013 m. laikotarpiui </w:t>
      </w:r>
      <w:r w:rsidRPr="00ED3D25">
        <w:rPr>
          <w:szCs w:val="24"/>
          <w:lang w:val="lt-LT"/>
        </w:rPr>
        <w:t>siekė 500 tūkst. eurų, tačiau verslas negalėj</w:t>
      </w:r>
      <w:r w:rsidR="0043152E">
        <w:rPr>
          <w:szCs w:val="24"/>
          <w:lang w:val="lt-LT"/>
        </w:rPr>
        <w:t>o</w:t>
      </w:r>
      <w:r w:rsidRPr="00ED3D25">
        <w:rPr>
          <w:szCs w:val="24"/>
          <w:lang w:val="lt-LT"/>
        </w:rPr>
        <w:t xml:space="preserve"> būti susijęs su mažmenine prekyba ir iki 200 tūkst. eurų, kurių veikla susijusi su mažmenine prekyba.</w:t>
      </w:r>
    </w:p>
    <w:p w:rsidR="00610A17" w:rsidRPr="00ED3D25" w:rsidRDefault="00610A17" w:rsidP="0043152E">
      <w:pPr>
        <w:tabs>
          <w:tab w:val="left" w:pos="851"/>
        </w:tabs>
        <w:spacing w:after="0"/>
        <w:ind w:firstLine="851"/>
        <w:rPr>
          <w:szCs w:val="24"/>
          <w:lang w:val="lt-LT"/>
        </w:rPr>
      </w:pPr>
      <w:r w:rsidRPr="00ED3D25">
        <w:rPr>
          <w:szCs w:val="24"/>
          <w:lang w:val="lt-LT"/>
        </w:rPr>
        <w:t>Kad ir kaip v</w:t>
      </w:r>
      <w:r w:rsidR="00AC2401">
        <w:rPr>
          <w:szCs w:val="24"/>
          <w:lang w:val="lt-LT"/>
        </w:rPr>
        <w:t>iskas atrodytų paprasta</w:t>
      </w:r>
      <w:r w:rsidRPr="00ED3D25">
        <w:rPr>
          <w:szCs w:val="24"/>
          <w:lang w:val="lt-LT"/>
        </w:rPr>
        <w:t xml:space="preserve"> teikiant paraišką ir gaunant ES finansinę paramą, tačiau yra nustatytos tam tikros sankcijos, jei nebus vykdomi projekte numatyti ir patvirtinti veiksmai: numatomas paramos sumažinimas – tai švelniausia nuobauda, kurią gali taikyti ES finansinės paramos administratoriai; antras variantas gali būti nuosprendis nebeskirti paramos visai, tuomet visų paruošiamųjų darbų, </w:t>
      </w:r>
      <w:r w:rsidR="0043152E">
        <w:rPr>
          <w:szCs w:val="24"/>
          <w:lang w:val="lt-LT"/>
        </w:rPr>
        <w:t>atliktų</w:t>
      </w:r>
      <w:r w:rsidRPr="00ED3D25">
        <w:rPr>
          <w:szCs w:val="24"/>
          <w:lang w:val="lt-LT"/>
        </w:rPr>
        <w:t xml:space="preserve"> darbų bei investicijų ateitis tampa miglota. Bet pati griežčiausia sankcija – paramos susigrąžinimas. Ypatingai neigiamą poveikį sukelia, kuomet parama jau y</w:t>
      </w:r>
      <w:r w:rsidR="0043152E">
        <w:rPr>
          <w:szCs w:val="24"/>
          <w:lang w:val="lt-LT"/>
        </w:rPr>
        <w:t>ra investuota, ir atgauti pinigų</w:t>
      </w:r>
      <w:r w:rsidRPr="00ED3D25">
        <w:rPr>
          <w:szCs w:val="24"/>
          <w:lang w:val="lt-LT"/>
        </w:rPr>
        <w:t xml:space="preserve"> įmonei už jai suteiktas paslaugas neįmanoma. Tad labai svarbu gavus paramą nu</w:t>
      </w:r>
      <w:r w:rsidR="0043152E">
        <w:rPr>
          <w:szCs w:val="24"/>
          <w:lang w:val="lt-LT"/>
        </w:rPr>
        <w:t xml:space="preserve">olat sekti įmonės darbą, </w:t>
      </w:r>
      <w:r w:rsidRPr="00ED3D25">
        <w:rPr>
          <w:szCs w:val="24"/>
          <w:lang w:val="lt-LT"/>
        </w:rPr>
        <w:t>finansinius rodiklius, kad jie atitiktų</w:t>
      </w:r>
      <w:r w:rsidR="0043152E">
        <w:rPr>
          <w:szCs w:val="24"/>
          <w:lang w:val="lt-LT"/>
        </w:rPr>
        <w:t xml:space="preserve"> verslo plane numatytuosius ir</w:t>
      </w:r>
      <w:r w:rsidRPr="00ED3D25">
        <w:rPr>
          <w:szCs w:val="24"/>
          <w:lang w:val="lt-LT"/>
        </w:rPr>
        <w:t xml:space="preserve"> būtų išvengta sankcijų grėsmė.</w:t>
      </w:r>
    </w:p>
    <w:p w:rsidR="00E307C7" w:rsidRPr="00ED3D25" w:rsidRDefault="0043562A" w:rsidP="00DD2AD5">
      <w:pPr>
        <w:tabs>
          <w:tab w:val="left" w:pos="851"/>
        </w:tabs>
        <w:spacing w:after="0"/>
        <w:ind w:firstLine="851"/>
        <w:rPr>
          <w:szCs w:val="24"/>
          <w:lang w:val="lt-LT"/>
        </w:rPr>
      </w:pPr>
      <w:r w:rsidRPr="00ED3D25">
        <w:rPr>
          <w:szCs w:val="24"/>
          <w:lang w:val="lt-LT"/>
        </w:rPr>
        <w:t>Vis daugiau populiarumo susilaukia d</w:t>
      </w:r>
      <w:r w:rsidR="00DD2AD5" w:rsidRPr="00ED3D25">
        <w:rPr>
          <w:szCs w:val="24"/>
          <w:lang w:val="lt-LT"/>
        </w:rPr>
        <w:t>ar viena verslo skatinimo forma – „Erasmus programa jauniems verslininkams“</w:t>
      </w:r>
      <w:r w:rsidRPr="00ED3D25">
        <w:rPr>
          <w:szCs w:val="24"/>
          <w:lang w:val="lt-LT"/>
        </w:rPr>
        <w:t xml:space="preserve"> </w:t>
      </w:r>
      <w:r w:rsidR="00DD2AD5" w:rsidRPr="00ED3D25">
        <w:rPr>
          <w:szCs w:val="24"/>
          <w:lang w:val="lt-LT"/>
        </w:rPr>
        <w:t>Ši buvo sukurta r</w:t>
      </w:r>
      <w:r w:rsidR="00E307C7" w:rsidRPr="00ED3D25">
        <w:rPr>
          <w:szCs w:val="24"/>
          <w:lang w:val="lt-LT"/>
        </w:rPr>
        <w:t>emiantis aukščiau nagrinėtomis verslo skatinimo programomis bei SVV aktu. Programa</w:t>
      </w:r>
      <w:r w:rsidR="002A14A6" w:rsidRPr="00ED3D25">
        <w:rPr>
          <w:szCs w:val="24"/>
          <w:lang w:val="lt-LT"/>
        </w:rPr>
        <w:t xml:space="preserve"> pasižymi ne finansine paramos</w:t>
      </w:r>
      <w:r w:rsidR="00C742A3" w:rsidRPr="00ED3D25">
        <w:rPr>
          <w:szCs w:val="24"/>
          <w:lang w:val="lt-LT"/>
        </w:rPr>
        <w:t xml:space="preserve"> verslui</w:t>
      </w:r>
      <w:r w:rsidR="00DD2AD5" w:rsidRPr="00ED3D25">
        <w:rPr>
          <w:szCs w:val="24"/>
          <w:lang w:val="lt-LT"/>
        </w:rPr>
        <w:t xml:space="preserve"> forma, o verslininko ugdymu. P</w:t>
      </w:r>
      <w:r w:rsidR="00E307C7" w:rsidRPr="00ED3D25">
        <w:rPr>
          <w:szCs w:val="24"/>
          <w:lang w:val="lt-LT"/>
        </w:rPr>
        <w:t xml:space="preserve">radėta taikyti 2009 m., siekiant paskatinti jaunus verslininkus pradėti verslą </w:t>
      </w:r>
      <w:r w:rsidR="00E307C7" w:rsidRPr="00ED3D25">
        <w:rPr>
          <w:szCs w:val="24"/>
          <w:lang w:val="lt-LT"/>
        </w:rPr>
        <w:lastRenderedPageBreak/>
        <w:t xml:space="preserve">ar jį sėkmingai vystyti, semiantis žinių iš sėkmingiausių Europos verslininkų, dalyvaujančių projekte. Europos Komisija dalinai finansuoja šį projektą, </w:t>
      </w:r>
      <w:r w:rsidR="00EE2B5D" w:rsidRPr="00ED3D25">
        <w:rPr>
          <w:szCs w:val="24"/>
          <w:lang w:val="lt-LT"/>
        </w:rPr>
        <w:t>o m</w:t>
      </w:r>
      <w:r w:rsidR="00E307C7" w:rsidRPr="00ED3D25">
        <w:rPr>
          <w:szCs w:val="24"/>
          <w:lang w:val="lt-LT"/>
        </w:rPr>
        <w:t>ainai suteikia naudos ne tik dalyviui, bet ir pačiam verslininkui, nes užmezgami nauji kontaktai, generuojamos idėjos, naujų partnerių paieška ir daugybė kitų. EK išleistame leidinyje „</w:t>
      </w:r>
      <w:hyperlink r:id="rId16" w:history="1">
        <w:r w:rsidR="00E307C7" w:rsidRPr="00ED3D25">
          <w:rPr>
            <w:rStyle w:val="Hyperlink"/>
            <w:color w:val="auto"/>
            <w:szCs w:val="24"/>
            <w:u w:val="none"/>
            <w:lang w:val="lt-LT"/>
          </w:rPr>
          <w:t>5 Years of Erasmus for Young Entrepreneurs“</w:t>
        </w:r>
      </w:hyperlink>
      <w:r w:rsidR="00E307C7" w:rsidRPr="00ED3D25">
        <w:rPr>
          <w:lang w:val="lt-LT"/>
        </w:rPr>
        <w:t xml:space="preserve"> </w:t>
      </w:r>
      <w:r w:rsidR="00E307C7" w:rsidRPr="00ED3D25">
        <w:rPr>
          <w:szCs w:val="24"/>
          <w:lang w:val="lt-LT"/>
        </w:rPr>
        <w:t>pažymi, kad per penkerius programos gyvavimo metus, dalyvavo 2500 dalyvių</w:t>
      </w:r>
      <w:r w:rsidR="00EE2B5D" w:rsidRPr="00ED3D25">
        <w:rPr>
          <w:szCs w:val="24"/>
          <w:lang w:val="lt-LT"/>
        </w:rPr>
        <w:t xml:space="preserve">. </w:t>
      </w:r>
      <w:r w:rsidR="00E307C7" w:rsidRPr="00ED3D25">
        <w:rPr>
          <w:szCs w:val="24"/>
          <w:lang w:val="lt-LT"/>
        </w:rPr>
        <w:t>Atlikus dalyvių apklausą paaiškėjo, kad 58 proc. apklaustųjų mano, kad ši programa teigiamai paveikė jų verslo p</w:t>
      </w:r>
      <w:r w:rsidR="0043152E">
        <w:rPr>
          <w:szCs w:val="24"/>
          <w:lang w:val="lt-LT"/>
        </w:rPr>
        <w:t>radžią ir sėkmingą jos vystymą.</w:t>
      </w:r>
    </w:p>
    <w:p w:rsidR="00952F45" w:rsidRPr="00ED3D25" w:rsidRDefault="0043152E" w:rsidP="006B01BF">
      <w:pPr>
        <w:tabs>
          <w:tab w:val="left" w:pos="851"/>
        </w:tabs>
        <w:spacing w:after="0"/>
        <w:ind w:firstLine="851"/>
        <w:rPr>
          <w:szCs w:val="24"/>
          <w:lang w:val="lt-LT"/>
        </w:rPr>
      </w:pPr>
      <w:r>
        <w:rPr>
          <w:szCs w:val="24"/>
          <w:lang w:val="lt-LT"/>
        </w:rPr>
        <w:t>Įvertinus ES finansinės ir nefinansinės paramos puses, padaroma išvada, kad</w:t>
      </w:r>
      <w:r w:rsidR="0047372A" w:rsidRPr="00ED3D25">
        <w:rPr>
          <w:szCs w:val="24"/>
          <w:lang w:val="lt-LT"/>
        </w:rPr>
        <w:t xml:space="preserve"> geriausias būdas plėtoti verslą pasitelkiant paramą, nes parama yra investicinio po</w:t>
      </w:r>
      <w:r>
        <w:rPr>
          <w:szCs w:val="24"/>
          <w:lang w:val="lt-LT"/>
        </w:rPr>
        <w:t>būdžio. A</w:t>
      </w:r>
      <w:r w:rsidR="00FD1614" w:rsidRPr="00ED3D25">
        <w:rPr>
          <w:szCs w:val="24"/>
          <w:lang w:val="lt-LT"/>
        </w:rPr>
        <w:t>nksčiau aptartais b</w:t>
      </w:r>
      <w:r w:rsidR="0047372A" w:rsidRPr="00ED3D25">
        <w:rPr>
          <w:szCs w:val="24"/>
          <w:lang w:val="lt-LT"/>
        </w:rPr>
        <w:t>ūdais finansuojamas verslas yra daugiau paskolų forma, kai ją reikia grąžinti. Taip pat ES yra sudariusi sąlygas kaupti žinias verslo pradžiai, kai naudojamasi galimybe išvykti pagal mainų programą. Taip suteikiama galimybė ne tik pažvelgti į kitų vykdomą verslą iš šalies, tačiau ir užmegzti naudingų kontaktų</w:t>
      </w:r>
      <w:r>
        <w:rPr>
          <w:szCs w:val="24"/>
          <w:lang w:val="lt-LT"/>
        </w:rPr>
        <w:t xml:space="preserve"> patiems </w:t>
      </w:r>
      <w:r w:rsidR="00952F45">
        <w:rPr>
          <w:szCs w:val="24"/>
          <w:lang w:val="lt-LT"/>
        </w:rPr>
        <w:t>programos dalyviams</w:t>
      </w:r>
      <w:r w:rsidR="0047372A" w:rsidRPr="00ED3D25">
        <w:rPr>
          <w:szCs w:val="24"/>
          <w:lang w:val="lt-LT"/>
        </w:rPr>
        <w:t>.</w:t>
      </w:r>
    </w:p>
    <w:p w:rsidR="00F25A84" w:rsidRPr="00ED3D25" w:rsidRDefault="004D4703" w:rsidP="006B01BF">
      <w:pPr>
        <w:pStyle w:val="Heading2"/>
        <w:numPr>
          <w:ilvl w:val="1"/>
          <w:numId w:val="20"/>
        </w:numPr>
        <w:spacing w:before="240" w:beforeAutospacing="0" w:after="240" w:afterAutospacing="0" w:line="360" w:lineRule="auto"/>
        <w:rPr>
          <w:sz w:val="22"/>
          <w:szCs w:val="22"/>
          <w:lang w:val="lt-LT"/>
        </w:rPr>
      </w:pPr>
      <w:bookmarkStart w:id="8" w:name="_Toc419534697"/>
      <w:r w:rsidRPr="00ED3D25">
        <w:rPr>
          <w:sz w:val="24"/>
          <w:szCs w:val="24"/>
          <w:lang w:val="lt-LT"/>
        </w:rPr>
        <w:t>Finansinės paramos SVV efektyvumo vertinimas</w:t>
      </w:r>
      <w:bookmarkEnd w:id="8"/>
    </w:p>
    <w:p w:rsidR="00EE2B5D" w:rsidRPr="006B01BF" w:rsidRDefault="0098298A" w:rsidP="006B01BF">
      <w:pPr>
        <w:pStyle w:val="ListParagraph"/>
        <w:tabs>
          <w:tab w:val="left" w:pos="851"/>
        </w:tabs>
        <w:spacing w:before="240" w:after="240"/>
        <w:ind w:left="0" w:firstLine="851"/>
        <w:rPr>
          <w:szCs w:val="24"/>
          <w:lang w:val="lt-LT"/>
        </w:rPr>
      </w:pPr>
      <w:r w:rsidRPr="00ED3D25">
        <w:rPr>
          <w:szCs w:val="24"/>
          <w:lang w:val="lt-LT"/>
        </w:rPr>
        <w:t>ES finansinė parama</w:t>
      </w:r>
      <w:r w:rsidR="00C02D4A" w:rsidRPr="00ED3D25">
        <w:rPr>
          <w:szCs w:val="24"/>
          <w:lang w:val="lt-LT"/>
        </w:rPr>
        <w:t xml:space="preserve"> </w:t>
      </w:r>
      <w:r w:rsidRPr="00ED3D25">
        <w:rPr>
          <w:szCs w:val="24"/>
          <w:lang w:val="lt-LT"/>
        </w:rPr>
        <w:t>skiriama atsižvelgiant</w:t>
      </w:r>
      <w:r w:rsidR="00C02D4A" w:rsidRPr="00ED3D25">
        <w:rPr>
          <w:szCs w:val="24"/>
          <w:lang w:val="lt-LT"/>
        </w:rPr>
        <w:t xml:space="preserve"> į įmonės būklę teikiant paraišką dėl paramos gavimo ir į prognozuojamus metus, </w:t>
      </w:r>
      <w:r w:rsidRPr="00ED3D25">
        <w:rPr>
          <w:szCs w:val="24"/>
          <w:lang w:val="lt-LT"/>
        </w:rPr>
        <w:t xml:space="preserve">t. y. </w:t>
      </w:r>
      <w:r w:rsidR="00C02D4A" w:rsidRPr="00ED3D25">
        <w:rPr>
          <w:szCs w:val="24"/>
          <w:lang w:val="lt-LT"/>
        </w:rPr>
        <w:t>ko tikimasi pasiekti po gautų lėšų įsisavinimo. Tai įvertinama atliekant įmonės efektyvumo rodiklių skaičiavimus. Šie atliekami kasmet, tad sužinoma ar pavyksta laikytis numatytų prognozių kiekvienais metais, ar bus išvengiama</w:t>
      </w:r>
      <w:r w:rsidRPr="00ED3D25">
        <w:rPr>
          <w:szCs w:val="24"/>
          <w:lang w:val="lt-LT"/>
        </w:rPr>
        <w:t xml:space="preserve"> sankcijų ir kitų pasiaiškinimų arba</w:t>
      </w:r>
      <w:r w:rsidR="00C02D4A" w:rsidRPr="00ED3D25">
        <w:rPr>
          <w:szCs w:val="24"/>
          <w:lang w:val="lt-LT"/>
        </w:rPr>
        <w:t xml:space="preserve"> </w:t>
      </w:r>
      <w:r w:rsidRPr="00ED3D25">
        <w:rPr>
          <w:szCs w:val="24"/>
          <w:lang w:val="lt-LT"/>
        </w:rPr>
        <w:t>dėl kokių priežasčių nesilaikoma plano.</w:t>
      </w:r>
      <w:r w:rsidR="00301643">
        <w:rPr>
          <w:szCs w:val="24"/>
          <w:lang w:val="lt-LT"/>
        </w:rPr>
        <w:t xml:space="preserve"> </w:t>
      </w:r>
      <w:r w:rsidR="00C02D4A" w:rsidRPr="00ED3D25">
        <w:rPr>
          <w:szCs w:val="24"/>
          <w:lang w:val="lt-LT"/>
        </w:rPr>
        <w:t>Taip pat finansinė veiklos analizė yra labai svarbi ir pačiai įmonei, taip ji gali stebėti, kaip įmonė veikia konkurencingoje rinkoje. J. M</w:t>
      </w:r>
      <w:r w:rsidR="00301643">
        <w:rPr>
          <w:szCs w:val="24"/>
          <w:lang w:val="lt-LT"/>
        </w:rPr>
        <w:t>ackevičius (2007</w:t>
      </w:r>
      <w:r w:rsidR="00C02D4A" w:rsidRPr="00ED3D25">
        <w:rPr>
          <w:szCs w:val="24"/>
          <w:lang w:val="lt-LT"/>
        </w:rPr>
        <w:t xml:space="preserve">) finansinę analizę išskiria, kaip vieną iš svarbiausių sudedamųjų dalių įmonės valdymo sistemoje (žr. </w:t>
      </w:r>
      <w:r w:rsidRPr="00ED3D25">
        <w:rPr>
          <w:szCs w:val="24"/>
          <w:lang w:val="lt-LT"/>
        </w:rPr>
        <w:t>2</w:t>
      </w:r>
      <w:r w:rsidR="00C02D4A" w:rsidRPr="00ED3D25">
        <w:rPr>
          <w:szCs w:val="24"/>
          <w:lang w:val="lt-LT"/>
        </w:rPr>
        <w:t xml:space="preserve"> paveikslą).</w:t>
      </w:r>
    </w:p>
    <w:p w:rsidR="00C02D4A" w:rsidRPr="00ED3D25" w:rsidRDefault="00E10FAD" w:rsidP="00C02D4A">
      <w:pPr>
        <w:rPr>
          <w:szCs w:val="24"/>
          <w:lang w:val="lt-LT"/>
        </w:rPr>
      </w:pPr>
      <w:r>
        <w:rPr>
          <w:noProof/>
          <w:szCs w:val="24"/>
        </w:rPr>
        <mc:AlternateContent>
          <mc:Choice Requires="wpg">
            <w:drawing>
              <wp:anchor distT="0" distB="0" distL="114300" distR="114300" simplePos="0" relativeHeight="251658240" behindDoc="0" locked="0" layoutInCell="1" allowOverlap="1">
                <wp:simplePos x="0" y="0"/>
                <wp:positionH relativeFrom="column">
                  <wp:posOffset>1216660</wp:posOffset>
                </wp:positionH>
                <wp:positionV relativeFrom="paragraph">
                  <wp:posOffset>114300</wp:posOffset>
                </wp:positionV>
                <wp:extent cx="3742055" cy="2600960"/>
                <wp:effectExtent l="16510" t="19050" r="13335" b="18415"/>
                <wp:wrapNone/>
                <wp:docPr id="22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2055" cy="2600960"/>
                          <a:chOff x="0" y="0"/>
                          <a:chExt cx="37420" cy="27171"/>
                        </a:xfrm>
                      </wpg:grpSpPr>
                      <wpg:grpSp>
                        <wpg:cNvPr id="228" name="Group 99"/>
                        <wpg:cNvGrpSpPr>
                          <a:grpSpLocks/>
                        </wpg:cNvGrpSpPr>
                        <wpg:grpSpPr bwMode="auto">
                          <a:xfrm>
                            <a:off x="0" y="0"/>
                            <a:ext cx="37420" cy="27171"/>
                            <a:chOff x="0" y="0"/>
                            <a:chExt cx="37420" cy="27171"/>
                          </a:xfrm>
                        </wpg:grpSpPr>
                        <wps:wsp>
                          <wps:cNvPr id="229" name="Rectangle 100"/>
                          <wps:cNvSpPr>
                            <a:spLocks noChangeArrowheads="1"/>
                          </wps:cNvSpPr>
                          <wps:spPr bwMode="auto">
                            <a:xfrm>
                              <a:off x="0" y="7600"/>
                              <a:ext cx="14382" cy="5048"/>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6F3D74" w:rsidRDefault="006F3D74" w:rsidP="00C02D4A">
                                <w:pPr>
                                  <w:pStyle w:val="NormalWeb"/>
                                  <w:spacing w:before="0" w:beforeAutospacing="0" w:after="0" w:afterAutospacing="0"/>
                                  <w:jc w:val="center"/>
                                </w:pPr>
                                <w:r>
                                  <w:rPr>
                                    <w:color w:val="000000" w:themeColor="dark1"/>
                                    <w:sz w:val="22"/>
                                    <w:szCs w:val="22"/>
                                    <w:lang w:val="lt-LT"/>
                                  </w:rPr>
                                  <w:t>Planavimas</w:t>
                                </w:r>
                              </w:p>
                            </w:txbxContent>
                          </wps:txbx>
                          <wps:bodyPr rot="0" vert="horz" wrap="square" lIns="91440" tIns="45720" rIns="91440" bIns="45720" anchor="ctr" anchorCtr="0" upright="1">
                            <a:noAutofit/>
                          </wps:bodyPr>
                        </wps:wsp>
                        <wps:wsp>
                          <wps:cNvPr id="230" name="Rectangle 101"/>
                          <wps:cNvSpPr>
                            <a:spLocks noChangeArrowheads="1"/>
                          </wps:cNvSpPr>
                          <wps:spPr bwMode="auto">
                            <a:xfrm>
                              <a:off x="23038" y="7540"/>
                              <a:ext cx="14382" cy="5049"/>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6F3D74" w:rsidRDefault="006F3D74" w:rsidP="00C02D4A">
                                <w:pPr>
                                  <w:pStyle w:val="NormalWeb"/>
                                  <w:spacing w:before="0" w:beforeAutospacing="0" w:after="0" w:afterAutospacing="0"/>
                                  <w:jc w:val="center"/>
                                </w:pPr>
                                <w:r>
                                  <w:rPr>
                                    <w:color w:val="000000" w:themeColor="dark1"/>
                                    <w:sz w:val="22"/>
                                    <w:szCs w:val="22"/>
                                    <w:lang w:val="lt-LT"/>
                                  </w:rPr>
                                  <w:t>Buhalterinė apskaita</w:t>
                                </w:r>
                              </w:p>
                            </w:txbxContent>
                          </wps:txbx>
                          <wps:bodyPr rot="0" vert="horz" wrap="square" lIns="91440" tIns="45720" rIns="91440" bIns="45720" anchor="ctr" anchorCtr="0" upright="1">
                            <a:noAutofit/>
                          </wps:bodyPr>
                        </wps:wsp>
                        <wps:wsp>
                          <wps:cNvPr id="231" name="Rectangle 102"/>
                          <wps:cNvSpPr>
                            <a:spLocks noChangeArrowheads="1"/>
                          </wps:cNvSpPr>
                          <wps:spPr bwMode="auto">
                            <a:xfrm>
                              <a:off x="9619" y="14428"/>
                              <a:ext cx="18076" cy="5323"/>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6F3D74" w:rsidRDefault="006F3D74" w:rsidP="00C02D4A">
                                <w:pPr>
                                  <w:pStyle w:val="NormalWeb"/>
                                  <w:spacing w:before="0" w:beforeAutospacing="0" w:after="0" w:afterAutospacing="0"/>
                                  <w:jc w:val="center"/>
                                </w:pPr>
                                <w:r>
                                  <w:rPr>
                                    <w:color w:val="000000" w:themeColor="dark1"/>
                                    <w:sz w:val="22"/>
                                    <w:szCs w:val="22"/>
                                    <w:lang w:val="lt-LT"/>
                                  </w:rPr>
                                  <w:t>Reguliavimas ir prognozavimas</w:t>
                                </w:r>
                              </w:p>
                            </w:txbxContent>
                          </wps:txbx>
                          <wps:bodyPr rot="0" vert="horz" wrap="square" lIns="91440" tIns="45720" rIns="91440" bIns="45720" anchor="ctr" anchorCtr="0" upright="1">
                            <a:noAutofit/>
                          </wps:bodyPr>
                        </wps:wsp>
                        <wps:wsp>
                          <wps:cNvPr id="232" name="Rectangle 103"/>
                          <wps:cNvSpPr>
                            <a:spLocks noChangeArrowheads="1"/>
                          </wps:cNvSpPr>
                          <wps:spPr bwMode="auto">
                            <a:xfrm>
                              <a:off x="9678" y="21850"/>
                              <a:ext cx="18072" cy="5321"/>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6F3D74" w:rsidRDefault="006F3D74" w:rsidP="00C02D4A">
                                <w:pPr>
                                  <w:pStyle w:val="NormalWeb"/>
                                  <w:spacing w:before="0" w:beforeAutospacing="0" w:after="0" w:afterAutospacing="0"/>
                                  <w:jc w:val="center"/>
                                </w:pPr>
                                <w:r>
                                  <w:rPr>
                                    <w:color w:val="000000" w:themeColor="dark1"/>
                                    <w:sz w:val="22"/>
                                    <w:szCs w:val="22"/>
                                    <w:lang w:val="lt-LT"/>
                                  </w:rPr>
                                  <w:t>Veiklos analizė</w:t>
                                </w:r>
                              </w:p>
                            </w:txbxContent>
                          </wps:txbx>
                          <wps:bodyPr rot="0" vert="horz" wrap="square" lIns="91440" tIns="45720" rIns="91440" bIns="45720" anchor="ctr" anchorCtr="0" upright="1">
                            <a:noAutofit/>
                          </wps:bodyPr>
                        </wps:wsp>
                        <wps:wsp>
                          <wps:cNvPr id="233" name="Straight Connector 104"/>
                          <wps:cNvCnPr/>
                          <wps:spPr bwMode="auto">
                            <a:xfrm>
                              <a:off x="29332" y="2315"/>
                              <a:ext cx="2863" cy="0"/>
                            </a:xfrm>
                            <a:prstGeom prst="line">
                              <a:avLst/>
                            </a:prstGeom>
                            <a:noFill/>
                            <a:ln w="9525">
                              <a:solidFill>
                                <a:schemeClr val="tx1">
                                  <a:lumMod val="100000"/>
                                  <a:lumOff val="0"/>
                                </a:schemeClr>
                              </a:solidFill>
                              <a:prstDash val="sysDash"/>
                              <a:round/>
                              <a:headEnd/>
                              <a:tailEnd/>
                            </a:ln>
                            <a:extLst>
                              <a:ext uri="{909E8E84-426E-40DD-AFC4-6F175D3DCCD1}">
                                <a14:hiddenFill xmlns:a14="http://schemas.microsoft.com/office/drawing/2010/main">
                                  <a:noFill/>
                                </a14:hiddenFill>
                              </a:ext>
                            </a:extLst>
                          </wps:spPr>
                          <wps:bodyPr/>
                        </wps:wsp>
                        <wps:wsp>
                          <wps:cNvPr id="234" name="Straight Connector 105"/>
                          <wps:cNvCnPr/>
                          <wps:spPr bwMode="auto">
                            <a:xfrm>
                              <a:off x="5818" y="2315"/>
                              <a:ext cx="2858" cy="0"/>
                            </a:xfrm>
                            <a:prstGeom prst="line">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35" name="Straight Arrow Connector 106"/>
                          <wps:cNvCnPr>
                            <a:cxnSpLocks noChangeShapeType="1"/>
                          </wps:cNvCnPr>
                          <wps:spPr bwMode="auto">
                            <a:xfrm>
                              <a:off x="32182" y="2256"/>
                              <a:ext cx="0" cy="5275"/>
                            </a:xfrm>
                            <a:prstGeom prst="straightConnector1">
                              <a:avLst/>
                            </a:prstGeom>
                            <a:noFill/>
                            <a:ln w="9525">
                              <a:solidFill>
                                <a:schemeClr val="tx1">
                                  <a:lumMod val="100000"/>
                                  <a:lumOff val="0"/>
                                </a:schemeClr>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236" name="Straight Connector 107"/>
                          <wps:cNvCnPr/>
                          <wps:spPr bwMode="auto">
                            <a:xfrm>
                              <a:off x="5818" y="2256"/>
                              <a:ext cx="0" cy="5325"/>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37" name="Rectangle 108"/>
                          <wps:cNvSpPr>
                            <a:spLocks noChangeArrowheads="1"/>
                          </wps:cNvSpPr>
                          <wps:spPr bwMode="auto">
                            <a:xfrm>
                              <a:off x="8668" y="0"/>
                              <a:ext cx="20670" cy="4857"/>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6F3D74" w:rsidRDefault="006F3D74" w:rsidP="00C02D4A">
                                <w:pPr>
                                  <w:pStyle w:val="NormalWeb"/>
                                  <w:spacing w:before="0" w:beforeAutospacing="0" w:after="0" w:afterAutospacing="0" w:line="276" w:lineRule="auto"/>
                                  <w:jc w:val="center"/>
                                  <w:rPr>
                                    <w:rFonts w:eastAsia="Times New Roman"/>
                                    <w:color w:val="000000" w:themeColor="dark1"/>
                                    <w:sz w:val="22"/>
                                    <w:szCs w:val="22"/>
                                    <w:lang w:val="lt-LT"/>
                                  </w:rPr>
                                </w:pPr>
                                <w:r>
                                  <w:rPr>
                                    <w:rFonts w:eastAsia="Times New Roman"/>
                                    <w:color w:val="000000" w:themeColor="dark1"/>
                                    <w:sz w:val="22"/>
                                    <w:szCs w:val="22"/>
                                    <w:lang w:val="lt-LT"/>
                                  </w:rPr>
                                  <w:t>Veiklos objektas:</w:t>
                                </w:r>
                              </w:p>
                              <w:p w:rsidR="006F3D74" w:rsidRDefault="006F3D74" w:rsidP="00C02D4A">
                                <w:pPr>
                                  <w:pStyle w:val="NormalWeb"/>
                                  <w:spacing w:before="0" w:beforeAutospacing="0" w:after="0" w:afterAutospacing="0" w:line="276" w:lineRule="auto"/>
                                  <w:jc w:val="center"/>
                                </w:pPr>
                                <w:r>
                                  <w:rPr>
                                    <w:rFonts w:eastAsia="Times New Roman"/>
                                    <w:color w:val="000000" w:themeColor="dark1"/>
                                    <w:sz w:val="22"/>
                                    <w:szCs w:val="22"/>
                                    <w:lang w:val="lt-LT"/>
                                  </w:rPr>
                                  <w:t xml:space="preserve"> įmonės veikla</w:t>
                                </w:r>
                              </w:p>
                            </w:txbxContent>
                          </wps:txbx>
                          <wps:bodyPr rot="0" vert="horz" wrap="square" lIns="91440" tIns="45720" rIns="91440" bIns="45720" anchor="ctr" anchorCtr="0" upright="1">
                            <a:noAutofit/>
                          </wps:bodyPr>
                        </wps:wsp>
                        <wps:wsp>
                          <wps:cNvPr id="238" name="Straight Arrow Connector 109"/>
                          <wps:cNvCnPr>
                            <a:cxnSpLocks noChangeShapeType="1"/>
                          </wps:cNvCnPr>
                          <wps:spPr bwMode="auto">
                            <a:xfrm flipH="1">
                              <a:off x="27728" y="24760"/>
                              <a:ext cx="4409" cy="77"/>
                            </a:xfrm>
                            <a:prstGeom prst="straightConnector1">
                              <a:avLst/>
                            </a:prstGeom>
                            <a:noFill/>
                            <a:ln w="9525">
                              <a:solidFill>
                                <a:schemeClr val="tx1">
                                  <a:lumMod val="100000"/>
                                  <a:lumOff val="0"/>
                                </a:schemeClr>
                              </a:solidFill>
                              <a:prstDash val="sysDash"/>
                              <a:round/>
                              <a:headEnd/>
                              <a:tailEnd type="triangle" w="med" len="med"/>
                            </a:ln>
                            <a:extLst>
                              <a:ext uri="{909E8E84-426E-40DD-AFC4-6F175D3DCCD1}">
                                <a14:hiddenFill xmlns:a14="http://schemas.microsoft.com/office/drawing/2010/main">
                                  <a:noFill/>
                                </a14:hiddenFill>
                              </a:ext>
                            </a:extLst>
                          </wps:spPr>
                          <wps:bodyPr/>
                        </wps:wsp>
                      </wpg:grpSp>
                      <wpg:grpSp>
                        <wpg:cNvPr id="239" name="Group 110"/>
                        <wpg:cNvGrpSpPr>
                          <a:grpSpLocks/>
                        </wpg:cNvGrpSpPr>
                        <wpg:grpSpPr bwMode="auto">
                          <a:xfrm>
                            <a:off x="2315" y="4866"/>
                            <a:ext cx="29749" cy="21143"/>
                            <a:chOff x="2315" y="4866"/>
                            <a:chExt cx="29748" cy="21142"/>
                          </a:xfrm>
                        </wpg:grpSpPr>
                        <wps:wsp>
                          <wps:cNvPr id="240" name="Straight Connector 111"/>
                          <wps:cNvCnPr/>
                          <wps:spPr bwMode="auto">
                            <a:xfrm>
                              <a:off x="18807" y="4866"/>
                              <a:ext cx="0" cy="9562"/>
                            </a:xfrm>
                            <a:prstGeom prst="line">
                              <a:avLst/>
                            </a:prstGeom>
                            <a:noFill/>
                            <a:ln w="9525">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241" name="Straight Connector 112"/>
                          <wps:cNvCnPr/>
                          <wps:spPr bwMode="auto">
                            <a:xfrm>
                              <a:off x="5681" y="12467"/>
                              <a:ext cx="0" cy="12235"/>
                            </a:xfrm>
                            <a:prstGeom prst="line">
                              <a:avLst/>
                            </a:prstGeom>
                            <a:noFill/>
                            <a:ln w="9525">
                              <a:solidFill>
                                <a:schemeClr val="tx1">
                                  <a:lumMod val="100000"/>
                                  <a:lumOff val="0"/>
                                </a:schemeClr>
                              </a:solidFill>
                              <a:prstDash val="sysDash"/>
                              <a:round/>
                              <a:headEnd/>
                              <a:tailEnd/>
                            </a:ln>
                            <a:extLst>
                              <a:ext uri="{909E8E84-426E-40DD-AFC4-6F175D3DCCD1}">
                                <a14:hiddenFill xmlns:a14="http://schemas.microsoft.com/office/drawing/2010/main">
                                  <a:noFill/>
                                </a14:hiddenFill>
                              </a:ext>
                            </a:extLst>
                          </wps:spPr>
                          <wps:bodyPr/>
                        </wps:wsp>
                        <wps:wsp>
                          <wps:cNvPr id="242" name="Straight Connector 113"/>
                          <wps:cNvCnPr/>
                          <wps:spPr bwMode="auto">
                            <a:xfrm>
                              <a:off x="2315" y="12648"/>
                              <a:ext cx="0" cy="1336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59" name="Straight Connector 114"/>
                          <wps:cNvCnPr/>
                          <wps:spPr bwMode="auto">
                            <a:xfrm>
                              <a:off x="18784" y="19573"/>
                              <a:ext cx="0" cy="2064"/>
                            </a:xfrm>
                            <a:prstGeom prst="line">
                              <a:avLst/>
                            </a:prstGeom>
                            <a:noFill/>
                            <a:ln w="9525">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260" name="Straight Connector 115"/>
                          <wps:cNvCnPr/>
                          <wps:spPr bwMode="auto">
                            <a:xfrm>
                              <a:off x="32064" y="12417"/>
                              <a:ext cx="0" cy="12230"/>
                            </a:xfrm>
                            <a:prstGeom prst="line">
                              <a:avLst/>
                            </a:prstGeom>
                            <a:noFill/>
                            <a:ln w="9525">
                              <a:solidFill>
                                <a:schemeClr val="tx1">
                                  <a:lumMod val="100000"/>
                                  <a:lumOff val="0"/>
                                </a:schemeClr>
                              </a:solidFill>
                              <a:prstDash val="sysDash"/>
                              <a:round/>
                              <a:headEnd/>
                              <a:tailEnd/>
                            </a:ln>
                            <a:extLst>
                              <a:ext uri="{909E8E84-426E-40DD-AFC4-6F175D3DCCD1}">
                                <a14:hiddenFill xmlns:a14="http://schemas.microsoft.com/office/drawing/2010/main">
                                  <a:noFill/>
                                </a14:hiddenFill>
                              </a:ext>
                            </a:extLst>
                          </wps:spPr>
                          <wps:bodyPr/>
                        </wps:wsp>
                        <wps:wsp>
                          <wps:cNvPr id="261" name="Straight Connector 116"/>
                          <wps:cNvCnPr/>
                          <wps:spPr bwMode="auto">
                            <a:xfrm flipH="1" flipV="1">
                              <a:off x="5681" y="24728"/>
                              <a:ext cx="3783" cy="0"/>
                            </a:xfrm>
                            <a:prstGeom prst="line">
                              <a:avLst/>
                            </a:prstGeom>
                            <a:noFill/>
                            <a:ln w="9525">
                              <a:solidFill>
                                <a:schemeClr val="tx1">
                                  <a:lumMod val="100000"/>
                                  <a:lumOff val="0"/>
                                </a:schemeClr>
                              </a:solidFill>
                              <a:prstDash val="sysDash"/>
                              <a:round/>
                              <a:headEnd type="triangle" w="med" len="med"/>
                              <a:tailEnd/>
                            </a:ln>
                            <a:extLst>
                              <a:ext uri="{909E8E84-426E-40DD-AFC4-6F175D3DCCD1}">
                                <a14:hiddenFill xmlns:a14="http://schemas.microsoft.com/office/drawing/2010/main">
                                  <a:noFill/>
                                </a14:hiddenFill>
                              </a:ext>
                            </a:extLst>
                          </wps:spPr>
                          <wps:bodyPr/>
                        </wps:wsp>
                        <wps:wsp>
                          <wps:cNvPr id="262" name="Straight Connector 117"/>
                          <wps:cNvCnPr/>
                          <wps:spPr bwMode="auto">
                            <a:xfrm flipH="1" flipV="1">
                              <a:off x="2315" y="26008"/>
                              <a:ext cx="7252" cy="1"/>
                            </a:xfrm>
                            <a:prstGeom prst="line">
                              <a:avLst/>
                            </a:prstGeom>
                            <a:noFill/>
                            <a:ln w="9525">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46" o:spid="_x0000_s1026" style="position:absolute;left:0;text-align:left;margin-left:95.8pt;margin-top:9pt;width:294.65pt;height:204.8pt;z-index:251658240" coordsize="37420,2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">
                <v:group id="Group 99" o:spid="_x0000_s1027" style="position:absolute;width:37420;height:27171" coordsize="37420,27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rect id="Rectangle 100" o:spid="_x0000_s1028" style="position:absolute;top:7600;width:14382;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mAMMA&#10;AADcAAAADwAAAGRycy9kb3ducmV2LnhtbESPQYvCMBSE7wv+h/CEva2pPYhWo0hBVtyTVQ/eHs2z&#10;LTYvpcnWdn/9RhA8DjPzDbPa9KYWHbWusqxgOolAEOdWV1woOJ92X3MQziNrrC2TgoEcbNajjxUm&#10;2j74SF3mCxEg7BJUUHrfJFK6vCSDbmIb4uDdbGvQB9kWUrf4CHBTyziKZtJgxWGhxIbSkvJ79msU&#10;/AzSd+fLbPHXpdWgs2v6faBUqc9xv12C8NT7d/jV3msFcbyA55lw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mAMMAAADcAAAADwAAAAAAAAAAAAAAAACYAgAAZHJzL2Rv&#10;d25yZXYueG1sUEsFBgAAAAAEAAQA9QAAAIgDAAAAAA==&#10;" fillcolor="white [3201]" strokecolor="black [3200]" strokeweight="2pt">
                    <v:textbox>
                      <w:txbxContent>
                        <w:p w:rsidR="006F3D74" w:rsidRDefault="006F3D74" w:rsidP="00C02D4A">
                          <w:pPr>
                            <w:pStyle w:val="NormalWeb"/>
                            <w:spacing w:before="0" w:beforeAutospacing="0" w:after="0" w:afterAutospacing="0"/>
                            <w:jc w:val="center"/>
                          </w:pPr>
                          <w:r>
                            <w:rPr>
                              <w:color w:val="000000" w:themeColor="dark1"/>
                              <w:sz w:val="22"/>
                              <w:szCs w:val="22"/>
                              <w:lang w:val="lt-LT"/>
                            </w:rPr>
                            <w:t>Planavimas</w:t>
                          </w:r>
                        </w:p>
                      </w:txbxContent>
                    </v:textbox>
                  </v:rect>
                  <v:rect id="Rectangle 101" o:spid="_x0000_s1029" style="position:absolute;left:23038;top:7540;width:14382;height:5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1ZQMIA&#10;AADcAAAADwAAAGRycy9kb3ducmV2LnhtbERPPWvDMBDdA/kP4gLdYrkphMS1EoqhtDRTHWfodlhX&#10;29Q6GUl17P76aChkfLzv/DiZXozkfGdZwWOSgiCure64UVCdX9c7ED4ga+wtk4KZPBwPy0WOmbZX&#10;/qSxDI2IIewzVNCGMGRS+rolgz6xA3Hkvq0zGCJ0jdQOrzHc9HKTpltpsOPY0OJARUv1T/lrFJxm&#10;Gcbqst3/jUU36/KrePugQqmH1fTyDCLQFO7if/e7VrB5ivPjmXgE5OE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DVlAwgAAANwAAAAPAAAAAAAAAAAAAAAAAJgCAABkcnMvZG93&#10;bnJldi54bWxQSwUGAAAAAAQABAD1AAAAhwMAAAAA&#10;" fillcolor="white [3201]" strokecolor="black [3200]" strokeweight="2pt">
                    <v:textbox>
                      <w:txbxContent>
                        <w:p w:rsidR="006F3D74" w:rsidRDefault="006F3D74" w:rsidP="00C02D4A">
                          <w:pPr>
                            <w:pStyle w:val="NormalWeb"/>
                            <w:spacing w:before="0" w:beforeAutospacing="0" w:after="0" w:afterAutospacing="0"/>
                            <w:jc w:val="center"/>
                          </w:pPr>
                          <w:r>
                            <w:rPr>
                              <w:color w:val="000000" w:themeColor="dark1"/>
                              <w:sz w:val="22"/>
                              <w:szCs w:val="22"/>
                              <w:lang w:val="lt-LT"/>
                            </w:rPr>
                            <w:t>Buhalterinė apskaita</w:t>
                          </w:r>
                        </w:p>
                      </w:txbxContent>
                    </v:textbox>
                  </v:rect>
                  <v:rect id="Rectangle 102" o:spid="_x0000_s1030" style="position:absolute;left:9619;top:14428;width:18076;height:53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H828QA&#10;AADcAAAADwAAAGRycy9kb3ducmV2LnhtbESPQYvCMBSE7wv+h/AEb2uqgqzVKFKQFT1t1YO3R/Ns&#10;i81LabK19dcbYWGPw8x8w6w2nalES40rLSuYjCMQxJnVJecKzqfd5xcI55E1VpZJQU8ONuvBxwpj&#10;bR/8Q23qcxEg7GJUUHhfx1K6rCCDbmxr4uDdbGPQB9nkUjf4CHBTyWkUzaXBksNCgTUlBWX39Nco&#10;OPbSt+fLfPFsk7LX6TX5PlCi1GjYbZcgPHX+P/zX3msF09kE3mfC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B/NvEAAAA3AAAAA8AAAAAAAAAAAAAAAAAmAIAAGRycy9k&#10;b3ducmV2LnhtbFBLBQYAAAAABAAEAPUAAACJAwAAAAA=&#10;" fillcolor="white [3201]" strokecolor="black [3200]" strokeweight="2pt">
                    <v:textbox>
                      <w:txbxContent>
                        <w:p w:rsidR="006F3D74" w:rsidRDefault="006F3D74" w:rsidP="00C02D4A">
                          <w:pPr>
                            <w:pStyle w:val="NormalWeb"/>
                            <w:spacing w:before="0" w:beforeAutospacing="0" w:after="0" w:afterAutospacing="0"/>
                            <w:jc w:val="center"/>
                          </w:pPr>
                          <w:r>
                            <w:rPr>
                              <w:color w:val="000000" w:themeColor="dark1"/>
                              <w:sz w:val="22"/>
                              <w:szCs w:val="22"/>
                              <w:lang w:val="lt-LT"/>
                            </w:rPr>
                            <w:t>Reguliavimas ir prognozavimas</w:t>
                          </w:r>
                        </w:p>
                      </w:txbxContent>
                    </v:textbox>
                  </v:rect>
                  <v:rect id="Rectangle 103" o:spid="_x0000_s1031" style="position:absolute;left:9678;top:21850;width:18072;height:5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NirMQA&#10;AADcAAAADwAAAGRycy9kb3ducmV2LnhtbESPQWvCQBSE7wX/w/IEb3VjBKnRVSQgFXtq1IO3R/aZ&#10;BLNvQ3YbE3+9Wyj0OMzMN8x625tadNS6yrKC2TQCQZxbXXGh4Hzav3+AcB5ZY22ZFAzkYLsZva0x&#10;0fbB39RlvhABwi5BBaX3TSKly0sy6Ka2IQ7ezbYGfZBtIXWLjwA3tYyjaCENVhwWSmwoLSm/Zz9G&#10;wdcgfXe+LJbPLq0GnV3TzyOlSk3G/W4FwlPv/8N/7YNWEM9j+D0TjoD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TYqzEAAAA3AAAAA8AAAAAAAAAAAAAAAAAmAIAAGRycy9k&#10;b3ducmV2LnhtbFBLBQYAAAAABAAEAPUAAACJAwAAAAA=&#10;" fillcolor="white [3201]" strokecolor="black [3200]" strokeweight="2pt">
                    <v:textbox>
                      <w:txbxContent>
                        <w:p w:rsidR="006F3D74" w:rsidRDefault="006F3D74" w:rsidP="00C02D4A">
                          <w:pPr>
                            <w:pStyle w:val="NormalWeb"/>
                            <w:spacing w:before="0" w:beforeAutospacing="0" w:after="0" w:afterAutospacing="0"/>
                            <w:jc w:val="center"/>
                          </w:pPr>
                          <w:r>
                            <w:rPr>
                              <w:color w:val="000000" w:themeColor="dark1"/>
                              <w:sz w:val="22"/>
                              <w:szCs w:val="22"/>
                              <w:lang w:val="lt-LT"/>
                            </w:rPr>
                            <w:t>Veiklos analizė</w:t>
                          </w:r>
                        </w:p>
                      </w:txbxContent>
                    </v:textbox>
                  </v:rect>
                  <v:line id="Straight Connector 104" o:spid="_x0000_s1032" style="position:absolute;visibility:visible;mso-wrap-style:square" from="29332,2315" to="32195,2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YT18UAAADcAAAADwAAAGRycy9kb3ducmV2LnhtbESPT2sCMRTE7wW/Q3iFXqRmu4LIahQR&#10;FE/FP6XS22Pz3CzdvCxJ1K2f3ghCj8PM/IaZzjvbiAv5UDtW8DHIQBCXTtdcKfg6rN7HIEJE1tg4&#10;JgV/FGA+671MsdDuyju67GMlEoRDgQpMjG0hZSgNWQwD1xIn7+S8xZikr6T2eE1w28g8y0bSYs1p&#10;wWBLS0Pl7/5sE2VxXI6N+Vx/+1u/OW/WnP9sj0q9vXaLCYhIXfwPP9sbrSAfDuFxJh0BO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YT18UAAADcAAAADwAAAAAAAAAA&#10;AAAAAAChAgAAZHJzL2Rvd25yZXYueG1sUEsFBgAAAAAEAAQA+QAAAJMDAAAAAA==&#10;" strokecolor="black [3213]">
                    <v:stroke dashstyle="3 1"/>
                  </v:line>
                  <v:line id="Straight Connector 105" o:spid="_x0000_s1033" style="position:absolute;visibility:visible;mso-wrap-style:square" from="5818,2315" to="8676,2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o2x8QAAADcAAAADwAAAGRycy9kb3ducmV2LnhtbESPT2vCQBTE7wW/w/IEb83Gf1Wiq4ho&#10;9SQ0lp4f2dckNfs2ZLdJ/PauUOhxmJnfMOttbyrRUuNKywrGUQyCOLO65FzB5/X4ugThPLLGyjIp&#10;uJOD7WbwssZE244/qE19LgKEXYIKCu/rREqXFWTQRbYmDt63bQz6IJtc6ga7ADeVnMTxmzRYclgo&#10;sKZ9Qdkt/TUK3hfHw3QxN195f61OPjvR7PxzUWo07HcrEJ56/x/+a5+1gsl0Bs8z4QjIz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6jbHxAAAANwAAAAPAAAAAAAAAAAA&#10;AAAAAKECAABkcnMvZG93bnJldi54bWxQSwUGAAAAAAQABAD5AAAAkgMAAAAA&#10;" strokecolor="black [3213]">
                    <v:stroke endarrow="block"/>
                  </v:line>
                  <v:shapetype id="_x0000_t32" coordsize="21600,21600" o:spt="32" o:oned="t" path="m,l21600,21600e" filled="f">
                    <v:path arrowok="t" fillok="f" o:connecttype="none"/>
                    <o:lock v:ext="edit" shapetype="t"/>
                  </v:shapetype>
                  <v:shape id="Straight Arrow Connector 106" o:spid="_x0000_s1034" type="#_x0000_t32" style="position:absolute;left:32182;top:2256;width:0;height:52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FWJMYAAADcAAAADwAAAGRycy9kb3ducmV2LnhtbESP3YrCMBSE7xd8h3AEbxZNV/GHahRZ&#10;WXRRBH8e4Ngc22JzUpqsVp/eLAheDjPzDTOZ1aYQV6pcblnBVycCQZxYnXOq4Hj4aY9AOI+ssbBM&#10;Cu7kYDZtfEww1vbGO7rufSoChF2MCjLvy1hKl2Rk0HVsSRy8s60M+iCrVOoKbwFuCtmNooE0mHNY&#10;yLCk74ySy/7PKNisttFpvShHdmh+i8/5picf+VKpVrOej0F4qv07/GqvtIJurw//Z8IRkNM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BViTGAAAA3AAAAA8AAAAAAAAA&#10;AAAAAAAAoQIAAGRycy9kb3ducmV2LnhtbFBLBQYAAAAABAAEAPkAAACUAwAAAAA=&#10;" strokecolor="black [3213]">
                    <v:stroke dashstyle="3 1" endarrow="block"/>
                  </v:shape>
                  <v:line id="Straight Connector 107" o:spid="_x0000_s1035" style="position:absolute;visibility:visible;mso-wrap-style:square" from="5818,2256" to="5818,7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yaVsYAAADcAAAADwAAAGRycy9kb3ducmV2LnhtbESPQWvCQBSE74X+h+UVeqsbU5pIdJVQ&#10;EGp7qlW8PrLPJDb7NuxuY/TXu4VCj8PMfMMsVqPpxEDOt5YVTCcJCOLK6pZrBbuv9dMMhA/IGjvL&#10;pOBCHlbL+7sFFtqe+ZOGbahFhLAvUEETQl9I6auGDPqJ7Ymjd7TOYIjS1VI7PEe46WSaJJk02HJc&#10;aLCn14aq7+2PUTCr3k+uzMvN9GXf59ch/cjWh1ypx4exnIMINIb/8F/7TStInzP4PR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7MmlbGAAAA3AAAAA8AAAAAAAAA&#10;AAAAAAAAoQIAAGRycy9kb3ducmV2LnhtbFBLBQYAAAAABAAEAPkAAACUAwAAAAA=&#10;" strokecolor="black [3213]"/>
                  <v:rect id="Rectangle 108" o:spid="_x0000_s1036" style="position:absolute;left:8668;width:20670;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TBNMUA&#10;AADcAAAADwAAAGRycy9kb3ducmV2LnhtbESPT2vCQBTE70K/w/IKvemmCv6JrlICYmlPxnjw9sg+&#10;k2D2bciuMemn7xYKHoeZ+Q2z2fWmFh21rrKs4H0SgSDOra64UJCd9uMlCOeRNdaWScFADnbbl9EG&#10;Y20ffKQu9YUIEHYxKii9b2IpXV6SQTexDXHwrrY16INsC6lbfAS4qeU0iubSYMVhocSGkpLyW3o3&#10;Cr4H6bvsPF/9dEk16PSSHL4oUerttf9Yg/DU+2f4v/2pFUxnC/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5ME0xQAAANwAAAAPAAAAAAAAAAAAAAAAAJgCAABkcnMv&#10;ZG93bnJldi54bWxQSwUGAAAAAAQABAD1AAAAigMAAAAA&#10;" fillcolor="white [3201]" strokecolor="black [3200]" strokeweight="2pt">
                    <v:textbox>
                      <w:txbxContent>
                        <w:p w:rsidR="006F3D74" w:rsidRDefault="006F3D74" w:rsidP="00C02D4A">
                          <w:pPr>
                            <w:pStyle w:val="NormalWeb"/>
                            <w:spacing w:before="0" w:beforeAutospacing="0" w:after="0" w:afterAutospacing="0" w:line="276" w:lineRule="auto"/>
                            <w:jc w:val="center"/>
                            <w:rPr>
                              <w:rFonts w:eastAsia="Times New Roman"/>
                              <w:color w:val="000000" w:themeColor="dark1"/>
                              <w:sz w:val="22"/>
                              <w:szCs w:val="22"/>
                              <w:lang w:val="lt-LT"/>
                            </w:rPr>
                          </w:pPr>
                          <w:r>
                            <w:rPr>
                              <w:rFonts w:eastAsia="Times New Roman"/>
                              <w:color w:val="000000" w:themeColor="dark1"/>
                              <w:sz w:val="22"/>
                              <w:szCs w:val="22"/>
                              <w:lang w:val="lt-LT"/>
                            </w:rPr>
                            <w:t>Veiklos objektas:</w:t>
                          </w:r>
                        </w:p>
                        <w:p w:rsidR="006F3D74" w:rsidRDefault="006F3D74" w:rsidP="00C02D4A">
                          <w:pPr>
                            <w:pStyle w:val="NormalWeb"/>
                            <w:spacing w:before="0" w:beforeAutospacing="0" w:after="0" w:afterAutospacing="0" w:line="276" w:lineRule="auto"/>
                            <w:jc w:val="center"/>
                          </w:pPr>
                          <w:r>
                            <w:rPr>
                              <w:rFonts w:eastAsia="Times New Roman"/>
                              <w:color w:val="000000" w:themeColor="dark1"/>
                              <w:sz w:val="22"/>
                              <w:szCs w:val="22"/>
                              <w:lang w:val="lt-LT"/>
                            </w:rPr>
                            <w:t xml:space="preserve"> įmonės veikla</w:t>
                          </w:r>
                        </w:p>
                      </w:txbxContent>
                    </v:textbox>
                  </v:rect>
                  <v:shape id="Straight Arrow Connector 109" o:spid="_x0000_s1037" type="#_x0000_t32" style="position:absolute;left:27728;top:24760;width:4409;height: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c6A8IAAADcAAAADwAAAGRycy9kb3ducmV2LnhtbERPz2vCMBS+D/Y/hDfYbaZTHK4zLUMR&#10;9CKsjrHjo3lrSpuXkkSt++vNQfD48f1elqPtxYl8aB0reJ1kIIhrp1tuFHwfNi8LECEia+wdk4IL&#10;BSiLx4cl5tqd+YtOVWxECuGQowIT45BLGWpDFsPEDcSJ+3PeYkzQN1J7PKdw28tplr1Jiy2nBoMD&#10;rQzVXXW0CtYdN/7d7nfd0dTbsfq1/5f5j1LPT+PnB4hIY7yLb+6tVjCdpbXpTDoCsrg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Xc6A8IAAADcAAAADwAAAAAAAAAAAAAA&#10;AAChAgAAZHJzL2Rvd25yZXYueG1sUEsFBgAAAAAEAAQA+QAAAJADAAAAAA==&#10;" strokecolor="black [3213]">
                    <v:stroke dashstyle="3 1" endarrow="block"/>
                  </v:shape>
                </v:group>
                <v:group id="Group 110" o:spid="_x0000_s1038" style="position:absolute;left:2315;top:4866;width:29749;height:21143" coordorigin="2315,4866" coordsize="29748,21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line id="Straight Connector 111" o:spid="_x0000_s1039" style="position:absolute;visibility:visible;mso-wrap-style:square" from="18807,4866" to="18807,14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NYXcIAAADcAAAADwAAAGRycy9kb3ducmV2LnhtbERP3WrCMBS+H+wdwhnsZqzpimyjNsqQ&#10;TYVd2e4BDsmxLTYnpcm07dObC8HLj++/WI+2E2cafOtYwVuSgiDWzrRcK/irfl4/QfiAbLBzTAom&#10;8rBePT4UmBt34QOdy1CLGMI+RwVNCH0updcNWfSJ64kjd3SDxRDhUEsz4CWG205mafouLbYcGxrs&#10;adOQPpX/VsFJ715oSx9zWfnN/nv+9dNktFLPT+PXEkSgMdzFN/feKMgWcX48E4+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NYXcIAAADcAAAADwAAAAAAAAAAAAAA&#10;AAChAgAAZHJzL2Rvd25yZXYueG1sUEsFBgAAAAAEAAQA+QAAAJADAAAAAA==&#10;" strokecolor="black [3213]">
                    <v:stroke startarrow="block"/>
                  </v:line>
                  <v:line id="Straight Connector 112" o:spid="_x0000_s1040" style="position:absolute;visibility:visible;mso-wrap-style:square" from="5681,12467" to="5681,24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5bRsUAAADcAAAADwAAAGRycy9kb3ducmV2LnhtbESPT2sCMRTE70K/Q3gFL0WzLqXIahQR&#10;Kp6k/kHx9tg8N0s3L0sSddtPbwoFj8PM/IaZzjvbiBv5UDtWMBpmIIhLp2uuFBz2n4MxiBCRNTaO&#10;ScEPBZjPXnpTLLS785Zuu1iJBOFQoAITY1tIGUpDFsPQtcTJuzhvMSbpK6k93hPcNjLPsg9psea0&#10;YLClpaHye3e1ibI4LcfGbFZH//vWXNcrzs9fJ6X6r91iAiJSF5/h//ZaK8jfR/B3Jh0BO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35bRsUAAADcAAAADwAAAAAAAAAA&#10;AAAAAAChAgAAZHJzL2Rvd25yZXYueG1sUEsFBgAAAAAEAAQA+QAAAJMDAAAAAA==&#10;" strokecolor="black [3213]">
                    <v:stroke dashstyle="3 1"/>
                  </v:line>
                  <v:line id="Straight Connector 113" o:spid="_x0000_s1041" style="position:absolute;visibility:visible;mso-wrap-style:square" from="2315,12648" to="2315,26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HvKMYAAADcAAAADwAAAGRycy9kb3ducmV2LnhtbESPQWvCQBSE7wX/w/KE3urG0BpJXSUI&#10;Qq0ntaXXR/Y1Sc2+DbvbGPvru4LgcZiZb5jFajCt6Mn5xrKC6SQBQVxa3XCl4OO4eZqD8AFZY2uZ&#10;FFzIw2o5elhgru2Z99QfQiUihH2OCuoQulxKX9Zk0E9sRxy9b+sMhihdJbXDc4SbVqZJMpMGG44L&#10;NXa0rqk8HX6Ngnn5/uOKrNhOXz677K9Pd7PNV6bU43goXkEEGsI9fGu/aQXpcwrXM/EI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x7yjGAAAA3AAAAA8AAAAAAAAA&#10;AAAAAAAAoQIAAGRycy9kb3ducmV2LnhtbFBLBQYAAAAABAAEAPkAAACUAwAAAAA=&#10;" strokecolor="black [3213]"/>
                  <v:line id="Straight Connector 114" o:spid="_x0000_s1042" style="position:absolute;visibility:visible;mso-wrap-style:square" from="18784,19573" to="18784,21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BnHcUAAADcAAAADwAAAGRycy9kb3ducmV2LnhtbESP0WrCQBRE3wX/YblCX0rdKFjb1I2I&#10;tFbwyaQfcNm9TUKyd0N2q4lf3y0UfBxm5gyz2Q62FRfqfe1YwWKegCDWztRcKvgqPp5eQPiAbLB1&#10;TApG8rDNppMNpsZd+UyXPJQiQtinqKAKoUul9Loii37uOuLofbveYoiyL6Xp8RrhtpXLJHmWFmuO&#10;CxV2tK9IN/mPVdDoz0c60PqWF35/fL+d/DgardTDbNi9gQg0hHv4v300CparV/g7E4+AzH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sBnHcUAAADcAAAADwAAAAAAAAAA&#10;AAAAAAChAgAAZHJzL2Rvd25yZXYueG1sUEsFBgAAAAAEAAQA+QAAAJMDAAAAAA==&#10;" strokecolor="black [3213]">
                    <v:stroke startarrow="block"/>
                  </v:line>
                  <v:line id="Straight Connector 115" o:spid="_x0000_s1043" style="position:absolute;visibility:visible;mso-wrap-style:square" from="32064,12417" to="32064,24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eivcUAAADcAAAADwAAAGRycy9kb3ducmV2LnhtbESPwWoCMRCG74W+Q5hCL6Vm3YPI1igi&#10;KJ5Ka0XxNmzGzeJmsiRRt336zqHQ4/DP/818s8XgO3WjmNrABsajAhRxHWzLjYH91/p1CiplZItd&#10;YDLwTQkW88eHGVY23PmTbrvcKIFwqtCAy7mvtE61I49pFHpiyc4heswyxkbbiHeB+06XRTHRHluW&#10;Cw57WjmqL7urF8ryuJo69745xJ+X7rrdcHn6OBrz/DQs30BlGvL/8l97aw2UE3lfZEQE9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4eivcUAAADcAAAADwAAAAAAAAAA&#10;AAAAAAChAgAAZHJzL2Rvd25yZXYueG1sUEsFBgAAAAAEAAQA+QAAAJMDAAAAAA==&#10;" strokecolor="black [3213]">
                    <v:stroke dashstyle="3 1"/>
                  </v:line>
                  <v:line id="Straight Connector 116" o:spid="_x0000_s1044" style="position:absolute;flip:x y;visibility:visible;mso-wrap-style:square" from="5681,24728" to="9464,24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000cUAAADcAAAADwAAAGRycy9kb3ducmV2LnhtbESPQWvCQBSE70L/w/IKvZmNgYrErCIt&#10;BemlGLX0+My+ZoPZtyG7TdJ/7xYKHoeZ+YYptpNtxUC9bxwrWCQpCOLK6YZrBafj23wFwgdkja1j&#10;UvBLHrabh1mBuXYjH2goQy0ihH2OCkwIXS6lrwxZ9InriKP37XqLIcq+lrrHMcJtK7M0XUqLDccF&#10;gx29GKqu5Y9V8Pmeyev+fNm5r1X2/GqacvqQpVJPj9NuDSLQFO7h//ZeK8iWC/g7E4+A3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X000cUAAADcAAAADwAAAAAAAAAA&#10;AAAAAAChAgAAZHJzL2Rvd25yZXYueG1sUEsFBgAAAAAEAAQA+QAAAJMDAAAAAA==&#10;" strokecolor="black [3213]">
                    <v:stroke dashstyle="3 1" startarrow="block"/>
                  </v:line>
                  <v:line id="Straight Connector 117" o:spid="_x0000_s1045" style="position:absolute;flip:x y;visibility:visible;mso-wrap-style:square" from="2315,26008" to="9567,26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7tocMAAADcAAAADwAAAGRycy9kb3ducmV2LnhtbESPT4vCMBTE78J+h/AW9mZTeyhSjWUR&#10;BEH24B88P5u3bWnzEppUu9/eLAgeh5n5DbMuJ9OLOw2+taxgkaQgiCurW64VXM67+RKED8gae8uk&#10;4I88lJuP2RoLbR98pPsp1CJC2BeooAnBFVL6qiGDPrGOOHq/djAYohxqqQd8RLjpZZamuTTYclxo&#10;0NG2oao7jUbBdbwdKG3dcuvyny6zo3GH/VWpr8/pewUi0BTe4Vd7rxVkeQb/Z+IRkJ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e7aHDAAAA3AAAAA8AAAAAAAAAAAAA&#10;AAAAoQIAAGRycy9kb3ducmV2LnhtbFBLBQYAAAAABAAEAPkAAACRAwAAAAA=&#10;" strokecolor="black [3213]">
                    <v:stroke startarrow="block"/>
                  </v:line>
                </v:group>
              </v:group>
            </w:pict>
          </mc:Fallback>
        </mc:AlternateContent>
      </w:r>
    </w:p>
    <w:p w:rsidR="00C02D4A" w:rsidRPr="00ED3D25" w:rsidRDefault="00C02D4A" w:rsidP="00C02D4A">
      <w:pPr>
        <w:rPr>
          <w:szCs w:val="24"/>
          <w:lang w:val="lt-LT"/>
        </w:rPr>
      </w:pPr>
    </w:p>
    <w:p w:rsidR="00C02D4A" w:rsidRPr="00ED3D25" w:rsidRDefault="00C02D4A" w:rsidP="00C02D4A">
      <w:pPr>
        <w:rPr>
          <w:szCs w:val="24"/>
          <w:lang w:val="lt-LT"/>
        </w:rPr>
      </w:pPr>
    </w:p>
    <w:p w:rsidR="00C02D4A" w:rsidRPr="00ED3D25" w:rsidRDefault="00C02D4A" w:rsidP="00C02D4A">
      <w:pPr>
        <w:rPr>
          <w:szCs w:val="24"/>
          <w:lang w:val="lt-LT"/>
        </w:rPr>
      </w:pPr>
    </w:p>
    <w:p w:rsidR="00C02D4A" w:rsidRPr="00ED3D25" w:rsidRDefault="00C02D4A" w:rsidP="00C02D4A">
      <w:pPr>
        <w:rPr>
          <w:szCs w:val="24"/>
          <w:lang w:val="lt-LT"/>
        </w:rPr>
      </w:pPr>
    </w:p>
    <w:p w:rsidR="00C02D4A" w:rsidRPr="00ED3D25" w:rsidRDefault="00C02D4A" w:rsidP="00C02D4A">
      <w:pPr>
        <w:rPr>
          <w:szCs w:val="24"/>
          <w:lang w:val="lt-LT"/>
        </w:rPr>
      </w:pPr>
    </w:p>
    <w:p w:rsidR="00C02D4A" w:rsidRPr="00ED3D25" w:rsidRDefault="00C02D4A" w:rsidP="00C02D4A">
      <w:pPr>
        <w:rPr>
          <w:szCs w:val="24"/>
          <w:lang w:val="lt-LT"/>
        </w:rPr>
      </w:pPr>
    </w:p>
    <w:p w:rsidR="00F41E1E" w:rsidRPr="00ED3D25" w:rsidRDefault="00F41E1E" w:rsidP="00C02D4A">
      <w:pPr>
        <w:rPr>
          <w:szCs w:val="24"/>
          <w:lang w:val="lt-LT"/>
        </w:rPr>
      </w:pPr>
    </w:p>
    <w:p w:rsidR="0098298A" w:rsidRPr="00952F45" w:rsidRDefault="0098298A" w:rsidP="00952F45">
      <w:pPr>
        <w:spacing w:after="0"/>
        <w:jc w:val="center"/>
        <w:rPr>
          <w:b/>
          <w:szCs w:val="24"/>
          <w:lang w:val="lt-LT"/>
        </w:rPr>
      </w:pPr>
      <w:r w:rsidRPr="00ED3D25">
        <w:rPr>
          <w:b/>
          <w:szCs w:val="24"/>
          <w:lang w:val="lt-LT"/>
        </w:rPr>
        <w:t>2</w:t>
      </w:r>
      <w:r w:rsidR="00C02D4A" w:rsidRPr="00ED3D25">
        <w:rPr>
          <w:b/>
          <w:szCs w:val="24"/>
          <w:lang w:val="lt-LT"/>
        </w:rPr>
        <w:t xml:space="preserve"> pav. Veiklos analizės vieta įmonės veikloje</w:t>
      </w:r>
    </w:p>
    <w:p w:rsidR="00C02D4A" w:rsidRDefault="002F25B4" w:rsidP="00BB0886">
      <w:pPr>
        <w:tabs>
          <w:tab w:val="left" w:pos="1701"/>
        </w:tabs>
        <w:spacing w:after="0" w:line="240" w:lineRule="auto"/>
        <w:ind w:firstLine="1985"/>
        <w:rPr>
          <w:sz w:val="20"/>
          <w:lang w:val="lt-LT"/>
        </w:rPr>
      </w:pPr>
      <w:r w:rsidRPr="00ED3D25">
        <w:rPr>
          <w:sz w:val="20"/>
          <w:lang w:val="lt-LT"/>
        </w:rPr>
        <w:t>Pastaba</w:t>
      </w:r>
      <w:r w:rsidR="00C02D4A" w:rsidRPr="00ED3D25">
        <w:rPr>
          <w:sz w:val="20"/>
          <w:lang w:val="lt-LT"/>
        </w:rPr>
        <w:t xml:space="preserve">: </w:t>
      </w:r>
      <w:r w:rsidRPr="00ED3D25">
        <w:rPr>
          <w:sz w:val="20"/>
          <w:lang w:val="lt-LT"/>
        </w:rPr>
        <w:t>paveikslas sudarytas autorės</w:t>
      </w:r>
      <w:r w:rsidR="00E12544" w:rsidRPr="00ED3D25">
        <w:rPr>
          <w:sz w:val="20"/>
          <w:lang w:val="lt-LT"/>
        </w:rPr>
        <w:t>, re</w:t>
      </w:r>
      <w:r w:rsidRPr="00ED3D25">
        <w:rPr>
          <w:sz w:val="20"/>
          <w:lang w:val="lt-LT"/>
        </w:rPr>
        <w:t xml:space="preserve">miantis </w:t>
      </w:r>
      <w:r w:rsidR="00E12544" w:rsidRPr="00ED3D25">
        <w:rPr>
          <w:sz w:val="20"/>
          <w:lang w:val="lt-LT"/>
        </w:rPr>
        <w:t>J. Mackevičiumi (2007).</w:t>
      </w:r>
    </w:p>
    <w:p w:rsidR="006B01BF" w:rsidRPr="00BB0886" w:rsidRDefault="006B01BF" w:rsidP="00BB0886">
      <w:pPr>
        <w:tabs>
          <w:tab w:val="left" w:pos="1701"/>
        </w:tabs>
        <w:spacing w:after="0" w:line="240" w:lineRule="auto"/>
        <w:ind w:firstLine="1985"/>
        <w:rPr>
          <w:sz w:val="20"/>
          <w:lang w:val="lt-LT"/>
        </w:rPr>
      </w:pPr>
    </w:p>
    <w:p w:rsidR="00C02D4A" w:rsidRDefault="00C02D4A" w:rsidP="00C02D4A">
      <w:pPr>
        <w:tabs>
          <w:tab w:val="left" w:pos="851"/>
        </w:tabs>
        <w:spacing w:after="0"/>
        <w:ind w:firstLine="851"/>
        <w:rPr>
          <w:szCs w:val="24"/>
          <w:lang w:val="lt-LT"/>
        </w:rPr>
      </w:pPr>
      <w:r w:rsidRPr="00ED3D25">
        <w:rPr>
          <w:szCs w:val="24"/>
          <w:lang w:val="lt-LT"/>
        </w:rPr>
        <w:t>Šiuo paveikslu patvirtinama, kad veiklos analizė labai svarbi vystant verslą, nes pasitelkiant šį metodą galima stebėti įmonės pagrindinės ir finansinės veiklų rezultatus, o apibendrinus duomenis prognozuoti tolimesnius siektinus rezultatus. Taip pat reguliavimas leidžia pašalinti sistemos trūkumus, keisti veiksmų programą, kompensuoti išteklių stygių. Siekiant atlikti kokybišką analizę būtina turėti tikslią ir konkrečią informaciją apie įmonės valdymo būklę.</w:t>
      </w:r>
    </w:p>
    <w:p w:rsidR="00A469D2" w:rsidRPr="00ED3D25" w:rsidRDefault="000F28AB" w:rsidP="00BB0886">
      <w:pPr>
        <w:tabs>
          <w:tab w:val="left" w:pos="851"/>
        </w:tabs>
        <w:spacing w:after="0"/>
        <w:ind w:firstLine="851"/>
        <w:rPr>
          <w:szCs w:val="24"/>
          <w:lang w:val="lt-LT"/>
        </w:rPr>
      </w:pPr>
      <w:r>
        <w:rPr>
          <w:szCs w:val="24"/>
          <w:lang w:val="lt-LT"/>
        </w:rPr>
        <w:t>Dauguma autorių atlikusių tyrimus</w:t>
      </w:r>
      <w:r w:rsidR="00A469D2">
        <w:rPr>
          <w:szCs w:val="24"/>
          <w:lang w:val="lt-LT"/>
        </w:rPr>
        <w:t xml:space="preserve"> apie ES finansinės paramos efektyvumą, jį atliko makroekonominiu </w:t>
      </w:r>
      <w:r w:rsidR="00BB0886">
        <w:rPr>
          <w:szCs w:val="24"/>
          <w:lang w:val="lt-LT"/>
        </w:rPr>
        <w:t>mastu</w:t>
      </w:r>
      <w:r w:rsidR="00A225B7">
        <w:rPr>
          <w:szCs w:val="24"/>
          <w:lang w:val="lt-LT"/>
        </w:rPr>
        <w:t xml:space="preserve">. Jie </w:t>
      </w:r>
      <w:r>
        <w:rPr>
          <w:szCs w:val="24"/>
          <w:lang w:val="lt-LT"/>
        </w:rPr>
        <w:t xml:space="preserve">stebėjo ar ES finansinė parama </w:t>
      </w:r>
      <w:r w:rsidR="00BB0886">
        <w:rPr>
          <w:szCs w:val="24"/>
          <w:lang w:val="lt-LT"/>
        </w:rPr>
        <w:t>turi</w:t>
      </w:r>
      <w:r w:rsidR="00A225B7">
        <w:rPr>
          <w:szCs w:val="24"/>
          <w:lang w:val="lt-LT"/>
        </w:rPr>
        <w:t xml:space="preserve"> teigiamą poveikį visam regionui, valstybei (</w:t>
      </w:r>
      <w:r>
        <w:rPr>
          <w:szCs w:val="24"/>
          <w:lang w:val="lt-LT"/>
        </w:rPr>
        <w:t xml:space="preserve">P. Mohl, T. Hagen, </w:t>
      </w:r>
      <w:r w:rsidR="00BB0886">
        <w:rPr>
          <w:szCs w:val="24"/>
          <w:lang w:val="lt-LT"/>
        </w:rPr>
        <w:t>(</w:t>
      </w:r>
      <w:r>
        <w:rPr>
          <w:szCs w:val="24"/>
          <w:lang w:val="lt-LT"/>
        </w:rPr>
        <w:t>2009)</w:t>
      </w:r>
      <w:r w:rsidR="00A225B7">
        <w:rPr>
          <w:szCs w:val="24"/>
          <w:lang w:val="lt-LT"/>
        </w:rPr>
        <w:t xml:space="preserve">, </w:t>
      </w:r>
      <w:r>
        <w:rPr>
          <w:szCs w:val="24"/>
          <w:lang w:val="lt-LT"/>
        </w:rPr>
        <w:t xml:space="preserve">I. </w:t>
      </w:r>
      <w:r w:rsidR="00A225B7">
        <w:rPr>
          <w:szCs w:val="24"/>
          <w:lang w:val="lt-LT"/>
        </w:rPr>
        <w:t>Ivanovienė</w:t>
      </w:r>
      <w:r>
        <w:rPr>
          <w:szCs w:val="24"/>
          <w:lang w:val="lt-LT"/>
        </w:rPr>
        <w:t xml:space="preserve">, J. </w:t>
      </w:r>
      <w:r w:rsidR="00A225B7">
        <w:rPr>
          <w:szCs w:val="24"/>
          <w:lang w:val="lt-LT"/>
        </w:rPr>
        <w:t>Karalevičienė (2001)</w:t>
      </w:r>
      <w:r>
        <w:rPr>
          <w:szCs w:val="24"/>
          <w:lang w:val="lt-LT"/>
        </w:rPr>
        <w:t>, M. Percoco (2005) ir kt.).</w:t>
      </w:r>
      <w:r w:rsidR="00A225B7">
        <w:rPr>
          <w:szCs w:val="24"/>
          <w:lang w:val="lt-LT"/>
        </w:rPr>
        <w:t xml:space="preserve"> </w:t>
      </w:r>
    </w:p>
    <w:p w:rsidR="002A27A5" w:rsidRPr="00ED3D25" w:rsidRDefault="004330B4" w:rsidP="00BB0886">
      <w:pPr>
        <w:tabs>
          <w:tab w:val="left" w:pos="851"/>
        </w:tabs>
        <w:spacing w:after="0"/>
        <w:rPr>
          <w:szCs w:val="24"/>
          <w:highlight w:val="yellow"/>
          <w:lang w:val="lt-LT"/>
        </w:rPr>
      </w:pPr>
      <w:r>
        <w:rPr>
          <w:szCs w:val="24"/>
          <w:lang w:val="lt-LT"/>
        </w:rPr>
        <w:tab/>
        <w:t>F</w:t>
      </w:r>
      <w:r w:rsidR="00DE1DC7" w:rsidRPr="00ED3D25">
        <w:rPr>
          <w:szCs w:val="24"/>
          <w:lang w:val="lt-LT"/>
        </w:rPr>
        <w:t>inansinė analizė atliekama siekiant tobulinti tiriamos įmonės valdymą ir didinti subjekto efektyvumą bei pelningumą</w:t>
      </w:r>
      <w:r w:rsidRPr="004330B4">
        <w:rPr>
          <w:szCs w:val="24"/>
          <w:lang w:val="lt-LT"/>
        </w:rPr>
        <w:t xml:space="preserve"> </w:t>
      </w:r>
      <w:r>
        <w:rPr>
          <w:szCs w:val="24"/>
          <w:lang w:val="lt-LT"/>
        </w:rPr>
        <w:t>(</w:t>
      </w:r>
      <w:r w:rsidR="00BB0886">
        <w:rPr>
          <w:szCs w:val="24"/>
          <w:lang w:val="lt-LT"/>
        </w:rPr>
        <w:t>E. Buškevičiūtė</w:t>
      </w:r>
      <w:r w:rsidRPr="00ED3D25">
        <w:rPr>
          <w:szCs w:val="24"/>
          <w:lang w:val="lt-LT"/>
        </w:rPr>
        <w:t xml:space="preserve"> ir kt. (2010)</w:t>
      </w:r>
      <w:r>
        <w:rPr>
          <w:szCs w:val="24"/>
          <w:lang w:val="lt-LT"/>
        </w:rPr>
        <w:t xml:space="preserve">, </w:t>
      </w:r>
      <w:r w:rsidR="00BB0886">
        <w:rPr>
          <w:szCs w:val="24"/>
          <w:lang w:val="lt-LT"/>
        </w:rPr>
        <w:t xml:space="preserve">L. </w:t>
      </w:r>
      <w:r>
        <w:rPr>
          <w:szCs w:val="24"/>
          <w:lang w:val="lt-LT"/>
        </w:rPr>
        <w:t>Giriūnas ir kt. (2013)</w:t>
      </w:r>
      <w:r w:rsidR="00DE1DC7" w:rsidRPr="00ED3D25">
        <w:rPr>
          <w:szCs w:val="24"/>
          <w:lang w:val="lt-LT"/>
        </w:rPr>
        <w:t xml:space="preserve">. Tai atliekama vertinant parašytą verslo planą su veiklos vykdymo </w:t>
      </w:r>
      <w:r w:rsidR="00D86D45" w:rsidRPr="00ED3D25">
        <w:rPr>
          <w:szCs w:val="24"/>
          <w:lang w:val="lt-LT"/>
        </w:rPr>
        <w:t>atask</w:t>
      </w:r>
      <w:r w:rsidR="002A55D9" w:rsidRPr="00ED3D25">
        <w:rPr>
          <w:szCs w:val="24"/>
          <w:lang w:val="lt-LT"/>
        </w:rPr>
        <w:t>aitiniais metiniais rezultatais. Pagal turimą informaciją duomenis galima interpretuoti</w:t>
      </w:r>
      <w:r w:rsidR="00D86D45" w:rsidRPr="00ED3D25">
        <w:rPr>
          <w:szCs w:val="24"/>
          <w:lang w:val="lt-LT"/>
        </w:rPr>
        <w:t>,</w:t>
      </w:r>
      <w:r w:rsidR="002A55D9" w:rsidRPr="00ED3D25">
        <w:rPr>
          <w:szCs w:val="24"/>
          <w:lang w:val="lt-LT"/>
        </w:rPr>
        <w:t xml:space="preserve"> pavyzdžiui,</w:t>
      </w:r>
      <w:r w:rsidR="00D86D45" w:rsidRPr="00ED3D25">
        <w:rPr>
          <w:szCs w:val="24"/>
          <w:lang w:val="lt-LT"/>
        </w:rPr>
        <w:t xml:space="preserve"> su kokiomis problemomis teko susudurti, kad ne</w:t>
      </w:r>
      <w:r w:rsidR="00BB0886">
        <w:rPr>
          <w:szCs w:val="24"/>
          <w:lang w:val="lt-LT"/>
        </w:rPr>
        <w:t>pavyko pasiekti užsibrėžtų tiksl</w:t>
      </w:r>
      <w:r w:rsidR="00D86D45" w:rsidRPr="00ED3D25">
        <w:rPr>
          <w:szCs w:val="24"/>
          <w:lang w:val="lt-LT"/>
        </w:rPr>
        <w:t>ų arba, kas lėmė kad rezultatai geresni, nei buvo tikėtasi.</w:t>
      </w:r>
      <w:r w:rsidR="00DE1DC7" w:rsidRPr="00ED3D25">
        <w:rPr>
          <w:szCs w:val="24"/>
          <w:lang w:val="lt-LT"/>
        </w:rPr>
        <w:t xml:space="preserve"> Tad būtent </w:t>
      </w:r>
      <w:r w:rsidR="00D86D45" w:rsidRPr="00ED3D25">
        <w:rPr>
          <w:szCs w:val="24"/>
          <w:lang w:val="lt-LT"/>
        </w:rPr>
        <w:t xml:space="preserve">veiklos </w:t>
      </w:r>
      <w:r w:rsidR="00DE1DC7" w:rsidRPr="00ED3D25">
        <w:rPr>
          <w:szCs w:val="24"/>
          <w:lang w:val="lt-LT"/>
        </w:rPr>
        <w:t>e</w:t>
      </w:r>
      <w:r w:rsidR="00C02D4A" w:rsidRPr="00ED3D25">
        <w:rPr>
          <w:szCs w:val="24"/>
          <w:lang w:val="lt-LT"/>
        </w:rPr>
        <w:t xml:space="preserve">fektyvumas suprantamas, kaip verslo veiksmingumas. Efektyvumo rodiklių skaičiavimas duoda teigiamų rezultatų, kai rodiklių reikšmės tinkamose ribose, </w:t>
      </w:r>
      <w:r w:rsidR="00BB0886">
        <w:rPr>
          <w:szCs w:val="24"/>
          <w:lang w:val="lt-LT"/>
        </w:rPr>
        <w:t>kurios rodo verslo sėkmę, bet taip pat,</w:t>
      </w:r>
      <w:r w:rsidR="00C02D4A" w:rsidRPr="00ED3D25">
        <w:rPr>
          <w:szCs w:val="24"/>
          <w:lang w:val="lt-LT"/>
        </w:rPr>
        <w:t xml:space="preserve"> kai yra tam tikri nukrypimai. Tokiu atveju</w:t>
      </w:r>
      <w:r w:rsidR="002A55D9" w:rsidRPr="00ED3D25">
        <w:rPr>
          <w:szCs w:val="24"/>
          <w:lang w:val="lt-LT"/>
        </w:rPr>
        <w:t>,</w:t>
      </w:r>
      <w:r w:rsidR="00C02D4A" w:rsidRPr="00ED3D25">
        <w:rPr>
          <w:szCs w:val="24"/>
          <w:lang w:val="lt-LT"/>
        </w:rPr>
        <w:t xml:space="preserve"> nelaukiant galima spręsti problemą, kaip verslą pasukti ta linkme, kad viskas eitųsi sklandžiai ir rodikliai pasiektų rekomenduotinas reikšmes. Tik pastovi verslo </w:t>
      </w:r>
      <w:r w:rsidR="00BB0886">
        <w:rPr>
          <w:szCs w:val="24"/>
          <w:lang w:val="lt-LT"/>
        </w:rPr>
        <w:t xml:space="preserve">stebėsena ir atliekami tyrimai </w:t>
      </w:r>
      <w:r w:rsidR="00C02D4A" w:rsidRPr="00ED3D25">
        <w:rPr>
          <w:szCs w:val="24"/>
          <w:lang w:val="lt-LT"/>
        </w:rPr>
        <w:t>užtikrina vers</w:t>
      </w:r>
      <w:r w:rsidR="002A55D9" w:rsidRPr="00ED3D25">
        <w:rPr>
          <w:szCs w:val="24"/>
          <w:lang w:val="lt-LT"/>
        </w:rPr>
        <w:t>lo vidinį valdymą ir efektyvumą</w:t>
      </w:r>
      <w:r w:rsidR="00C02D4A" w:rsidRPr="00ED3D25">
        <w:rPr>
          <w:szCs w:val="24"/>
          <w:lang w:val="lt-LT"/>
        </w:rPr>
        <w:t>.</w:t>
      </w:r>
      <w:r w:rsidR="00A16F92" w:rsidRPr="00ED3D25">
        <w:rPr>
          <w:szCs w:val="24"/>
          <w:lang w:val="lt-LT"/>
        </w:rPr>
        <w:t xml:space="preserve"> Tad toliau aptariami</w:t>
      </w:r>
      <w:r w:rsidR="00C02D4A" w:rsidRPr="00ED3D25">
        <w:rPr>
          <w:szCs w:val="24"/>
          <w:lang w:val="lt-LT"/>
        </w:rPr>
        <w:t xml:space="preserve"> kriterijai ir rodikliai, pagal Vertybinių popierių biržos Nasdaq OMX Vilnius sudarytą „Įmonių finansinės analizės rodiklių skaičiavimo metodiką“</w:t>
      </w:r>
      <w:r w:rsidR="00C22574" w:rsidRPr="00ED3D25">
        <w:rPr>
          <w:szCs w:val="24"/>
          <w:lang w:val="lt-LT"/>
        </w:rPr>
        <w:t xml:space="preserve"> (2001)</w:t>
      </w:r>
      <w:r w:rsidR="00BB0886">
        <w:rPr>
          <w:szCs w:val="24"/>
          <w:lang w:val="lt-LT"/>
        </w:rPr>
        <w:t xml:space="preserve"> ir J. Mackevičių (2007)</w:t>
      </w:r>
      <w:r w:rsidR="002A27A5" w:rsidRPr="00ED3D25">
        <w:rPr>
          <w:szCs w:val="24"/>
          <w:lang w:val="lt-LT"/>
        </w:rPr>
        <w:t>. Remiantis šia metodika finansiniai santykiniai rodikliai suskir</w:t>
      </w:r>
      <w:r w:rsidR="002F3ED0">
        <w:rPr>
          <w:szCs w:val="24"/>
          <w:lang w:val="lt-LT"/>
        </w:rPr>
        <w:t>stomi į 4</w:t>
      </w:r>
      <w:r w:rsidR="007F4BC0" w:rsidRPr="00ED3D25">
        <w:rPr>
          <w:szCs w:val="24"/>
          <w:lang w:val="lt-LT"/>
        </w:rPr>
        <w:t xml:space="preserve"> grupes: 1) trumpalaikio turto likvidumo</w:t>
      </w:r>
      <w:r w:rsidR="002A27A5" w:rsidRPr="00ED3D25">
        <w:rPr>
          <w:szCs w:val="24"/>
          <w:lang w:val="lt-LT"/>
        </w:rPr>
        <w:t xml:space="preserve">; 2) </w:t>
      </w:r>
      <w:r w:rsidR="007F4BC0" w:rsidRPr="00ED3D25">
        <w:rPr>
          <w:szCs w:val="24"/>
          <w:lang w:val="lt-LT"/>
        </w:rPr>
        <w:t xml:space="preserve">finansinio sverto; 3) </w:t>
      </w:r>
      <w:r w:rsidR="002A27A5" w:rsidRPr="00ED3D25">
        <w:rPr>
          <w:szCs w:val="24"/>
          <w:lang w:val="lt-LT"/>
        </w:rPr>
        <w:t xml:space="preserve">pelningumo; </w:t>
      </w:r>
      <w:r w:rsidR="007F4BC0" w:rsidRPr="00ED3D25">
        <w:rPr>
          <w:szCs w:val="24"/>
          <w:lang w:val="lt-LT"/>
        </w:rPr>
        <w:t xml:space="preserve">4) </w:t>
      </w:r>
      <w:r w:rsidR="00265F0A" w:rsidRPr="00ED3D25">
        <w:rPr>
          <w:szCs w:val="24"/>
          <w:lang w:val="lt-LT"/>
        </w:rPr>
        <w:t>veiklos</w:t>
      </w:r>
      <w:r w:rsidR="00642B68" w:rsidRPr="00ED3D25">
        <w:rPr>
          <w:szCs w:val="24"/>
          <w:lang w:val="lt-LT"/>
        </w:rPr>
        <w:t xml:space="preserve"> efektyvumo</w:t>
      </w:r>
      <w:r w:rsidR="00EE2B5D" w:rsidRPr="00ED3D25">
        <w:rPr>
          <w:szCs w:val="24"/>
          <w:lang w:val="lt-LT"/>
        </w:rPr>
        <w:t>.</w:t>
      </w:r>
    </w:p>
    <w:p w:rsidR="00FF2047" w:rsidRPr="006B01BF" w:rsidRDefault="00FB5CCF" w:rsidP="006B01BF">
      <w:pPr>
        <w:tabs>
          <w:tab w:val="left" w:pos="851"/>
        </w:tabs>
        <w:spacing w:after="0"/>
        <w:ind w:firstLine="851"/>
        <w:rPr>
          <w:szCs w:val="24"/>
          <w:lang w:val="lt-LT"/>
        </w:rPr>
      </w:pPr>
      <w:r w:rsidRPr="00ED3D25">
        <w:rPr>
          <w:rFonts w:asciiTheme="majorBidi" w:hAnsiTheme="majorBidi" w:cstheme="majorBidi"/>
          <w:szCs w:val="24"/>
          <w:lang w:val="lt-LT"/>
        </w:rPr>
        <w:t>Likvidumas</w:t>
      </w:r>
      <w:r w:rsidR="00BB0886">
        <w:rPr>
          <w:rFonts w:asciiTheme="majorBidi" w:hAnsiTheme="majorBidi" w:cstheme="majorBidi"/>
          <w:szCs w:val="24"/>
          <w:lang w:val="lt-LT"/>
        </w:rPr>
        <w:t xml:space="preserve"> (mokumas)</w:t>
      </w:r>
      <w:r w:rsidRPr="00ED3D25">
        <w:rPr>
          <w:rFonts w:asciiTheme="majorBidi" w:hAnsiTheme="majorBidi" w:cstheme="majorBidi"/>
          <w:szCs w:val="24"/>
          <w:lang w:val="lt-LT"/>
        </w:rPr>
        <w:t xml:space="preserve"> – tai įmonės sugebėjimas turimomis mokėjimo priemonėmis apmokėti trumpalaikius ir ilgalaikius įsipareigojimus. </w:t>
      </w:r>
      <w:r w:rsidR="00D1622D" w:rsidRPr="00ED3D25">
        <w:rPr>
          <w:rFonts w:asciiTheme="majorBidi" w:hAnsiTheme="majorBidi" w:cstheme="majorBidi"/>
          <w:szCs w:val="24"/>
          <w:lang w:val="lt-LT"/>
        </w:rPr>
        <w:t>Mokumas le</w:t>
      </w:r>
      <w:r w:rsidR="00CA1494" w:rsidRPr="00ED3D25">
        <w:rPr>
          <w:rFonts w:asciiTheme="majorBidi" w:hAnsiTheme="majorBidi" w:cstheme="majorBidi"/>
          <w:szCs w:val="24"/>
          <w:lang w:val="lt-LT"/>
        </w:rPr>
        <w:t>mia tiek įmonės finansinę būklę, jos rezultatus, strategiją, tiek tolimesnę įmonės veiklą, perspektyvas ir investicinius planus.</w:t>
      </w:r>
      <w:r w:rsidR="005A348B" w:rsidRPr="00ED3D25">
        <w:rPr>
          <w:rFonts w:asciiTheme="majorBidi" w:hAnsiTheme="majorBidi" w:cstheme="majorBidi"/>
          <w:szCs w:val="24"/>
          <w:lang w:val="lt-LT"/>
        </w:rPr>
        <w:t xml:space="preserve"> </w:t>
      </w:r>
      <w:r w:rsidR="00646707" w:rsidRPr="00ED3D25">
        <w:rPr>
          <w:rFonts w:asciiTheme="majorBidi" w:hAnsiTheme="majorBidi" w:cstheme="majorBidi"/>
          <w:szCs w:val="24"/>
          <w:lang w:val="lt-LT"/>
        </w:rPr>
        <w:t xml:space="preserve">Jei rodiklis </w:t>
      </w:r>
      <w:r w:rsidR="005A348B" w:rsidRPr="00ED3D25">
        <w:rPr>
          <w:rFonts w:asciiTheme="majorBidi" w:hAnsiTheme="majorBidi" w:cstheme="majorBidi"/>
          <w:szCs w:val="24"/>
          <w:lang w:val="lt-LT"/>
        </w:rPr>
        <w:t xml:space="preserve">mažas </w:t>
      </w:r>
      <w:r w:rsidR="00646707" w:rsidRPr="00ED3D25">
        <w:rPr>
          <w:rFonts w:asciiTheme="majorBidi" w:hAnsiTheme="majorBidi" w:cstheme="majorBidi"/>
          <w:szCs w:val="24"/>
          <w:lang w:val="lt-LT"/>
        </w:rPr>
        <w:t>tai įmonė turi problemų, nes esant poreikiui firma negali padengti trumpalaikių įsipareigojimų turimu t</w:t>
      </w:r>
      <w:r w:rsidR="005A348B" w:rsidRPr="00ED3D25">
        <w:rPr>
          <w:rFonts w:asciiTheme="majorBidi" w:hAnsiTheme="majorBidi" w:cstheme="majorBidi"/>
          <w:szCs w:val="24"/>
          <w:lang w:val="lt-LT"/>
        </w:rPr>
        <w:t>rumpalaikiu</w:t>
      </w:r>
      <w:r w:rsidR="00646707" w:rsidRPr="00ED3D25">
        <w:rPr>
          <w:rFonts w:asciiTheme="majorBidi" w:hAnsiTheme="majorBidi" w:cstheme="majorBidi"/>
          <w:szCs w:val="24"/>
          <w:lang w:val="lt-LT"/>
        </w:rPr>
        <w:t xml:space="preserve"> turtu. Jei rodiklis didelis – įmonė yra sukaupusi per daug trumpalaikio tur</w:t>
      </w:r>
      <w:r w:rsidR="005A348B" w:rsidRPr="00ED3D25">
        <w:rPr>
          <w:rFonts w:asciiTheme="majorBidi" w:hAnsiTheme="majorBidi" w:cstheme="majorBidi"/>
          <w:szCs w:val="24"/>
          <w:lang w:val="lt-LT"/>
        </w:rPr>
        <w:t>to. Įmonė turi laikytis</w:t>
      </w:r>
      <w:r w:rsidR="00646707" w:rsidRPr="00ED3D25">
        <w:rPr>
          <w:rFonts w:asciiTheme="majorBidi" w:hAnsiTheme="majorBidi" w:cstheme="majorBidi"/>
          <w:szCs w:val="24"/>
          <w:lang w:val="lt-LT"/>
        </w:rPr>
        <w:t xml:space="preserve"> likvidumo rodiklių normų, nes privalo atsiskaityti su kreditoriais, darbuotojais, valstybe ir tiekėjais.</w:t>
      </w:r>
    </w:p>
    <w:p w:rsidR="00786EF7" w:rsidRPr="00ED3D25" w:rsidRDefault="00786EF7" w:rsidP="00786EF7">
      <w:pPr>
        <w:tabs>
          <w:tab w:val="left" w:pos="851"/>
        </w:tabs>
        <w:spacing w:after="0"/>
        <w:ind w:firstLine="851"/>
        <w:jc w:val="right"/>
        <w:rPr>
          <w:b/>
          <w:bCs/>
          <w:szCs w:val="24"/>
          <w:lang w:val="lt-LT"/>
        </w:rPr>
      </w:pPr>
      <w:r w:rsidRPr="00ED3D25">
        <w:rPr>
          <w:b/>
          <w:bCs/>
          <w:szCs w:val="24"/>
          <w:lang w:val="lt-LT"/>
        </w:rPr>
        <w:lastRenderedPageBreak/>
        <w:t>5 lentelė</w:t>
      </w:r>
    </w:p>
    <w:p w:rsidR="00786EF7" w:rsidRPr="00ED3D25" w:rsidRDefault="00786EF7" w:rsidP="00786EF7">
      <w:pPr>
        <w:tabs>
          <w:tab w:val="left" w:pos="851"/>
        </w:tabs>
        <w:spacing w:after="0" w:line="240" w:lineRule="auto"/>
        <w:ind w:firstLine="851"/>
        <w:jc w:val="center"/>
        <w:rPr>
          <w:rFonts w:asciiTheme="majorBidi" w:hAnsiTheme="majorBidi" w:cstheme="majorBidi"/>
          <w:b/>
          <w:bCs/>
          <w:lang w:val="lt-LT"/>
        </w:rPr>
      </w:pPr>
      <w:r w:rsidRPr="00ED3D25">
        <w:rPr>
          <w:rFonts w:asciiTheme="majorBidi" w:hAnsiTheme="majorBidi" w:cstheme="majorBidi"/>
          <w:b/>
          <w:bCs/>
          <w:lang w:val="lt-LT"/>
        </w:rPr>
        <w:t>Trumpalaikio turto likvidumo rodikliai</w:t>
      </w:r>
    </w:p>
    <w:p w:rsidR="00786EF7" w:rsidRPr="00ED3D25" w:rsidRDefault="00786EF7" w:rsidP="00786EF7">
      <w:pPr>
        <w:tabs>
          <w:tab w:val="left" w:pos="851"/>
        </w:tabs>
        <w:spacing w:after="0" w:line="240" w:lineRule="auto"/>
        <w:ind w:firstLine="851"/>
        <w:jc w:val="center"/>
        <w:rPr>
          <w:rFonts w:asciiTheme="majorBidi" w:hAnsiTheme="majorBidi" w:cstheme="majorBidi"/>
          <w:lang w:val="lt-LT"/>
        </w:rPr>
      </w:pPr>
    </w:p>
    <w:tbl>
      <w:tblPr>
        <w:tblStyle w:val="TableGrid"/>
        <w:tblW w:w="0" w:type="auto"/>
        <w:tblLook w:val="04A0" w:firstRow="1" w:lastRow="0" w:firstColumn="1" w:lastColumn="0" w:noHBand="0" w:noVBand="1"/>
      </w:tblPr>
      <w:tblGrid>
        <w:gridCol w:w="2080"/>
        <w:gridCol w:w="5400"/>
        <w:gridCol w:w="2375"/>
      </w:tblGrid>
      <w:tr w:rsidR="00646707" w:rsidRPr="00ED3D25" w:rsidTr="00786EF7">
        <w:tc>
          <w:tcPr>
            <w:tcW w:w="0" w:type="auto"/>
            <w:vAlign w:val="center"/>
          </w:tcPr>
          <w:p w:rsidR="00646707" w:rsidRPr="00ED3D25" w:rsidRDefault="00646707" w:rsidP="00F41E1E">
            <w:pPr>
              <w:tabs>
                <w:tab w:val="left" w:pos="851"/>
              </w:tabs>
              <w:spacing w:line="240" w:lineRule="auto"/>
              <w:rPr>
                <w:rFonts w:asciiTheme="majorBidi" w:hAnsiTheme="majorBidi" w:cstheme="majorBidi"/>
                <w:b/>
                <w:bCs/>
                <w:lang w:val="lt-LT"/>
              </w:rPr>
            </w:pPr>
            <w:r w:rsidRPr="00ED3D25">
              <w:rPr>
                <w:rFonts w:asciiTheme="majorBidi" w:hAnsiTheme="majorBidi" w:cstheme="majorBidi"/>
                <w:b/>
                <w:bCs/>
                <w:lang w:val="lt-LT"/>
              </w:rPr>
              <w:t>Rodiklis</w:t>
            </w:r>
          </w:p>
        </w:tc>
        <w:tc>
          <w:tcPr>
            <w:tcW w:w="5400" w:type="dxa"/>
            <w:vAlign w:val="center"/>
          </w:tcPr>
          <w:p w:rsidR="00646707" w:rsidRPr="00ED3D25" w:rsidRDefault="00646707" w:rsidP="00F41E1E">
            <w:pPr>
              <w:tabs>
                <w:tab w:val="left" w:pos="851"/>
              </w:tabs>
              <w:spacing w:line="240" w:lineRule="auto"/>
              <w:rPr>
                <w:rFonts w:asciiTheme="majorBidi" w:hAnsiTheme="majorBidi" w:cstheme="majorBidi"/>
                <w:b/>
                <w:bCs/>
                <w:lang w:val="lt-LT"/>
              </w:rPr>
            </w:pPr>
            <w:r w:rsidRPr="00ED3D25">
              <w:rPr>
                <w:rFonts w:asciiTheme="majorBidi" w:hAnsiTheme="majorBidi" w:cstheme="majorBidi"/>
                <w:b/>
                <w:bCs/>
                <w:lang w:val="lt-LT"/>
              </w:rPr>
              <w:t>Formulė</w:t>
            </w:r>
          </w:p>
        </w:tc>
        <w:tc>
          <w:tcPr>
            <w:tcW w:w="2375" w:type="dxa"/>
            <w:vAlign w:val="center"/>
          </w:tcPr>
          <w:p w:rsidR="00646707" w:rsidRPr="00ED3D25" w:rsidRDefault="00646707" w:rsidP="00F41E1E">
            <w:pPr>
              <w:tabs>
                <w:tab w:val="left" w:pos="851"/>
              </w:tabs>
              <w:spacing w:line="240" w:lineRule="auto"/>
              <w:rPr>
                <w:rFonts w:asciiTheme="majorBidi" w:hAnsiTheme="majorBidi" w:cstheme="majorBidi"/>
                <w:b/>
                <w:bCs/>
                <w:lang w:val="lt-LT"/>
              </w:rPr>
            </w:pPr>
            <w:r w:rsidRPr="00ED3D25">
              <w:rPr>
                <w:rFonts w:asciiTheme="majorBidi" w:hAnsiTheme="majorBidi" w:cstheme="majorBidi"/>
                <w:b/>
                <w:bCs/>
                <w:lang w:val="lt-LT"/>
              </w:rPr>
              <w:t>Reikšmė</w:t>
            </w:r>
          </w:p>
        </w:tc>
      </w:tr>
      <w:tr w:rsidR="00646707" w:rsidRPr="00ED3D25" w:rsidTr="00786EF7">
        <w:tc>
          <w:tcPr>
            <w:tcW w:w="0" w:type="auto"/>
            <w:vAlign w:val="center"/>
          </w:tcPr>
          <w:p w:rsidR="00646707" w:rsidRPr="00ED3D25" w:rsidRDefault="00646707" w:rsidP="00F41E1E">
            <w:pPr>
              <w:tabs>
                <w:tab w:val="left" w:pos="851"/>
              </w:tabs>
              <w:spacing w:line="240" w:lineRule="auto"/>
              <w:rPr>
                <w:rFonts w:asciiTheme="majorBidi" w:hAnsiTheme="majorBidi" w:cstheme="majorBidi"/>
                <w:lang w:val="lt-LT"/>
              </w:rPr>
            </w:pPr>
            <w:r w:rsidRPr="00ED3D25">
              <w:rPr>
                <w:rFonts w:asciiTheme="majorBidi" w:hAnsiTheme="majorBidi" w:cstheme="majorBidi"/>
                <w:lang w:val="lt-LT"/>
              </w:rPr>
              <w:t>Einamasis likvidumas</w:t>
            </w:r>
          </w:p>
        </w:tc>
        <w:tc>
          <w:tcPr>
            <w:tcW w:w="5400" w:type="dxa"/>
            <w:vAlign w:val="center"/>
          </w:tcPr>
          <w:p w:rsidR="00646707" w:rsidRPr="00ED3D25" w:rsidRDefault="00646707" w:rsidP="00F41E1E">
            <w:pPr>
              <w:tabs>
                <w:tab w:val="left" w:pos="851"/>
              </w:tabs>
              <w:spacing w:line="240" w:lineRule="auto"/>
              <w:rPr>
                <w:rFonts w:asciiTheme="majorBidi" w:hAnsiTheme="majorBidi" w:cstheme="majorBidi"/>
                <w:lang w:val="lt-LT"/>
              </w:rPr>
            </w:pPr>
            <w:r w:rsidRPr="00ED3D25">
              <w:rPr>
                <w:rFonts w:asciiTheme="majorBidi" w:hAnsiTheme="majorBidi" w:cstheme="majorBidi"/>
                <w:lang w:val="lt-LT"/>
              </w:rPr>
              <w:t>Trumpalaikis turtas / Trumpalaikiai įsip</w:t>
            </w:r>
            <w:r w:rsidR="00786EF7" w:rsidRPr="00ED3D25">
              <w:rPr>
                <w:rFonts w:asciiTheme="majorBidi" w:hAnsiTheme="majorBidi" w:cstheme="majorBidi"/>
                <w:lang w:val="lt-LT"/>
              </w:rPr>
              <w:t>areigojimai</w:t>
            </w:r>
          </w:p>
        </w:tc>
        <w:tc>
          <w:tcPr>
            <w:tcW w:w="2375" w:type="dxa"/>
            <w:vAlign w:val="center"/>
          </w:tcPr>
          <w:p w:rsidR="00837233" w:rsidRPr="00ED3D25" w:rsidRDefault="00837233" w:rsidP="00F41E1E">
            <w:pPr>
              <w:tabs>
                <w:tab w:val="left" w:pos="851"/>
              </w:tabs>
              <w:spacing w:line="240" w:lineRule="auto"/>
              <w:rPr>
                <w:rFonts w:asciiTheme="majorBidi" w:hAnsiTheme="majorBidi" w:cstheme="majorBidi"/>
                <w:lang w:val="lt-LT"/>
              </w:rPr>
            </w:pPr>
            <w:r w:rsidRPr="00ED3D25">
              <w:rPr>
                <w:rFonts w:asciiTheme="majorBidi" w:hAnsiTheme="majorBidi" w:cstheme="majorBidi"/>
                <w:lang w:val="lt-LT"/>
              </w:rPr>
              <w:t xml:space="preserve">Vidutinė: 1,2 </w:t>
            </w:r>
            <w:r w:rsidRPr="00ED3D25">
              <w:rPr>
                <w:rFonts w:asciiTheme="majorBidi" w:hAnsiTheme="majorBidi" w:cstheme="majorBidi"/>
                <w:lang w:val="lt-LT"/>
              </w:rPr>
              <w:sym w:font="Symbol" w:char="F0A3"/>
            </w:r>
            <w:r w:rsidRPr="00ED3D25">
              <w:rPr>
                <w:rFonts w:asciiTheme="majorBidi" w:hAnsiTheme="majorBidi" w:cstheme="majorBidi"/>
                <w:lang w:val="lt-LT"/>
              </w:rPr>
              <w:t xml:space="preserve"> X </w:t>
            </w:r>
            <w:r w:rsidRPr="00ED3D25">
              <w:rPr>
                <w:rFonts w:asciiTheme="majorBidi" w:hAnsiTheme="majorBidi" w:cstheme="majorBidi"/>
                <w:lang w:val="lt-LT"/>
              </w:rPr>
              <w:sym w:font="Symbol" w:char="F0B3"/>
            </w:r>
            <w:r w:rsidRPr="00ED3D25">
              <w:rPr>
                <w:rFonts w:asciiTheme="majorBidi" w:hAnsiTheme="majorBidi" w:cstheme="majorBidi"/>
                <w:lang w:val="lt-LT"/>
              </w:rPr>
              <w:t xml:space="preserve"> 2</w:t>
            </w:r>
          </w:p>
          <w:p w:rsidR="00837233" w:rsidRPr="00ED3D25" w:rsidRDefault="00837233" w:rsidP="00F41E1E">
            <w:pPr>
              <w:tabs>
                <w:tab w:val="left" w:pos="851"/>
              </w:tabs>
              <w:spacing w:line="240" w:lineRule="auto"/>
              <w:rPr>
                <w:rFonts w:asciiTheme="majorBidi" w:hAnsiTheme="majorBidi" w:cstheme="majorBidi"/>
                <w:lang w:val="lt-LT"/>
              </w:rPr>
            </w:pPr>
            <w:r w:rsidRPr="00ED3D25">
              <w:rPr>
                <w:rFonts w:asciiTheme="majorBidi" w:hAnsiTheme="majorBidi" w:cstheme="majorBidi"/>
                <w:lang w:val="lt-LT"/>
              </w:rPr>
              <w:t xml:space="preserve">Bendra: 1 </w:t>
            </w:r>
            <w:r w:rsidRPr="00ED3D25">
              <w:rPr>
                <w:rFonts w:asciiTheme="majorBidi" w:hAnsiTheme="majorBidi" w:cstheme="majorBidi"/>
                <w:lang w:val="lt-LT"/>
              </w:rPr>
              <w:sym w:font="Symbol" w:char="F0A3"/>
            </w:r>
            <w:r w:rsidRPr="00ED3D25">
              <w:rPr>
                <w:rFonts w:asciiTheme="majorBidi" w:hAnsiTheme="majorBidi" w:cstheme="majorBidi"/>
                <w:lang w:val="lt-LT"/>
              </w:rPr>
              <w:t xml:space="preserve"> X</w:t>
            </w:r>
          </w:p>
        </w:tc>
      </w:tr>
      <w:tr w:rsidR="00646707" w:rsidRPr="00ED3D25" w:rsidTr="00786EF7">
        <w:tc>
          <w:tcPr>
            <w:tcW w:w="0" w:type="auto"/>
            <w:vAlign w:val="center"/>
          </w:tcPr>
          <w:p w:rsidR="00646707" w:rsidRPr="00ED3D25" w:rsidRDefault="000371B3" w:rsidP="00F41E1E">
            <w:pPr>
              <w:tabs>
                <w:tab w:val="left" w:pos="851"/>
              </w:tabs>
              <w:spacing w:line="240" w:lineRule="auto"/>
              <w:rPr>
                <w:rFonts w:asciiTheme="majorBidi" w:hAnsiTheme="majorBidi" w:cstheme="majorBidi"/>
                <w:lang w:val="lt-LT"/>
              </w:rPr>
            </w:pPr>
            <w:r w:rsidRPr="00ED3D25">
              <w:rPr>
                <w:rFonts w:asciiTheme="majorBidi" w:hAnsiTheme="majorBidi" w:cstheme="majorBidi"/>
                <w:lang w:val="lt-LT"/>
              </w:rPr>
              <w:t>Absoliutus likvidumas</w:t>
            </w:r>
          </w:p>
        </w:tc>
        <w:tc>
          <w:tcPr>
            <w:tcW w:w="5400" w:type="dxa"/>
            <w:vAlign w:val="center"/>
          </w:tcPr>
          <w:p w:rsidR="00646707" w:rsidRPr="00ED3D25" w:rsidRDefault="00B45AD9" w:rsidP="00F41E1E">
            <w:pPr>
              <w:tabs>
                <w:tab w:val="left" w:pos="851"/>
              </w:tabs>
              <w:spacing w:line="240" w:lineRule="auto"/>
              <w:rPr>
                <w:rFonts w:asciiTheme="majorBidi" w:hAnsiTheme="majorBidi" w:cstheme="majorBidi"/>
                <w:lang w:val="lt-LT"/>
              </w:rPr>
            </w:pPr>
            <w:r w:rsidRPr="00ED3D25">
              <w:rPr>
                <w:rFonts w:asciiTheme="majorBidi" w:hAnsiTheme="majorBidi" w:cstheme="majorBidi"/>
                <w:lang w:val="lt-LT"/>
              </w:rPr>
              <w:t>Pinigai ir jų ek</w:t>
            </w:r>
            <w:r w:rsidR="00786EF7" w:rsidRPr="00ED3D25">
              <w:rPr>
                <w:rFonts w:asciiTheme="majorBidi" w:hAnsiTheme="majorBidi" w:cstheme="majorBidi"/>
                <w:lang w:val="lt-LT"/>
              </w:rPr>
              <w:t>vivalentai / Trumpalaikiai įsipareig.</w:t>
            </w:r>
          </w:p>
        </w:tc>
        <w:tc>
          <w:tcPr>
            <w:tcW w:w="2375" w:type="dxa"/>
            <w:vAlign w:val="center"/>
          </w:tcPr>
          <w:p w:rsidR="00646707" w:rsidRPr="00ED3D25" w:rsidRDefault="00B45AD9" w:rsidP="00F41E1E">
            <w:pPr>
              <w:tabs>
                <w:tab w:val="left" w:pos="851"/>
              </w:tabs>
              <w:spacing w:line="240" w:lineRule="auto"/>
              <w:rPr>
                <w:rFonts w:asciiTheme="majorBidi" w:hAnsiTheme="majorBidi" w:cstheme="majorBidi"/>
                <w:lang w:val="lt-LT"/>
              </w:rPr>
            </w:pPr>
            <w:r w:rsidRPr="00ED3D25">
              <w:rPr>
                <w:rFonts w:asciiTheme="majorBidi" w:hAnsiTheme="majorBidi" w:cstheme="majorBidi"/>
                <w:lang w:val="lt-LT"/>
              </w:rPr>
              <w:t>X=</w:t>
            </w:r>
            <w:r w:rsidRPr="00ED3D25">
              <w:rPr>
                <w:rFonts w:asciiTheme="majorBidi" w:hAnsiTheme="majorBidi" w:cstheme="majorBidi"/>
                <w:lang w:val="lt-LT"/>
              </w:rPr>
              <w:sym w:font="Symbol" w:char="F07E"/>
            </w:r>
            <w:r w:rsidRPr="00ED3D25">
              <w:rPr>
                <w:rFonts w:asciiTheme="majorBidi" w:hAnsiTheme="majorBidi" w:cstheme="majorBidi"/>
                <w:lang w:val="lt-LT"/>
              </w:rPr>
              <w:t>1</w:t>
            </w:r>
          </w:p>
        </w:tc>
      </w:tr>
    </w:tbl>
    <w:p w:rsidR="00786EF7" w:rsidRPr="00ED3D25" w:rsidRDefault="00786EF7" w:rsidP="00786EF7">
      <w:pPr>
        <w:tabs>
          <w:tab w:val="left" w:pos="851"/>
        </w:tabs>
        <w:spacing w:after="0" w:line="240" w:lineRule="auto"/>
        <w:rPr>
          <w:sz w:val="20"/>
          <w:szCs w:val="20"/>
          <w:lang w:val="lt-LT"/>
        </w:rPr>
      </w:pPr>
      <w:r w:rsidRPr="00ED3D25">
        <w:rPr>
          <w:sz w:val="20"/>
          <w:szCs w:val="20"/>
          <w:lang w:val="lt-LT"/>
        </w:rPr>
        <w:t>Pastaba: lentelė sudaryta autorės, remiantis Rodiklių skaičiavimo metodika (2001), J. Macke</w:t>
      </w:r>
      <w:r w:rsidR="00E12544" w:rsidRPr="00ED3D25">
        <w:rPr>
          <w:sz w:val="20"/>
          <w:szCs w:val="20"/>
          <w:lang w:val="lt-LT"/>
        </w:rPr>
        <w:t>vičiumi</w:t>
      </w:r>
      <w:r w:rsidRPr="00ED3D25">
        <w:rPr>
          <w:sz w:val="20"/>
          <w:szCs w:val="20"/>
          <w:lang w:val="lt-LT"/>
        </w:rPr>
        <w:t xml:space="preserve"> (2007).</w:t>
      </w:r>
    </w:p>
    <w:p w:rsidR="00786EF7" w:rsidRPr="006B01BF" w:rsidRDefault="00786EF7" w:rsidP="00786EF7">
      <w:pPr>
        <w:tabs>
          <w:tab w:val="left" w:pos="851"/>
        </w:tabs>
        <w:spacing w:after="0" w:line="240" w:lineRule="auto"/>
        <w:rPr>
          <w:sz w:val="14"/>
          <w:szCs w:val="14"/>
          <w:lang w:val="lt-LT"/>
        </w:rPr>
      </w:pPr>
    </w:p>
    <w:p w:rsidR="00EE2B5D" w:rsidRPr="00ED3D25" w:rsidRDefault="00B86313" w:rsidP="00301643">
      <w:pPr>
        <w:tabs>
          <w:tab w:val="left" w:pos="851"/>
        </w:tabs>
        <w:spacing w:after="0"/>
        <w:ind w:firstLine="851"/>
        <w:rPr>
          <w:rFonts w:asciiTheme="majorBidi" w:hAnsiTheme="majorBidi" w:cstheme="majorBidi"/>
          <w:szCs w:val="24"/>
          <w:lang w:val="lt-LT"/>
        </w:rPr>
      </w:pPr>
      <w:r w:rsidRPr="00ED3D25">
        <w:rPr>
          <w:rFonts w:asciiTheme="majorBidi" w:hAnsiTheme="majorBidi" w:cstheme="majorBidi"/>
          <w:szCs w:val="24"/>
          <w:lang w:val="lt-LT"/>
        </w:rPr>
        <w:t xml:space="preserve">Tyrime skaičiuojamas </w:t>
      </w:r>
      <w:r w:rsidR="00646707" w:rsidRPr="00ED3D25">
        <w:rPr>
          <w:rFonts w:asciiTheme="majorBidi" w:hAnsiTheme="majorBidi" w:cstheme="majorBidi"/>
          <w:szCs w:val="24"/>
          <w:lang w:val="lt-LT"/>
        </w:rPr>
        <w:t>vienas svarbiausių rodiklių – einamojo likvidumo koeficientas</w:t>
      </w:r>
      <w:r w:rsidR="00746E75">
        <w:rPr>
          <w:rFonts w:asciiTheme="majorBidi" w:hAnsiTheme="majorBidi" w:cstheme="majorBidi"/>
          <w:szCs w:val="24"/>
          <w:lang w:val="lt-LT"/>
        </w:rPr>
        <w:t xml:space="preserve"> (žr. 5 lentelę)</w:t>
      </w:r>
      <w:r w:rsidR="00646707" w:rsidRPr="00ED3D25">
        <w:rPr>
          <w:rFonts w:asciiTheme="majorBidi" w:hAnsiTheme="majorBidi" w:cstheme="majorBidi"/>
          <w:szCs w:val="24"/>
          <w:lang w:val="lt-LT"/>
        </w:rPr>
        <w:t>, kuris atskleidžia trumpalaikių įsipareigojimų padengimą trumpalaikiu turtu.</w:t>
      </w:r>
      <w:r w:rsidR="007C28A7">
        <w:rPr>
          <w:rFonts w:asciiTheme="majorBidi" w:hAnsiTheme="majorBidi" w:cstheme="majorBidi"/>
          <w:szCs w:val="24"/>
          <w:lang w:val="lt-LT"/>
        </w:rPr>
        <w:t xml:space="preserve"> Rodiklių skaičiavimo metodikoje</w:t>
      </w:r>
      <w:r w:rsidR="00724F4B" w:rsidRPr="00ED3D25">
        <w:rPr>
          <w:rFonts w:asciiTheme="majorBidi" w:hAnsiTheme="majorBidi" w:cstheme="majorBidi"/>
          <w:szCs w:val="24"/>
          <w:lang w:val="lt-LT"/>
        </w:rPr>
        <w:t xml:space="preserve"> (2001) atskleidžiama, kad žemesnė reikšmė už vienetą rodo problemas, susijusias su sunkumais iškart apmokėti skolas, tačiau didesnė už dvejetą reikšmė, taip pat nėra gerai. Tuomet atsiranda kita problema – neefekt</w:t>
      </w:r>
      <w:r w:rsidR="000371B3" w:rsidRPr="00ED3D25">
        <w:rPr>
          <w:rFonts w:asciiTheme="majorBidi" w:hAnsiTheme="majorBidi" w:cstheme="majorBidi"/>
          <w:szCs w:val="24"/>
          <w:lang w:val="lt-LT"/>
        </w:rPr>
        <w:t>yviai valdomas trumpalaikis turtas</w:t>
      </w:r>
      <w:r w:rsidR="00724F4B" w:rsidRPr="00ED3D25">
        <w:rPr>
          <w:rFonts w:asciiTheme="majorBidi" w:hAnsiTheme="majorBidi" w:cstheme="majorBidi"/>
          <w:szCs w:val="24"/>
          <w:lang w:val="lt-LT"/>
        </w:rPr>
        <w:t>.</w:t>
      </w:r>
      <w:r w:rsidR="000371B3" w:rsidRPr="00ED3D25">
        <w:rPr>
          <w:rFonts w:asciiTheme="majorBidi" w:hAnsiTheme="majorBidi" w:cstheme="majorBidi"/>
          <w:szCs w:val="24"/>
          <w:lang w:val="lt-LT"/>
        </w:rPr>
        <w:t xml:space="preserve"> </w:t>
      </w:r>
      <w:r w:rsidR="00646707" w:rsidRPr="00ED3D25">
        <w:rPr>
          <w:rFonts w:asciiTheme="majorBidi" w:hAnsiTheme="majorBidi" w:cstheme="majorBidi"/>
          <w:szCs w:val="24"/>
          <w:lang w:val="lt-LT"/>
        </w:rPr>
        <w:t>Taip pat</w:t>
      </w:r>
      <w:r w:rsidR="008B5845" w:rsidRPr="00ED3D25">
        <w:rPr>
          <w:rFonts w:asciiTheme="majorBidi" w:hAnsiTheme="majorBidi" w:cstheme="majorBidi"/>
          <w:szCs w:val="24"/>
          <w:lang w:val="lt-LT"/>
        </w:rPr>
        <w:t xml:space="preserve"> skaičiuojamas</w:t>
      </w:r>
      <w:r w:rsidR="00646707" w:rsidRPr="00ED3D25">
        <w:rPr>
          <w:rFonts w:asciiTheme="majorBidi" w:hAnsiTheme="majorBidi" w:cstheme="majorBidi"/>
          <w:szCs w:val="24"/>
          <w:lang w:val="lt-LT"/>
        </w:rPr>
        <w:t xml:space="preserve"> absoliutaus likvidumo koeficientas</w:t>
      </w:r>
      <w:r w:rsidRPr="00ED3D25">
        <w:rPr>
          <w:rFonts w:asciiTheme="majorBidi" w:hAnsiTheme="majorBidi" w:cstheme="majorBidi"/>
          <w:szCs w:val="24"/>
          <w:lang w:val="lt-LT"/>
        </w:rPr>
        <w:t xml:space="preserve">, kuris </w:t>
      </w:r>
      <w:r w:rsidR="00646707" w:rsidRPr="00ED3D25">
        <w:rPr>
          <w:rFonts w:asciiTheme="majorBidi" w:hAnsiTheme="majorBidi" w:cstheme="majorBidi"/>
          <w:szCs w:val="24"/>
          <w:lang w:val="lt-LT"/>
        </w:rPr>
        <w:t>parodo</w:t>
      </w:r>
      <w:r w:rsidRPr="00ED3D25">
        <w:rPr>
          <w:rFonts w:asciiTheme="majorBidi" w:hAnsiTheme="majorBidi" w:cstheme="majorBidi"/>
          <w:szCs w:val="24"/>
          <w:lang w:val="lt-LT"/>
        </w:rPr>
        <w:t xml:space="preserve"> ar įmonė gali turimais grynaisiais pinigais ir jų ekvivalentais padengti trumpalaikius įsipareigojimus</w:t>
      </w:r>
      <w:r w:rsidR="00786EF7" w:rsidRPr="00ED3D25">
        <w:rPr>
          <w:rFonts w:asciiTheme="majorBidi" w:hAnsiTheme="majorBidi" w:cstheme="majorBidi"/>
          <w:szCs w:val="24"/>
          <w:lang w:val="lt-LT"/>
        </w:rPr>
        <w:t>. Kuo konservatyvesnė įmonės valdymo politika, tuo didesnis pinigų ir jų ekvivalentų likutis, tokiu atveju rodiklis yra aukštesnis (Rodiklių skaičiavimo metodika, 2001).</w:t>
      </w:r>
    </w:p>
    <w:p w:rsidR="007F4BC0" w:rsidRPr="00ED3D25" w:rsidRDefault="007F4BC0" w:rsidP="007F4BC0">
      <w:pPr>
        <w:tabs>
          <w:tab w:val="left" w:pos="851"/>
        </w:tabs>
        <w:spacing w:after="0"/>
        <w:ind w:firstLine="851"/>
        <w:jc w:val="right"/>
        <w:rPr>
          <w:rFonts w:asciiTheme="majorBidi" w:hAnsiTheme="majorBidi" w:cstheme="majorBidi"/>
          <w:b/>
          <w:bCs/>
          <w:szCs w:val="24"/>
          <w:lang w:val="lt-LT"/>
        </w:rPr>
      </w:pPr>
      <w:r w:rsidRPr="00ED3D25">
        <w:rPr>
          <w:rFonts w:asciiTheme="majorBidi" w:hAnsiTheme="majorBidi" w:cstheme="majorBidi"/>
          <w:b/>
          <w:bCs/>
          <w:szCs w:val="24"/>
          <w:lang w:val="lt-LT"/>
        </w:rPr>
        <w:t xml:space="preserve"> 6 lentelė</w:t>
      </w:r>
    </w:p>
    <w:p w:rsidR="007F4BC0" w:rsidRPr="00ED3D25" w:rsidRDefault="00B924CA" w:rsidP="007F4BC0">
      <w:pPr>
        <w:tabs>
          <w:tab w:val="left" w:pos="851"/>
        </w:tabs>
        <w:spacing w:after="0" w:line="240" w:lineRule="auto"/>
        <w:ind w:firstLine="851"/>
        <w:jc w:val="center"/>
        <w:rPr>
          <w:rFonts w:asciiTheme="majorBidi" w:hAnsiTheme="majorBidi" w:cstheme="majorBidi"/>
          <w:b/>
          <w:bCs/>
          <w:lang w:val="lt-LT"/>
        </w:rPr>
      </w:pPr>
      <w:r w:rsidRPr="00ED3D25">
        <w:rPr>
          <w:rFonts w:asciiTheme="majorBidi" w:hAnsiTheme="majorBidi" w:cstheme="majorBidi"/>
          <w:b/>
          <w:bCs/>
          <w:lang w:val="lt-LT"/>
        </w:rPr>
        <w:t>Finansinio sverto rodikliai</w:t>
      </w:r>
    </w:p>
    <w:p w:rsidR="007F4BC0" w:rsidRPr="00ED3D25" w:rsidRDefault="007F4BC0" w:rsidP="007F4BC0">
      <w:pPr>
        <w:tabs>
          <w:tab w:val="left" w:pos="851"/>
        </w:tabs>
        <w:spacing w:after="0" w:line="240" w:lineRule="auto"/>
        <w:ind w:firstLine="851"/>
        <w:jc w:val="center"/>
        <w:rPr>
          <w:rFonts w:asciiTheme="majorBidi" w:hAnsiTheme="majorBidi" w:cstheme="majorBidi"/>
          <w:b/>
          <w:bCs/>
          <w:lang w:val="lt-LT"/>
        </w:rPr>
      </w:pPr>
    </w:p>
    <w:tbl>
      <w:tblPr>
        <w:tblStyle w:val="TableGrid"/>
        <w:tblW w:w="0" w:type="auto"/>
        <w:tblLook w:val="04A0" w:firstRow="1" w:lastRow="0" w:firstColumn="1" w:lastColumn="0" w:noHBand="0" w:noVBand="1"/>
      </w:tblPr>
      <w:tblGrid>
        <w:gridCol w:w="4503"/>
        <w:gridCol w:w="3827"/>
        <w:gridCol w:w="1524"/>
      </w:tblGrid>
      <w:tr w:rsidR="007F4BC0" w:rsidRPr="00ED3D25" w:rsidTr="00185181">
        <w:tc>
          <w:tcPr>
            <w:tcW w:w="4503" w:type="dxa"/>
            <w:vAlign w:val="center"/>
          </w:tcPr>
          <w:p w:rsidR="007F4BC0" w:rsidRPr="00ED3D25" w:rsidRDefault="007F4BC0" w:rsidP="00F41E1E">
            <w:pPr>
              <w:tabs>
                <w:tab w:val="left" w:pos="851"/>
              </w:tabs>
              <w:spacing w:line="240" w:lineRule="auto"/>
              <w:rPr>
                <w:rFonts w:asciiTheme="majorBidi" w:hAnsiTheme="majorBidi" w:cstheme="majorBidi"/>
                <w:b/>
                <w:bCs/>
                <w:lang w:val="lt-LT"/>
              </w:rPr>
            </w:pPr>
            <w:r w:rsidRPr="00ED3D25">
              <w:rPr>
                <w:rFonts w:asciiTheme="majorBidi" w:hAnsiTheme="majorBidi" w:cstheme="majorBidi"/>
                <w:b/>
                <w:bCs/>
                <w:lang w:val="lt-LT"/>
              </w:rPr>
              <w:t>Rodiklis</w:t>
            </w:r>
          </w:p>
        </w:tc>
        <w:tc>
          <w:tcPr>
            <w:tcW w:w="3827" w:type="dxa"/>
            <w:vAlign w:val="center"/>
          </w:tcPr>
          <w:p w:rsidR="007F4BC0" w:rsidRPr="00ED3D25" w:rsidRDefault="007F4BC0" w:rsidP="00F41E1E">
            <w:pPr>
              <w:tabs>
                <w:tab w:val="left" w:pos="851"/>
              </w:tabs>
              <w:spacing w:line="240" w:lineRule="auto"/>
              <w:rPr>
                <w:rFonts w:asciiTheme="majorBidi" w:hAnsiTheme="majorBidi" w:cstheme="majorBidi"/>
                <w:b/>
                <w:bCs/>
                <w:lang w:val="lt-LT"/>
              </w:rPr>
            </w:pPr>
            <w:r w:rsidRPr="00ED3D25">
              <w:rPr>
                <w:rFonts w:asciiTheme="majorBidi" w:hAnsiTheme="majorBidi" w:cstheme="majorBidi"/>
                <w:b/>
                <w:bCs/>
                <w:lang w:val="lt-LT"/>
              </w:rPr>
              <w:t>Formulė</w:t>
            </w:r>
          </w:p>
        </w:tc>
        <w:tc>
          <w:tcPr>
            <w:tcW w:w="1524" w:type="dxa"/>
            <w:vAlign w:val="center"/>
          </w:tcPr>
          <w:p w:rsidR="007F4BC0" w:rsidRPr="00ED3D25" w:rsidRDefault="007F4BC0" w:rsidP="00F41E1E">
            <w:pPr>
              <w:tabs>
                <w:tab w:val="left" w:pos="851"/>
              </w:tabs>
              <w:spacing w:line="240" w:lineRule="auto"/>
              <w:rPr>
                <w:rFonts w:asciiTheme="majorBidi" w:hAnsiTheme="majorBidi" w:cstheme="majorBidi"/>
                <w:b/>
                <w:bCs/>
                <w:lang w:val="lt-LT"/>
              </w:rPr>
            </w:pPr>
            <w:r w:rsidRPr="00ED3D25">
              <w:rPr>
                <w:rFonts w:asciiTheme="majorBidi" w:hAnsiTheme="majorBidi" w:cstheme="majorBidi"/>
                <w:b/>
                <w:bCs/>
                <w:lang w:val="lt-LT"/>
              </w:rPr>
              <w:t>Reikšmė</w:t>
            </w:r>
          </w:p>
        </w:tc>
      </w:tr>
      <w:tr w:rsidR="007F4BC0" w:rsidRPr="00ED3D25" w:rsidTr="00185181">
        <w:tc>
          <w:tcPr>
            <w:tcW w:w="4503" w:type="dxa"/>
            <w:vAlign w:val="center"/>
          </w:tcPr>
          <w:p w:rsidR="007F4BC0" w:rsidRPr="00ED3D25" w:rsidRDefault="007F4BC0" w:rsidP="00F41E1E">
            <w:pPr>
              <w:tabs>
                <w:tab w:val="left" w:pos="851"/>
              </w:tabs>
              <w:spacing w:line="240" w:lineRule="auto"/>
              <w:rPr>
                <w:rFonts w:asciiTheme="majorBidi" w:hAnsiTheme="majorBidi" w:cstheme="majorBidi"/>
                <w:lang w:val="lt-LT"/>
              </w:rPr>
            </w:pPr>
            <w:r w:rsidRPr="00ED3D25">
              <w:rPr>
                <w:rFonts w:asciiTheme="majorBidi" w:hAnsiTheme="majorBidi" w:cstheme="majorBidi"/>
                <w:lang w:val="lt-LT"/>
              </w:rPr>
              <w:t>Įsiskolinimo koeficientas</w:t>
            </w:r>
          </w:p>
        </w:tc>
        <w:tc>
          <w:tcPr>
            <w:tcW w:w="3827" w:type="dxa"/>
            <w:vAlign w:val="center"/>
          </w:tcPr>
          <w:p w:rsidR="007F4BC0" w:rsidRPr="00ED3D25" w:rsidRDefault="007F4BC0" w:rsidP="00F41E1E">
            <w:pPr>
              <w:tabs>
                <w:tab w:val="left" w:pos="851"/>
              </w:tabs>
              <w:spacing w:line="240" w:lineRule="auto"/>
              <w:rPr>
                <w:rFonts w:asciiTheme="majorBidi" w:hAnsiTheme="majorBidi" w:cstheme="majorBidi"/>
                <w:lang w:val="lt-LT"/>
              </w:rPr>
            </w:pPr>
            <w:r w:rsidRPr="00ED3D25">
              <w:rPr>
                <w:rFonts w:asciiTheme="majorBidi" w:hAnsiTheme="majorBidi" w:cstheme="majorBidi"/>
                <w:lang w:val="lt-LT"/>
              </w:rPr>
              <w:t>Įsipareigojimai / Turtas</w:t>
            </w:r>
          </w:p>
          <w:p w:rsidR="00E82A14" w:rsidRPr="00ED3D25" w:rsidRDefault="00E82A14" w:rsidP="00F41E1E">
            <w:pPr>
              <w:tabs>
                <w:tab w:val="left" w:pos="851"/>
              </w:tabs>
              <w:spacing w:line="240" w:lineRule="auto"/>
              <w:rPr>
                <w:rFonts w:asciiTheme="majorBidi" w:hAnsiTheme="majorBidi" w:cstheme="majorBidi"/>
                <w:lang w:val="lt-LT"/>
              </w:rPr>
            </w:pPr>
            <w:r w:rsidRPr="00ED3D25">
              <w:rPr>
                <w:rFonts w:asciiTheme="majorBidi" w:hAnsiTheme="majorBidi" w:cstheme="majorBidi"/>
                <w:lang w:val="lt-LT"/>
              </w:rPr>
              <w:t>Įsipareig.= Turtas – Nuosavas kapital.</w:t>
            </w:r>
          </w:p>
        </w:tc>
        <w:tc>
          <w:tcPr>
            <w:tcW w:w="1524" w:type="dxa"/>
            <w:vAlign w:val="center"/>
          </w:tcPr>
          <w:p w:rsidR="007F4BC0" w:rsidRPr="00ED3D25" w:rsidRDefault="00161C86" w:rsidP="00F41E1E">
            <w:pPr>
              <w:tabs>
                <w:tab w:val="left" w:pos="851"/>
              </w:tabs>
              <w:spacing w:line="240" w:lineRule="auto"/>
              <w:rPr>
                <w:rFonts w:asciiTheme="majorBidi" w:hAnsiTheme="majorBidi" w:cstheme="majorBidi"/>
                <w:lang w:val="lt-LT"/>
              </w:rPr>
            </w:pPr>
            <w:r w:rsidRPr="00ED3D25">
              <w:rPr>
                <w:rFonts w:asciiTheme="majorBidi" w:hAnsiTheme="majorBidi" w:cstheme="majorBidi"/>
                <w:lang w:val="lt-LT"/>
              </w:rPr>
              <w:t>0,4</w:t>
            </w:r>
            <w:r w:rsidR="00067675" w:rsidRPr="00ED3D25">
              <w:rPr>
                <w:rFonts w:asciiTheme="majorBidi" w:hAnsiTheme="majorBidi" w:cstheme="majorBidi"/>
                <w:lang w:val="lt-LT"/>
              </w:rPr>
              <w:t xml:space="preserve"> </w:t>
            </w:r>
            <w:r w:rsidR="00E77937" w:rsidRPr="00ED3D25">
              <w:rPr>
                <w:rFonts w:asciiTheme="majorBidi" w:hAnsiTheme="majorBidi" w:cstheme="majorBidi"/>
                <w:lang w:val="lt-LT"/>
              </w:rPr>
              <w:sym w:font="Symbol" w:char="F0A3"/>
            </w:r>
            <w:r w:rsidR="00E77937" w:rsidRPr="00ED3D25">
              <w:rPr>
                <w:rFonts w:asciiTheme="majorBidi" w:hAnsiTheme="majorBidi" w:cstheme="majorBidi"/>
                <w:lang w:val="lt-LT"/>
              </w:rPr>
              <w:t xml:space="preserve"> X </w:t>
            </w:r>
            <w:r w:rsidR="00E77937" w:rsidRPr="00ED3D25">
              <w:rPr>
                <w:rFonts w:asciiTheme="majorBidi" w:hAnsiTheme="majorBidi" w:cstheme="majorBidi"/>
                <w:lang w:val="lt-LT"/>
              </w:rPr>
              <w:sym w:font="Symbol" w:char="F0B3"/>
            </w:r>
            <w:r w:rsidR="00E77937" w:rsidRPr="00ED3D25">
              <w:rPr>
                <w:rFonts w:asciiTheme="majorBidi" w:hAnsiTheme="majorBidi" w:cstheme="majorBidi"/>
                <w:lang w:val="lt-LT"/>
              </w:rPr>
              <w:t xml:space="preserve"> </w:t>
            </w:r>
            <w:r w:rsidRPr="00ED3D25">
              <w:rPr>
                <w:rFonts w:asciiTheme="majorBidi" w:hAnsiTheme="majorBidi" w:cstheme="majorBidi"/>
                <w:lang w:val="lt-LT"/>
              </w:rPr>
              <w:t>0,</w:t>
            </w:r>
            <w:r w:rsidR="00E77937" w:rsidRPr="00ED3D25">
              <w:rPr>
                <w:rFonts w:asciiTheme="majorBidi" w:hAnsiTheme="majorBidi" w:cstheme="majorBidi"/>
                <w:lang w:val="lt-LT"/>
              </w:rPr>
              <w:t>6</w:t>
            </w:r>
          </w:p>
        </w:tc>
      </w:tr>
      <w:tr w:rsidR="007F4BC0" w:rsidRPr="00ED3D25" w:rsidTr="00185181">
        <w:tc>
          <w:tcPr>
            <w:tcW w:w="4503" w:type="dxa"/>
            <w:vAlign w:val="center"/>
          </w:tcPr>
          <w:p w:rsidR="007F4BC0" w:rsidRPr="00ED3D25" w:rsidRDefault="00E77937" w:rsidP="00F41E1E">
            <w:pPr>
              <w:tabs>
                <w:tab w:val="left" w:pos="851"/>
              </w:tabs>
              <w:spacing w:line="240" w:lineRule="auto"/>
              <w:rPr>
                <w:rFonts w:asciiTheme="majorBidi" w:hAnsiTheme="majorBidi" w:cstheme="majorBidi"/>
                <w:lang w:val="lt-LT"/>
              </w:rPr>
            </w:pPr>
            <w:r w:rsidRPr="00ED3D25">
              <w:rPr>
                <w:rFonts w:asciiTheme="majorBidi" w:hAnsiTheme="majorBidi" w:cstheme="majorBidi"/>
                <w:lang w:val="lt-LT"/>
              </w:rPr>
              <w:t>Įsipareigojimų ir nuosavo kapitalo</w:t>
            </w:r>
            <w:r w:rsidR="00185181" w:rsidRPr="00ED3D25">
              <w:rPr>
                <w:rFonts w:asciiTheme="majorBidi" w:hAnsiTheme="majorBidi" w:cstheme="majorBidi"/>
                <w:lang w:val="lt-LT"/>
              </w:rPr>
              <w:t xml:space="preserve"> (NK)</w:t>
            </w:r>
            <w:r w:rsidRPr="00ED3D25">
              <w:rPr>
                <w:rFonts w:asciiTheme="majorBidi" w:hAnsiTheme="majorBidi" w:cstheme="majorBidi"/>
                <w:lang w:val="lt-LT"/>
              </w:rPr>
              <w:t xml:space="preserve"> santykis</w:t>
            </w:r>
          </w:p>
        </w:tc>
        <w:tc>
          <w:tcPr>
            <w:tcW w:w="3827" w:type="dxa"/>
            <w:vAlign w:val="center"/>
          </w:tcPr>
          <w:p w:rsidR="007F4BC0" w:rsidRPr="00ED3D25" w:rsidRDefault="00E82A14" w:rsidP="00F41E1E">
            <w:pPr>
              <w:tabs>
                <w:tab w:val="left" w:pos="851"/>
              </w:tabs>
              <w:spacing w:line="240" w:lineRule="auto"/>
              <w:rPr>
                <w:rFonts w:asciiTheme="majorBidi" w:hAnsiTheme="majorBidi" w:cstheme="majorBidi"/>
                <w:lang w:val="lt-LT"/>
              </w:rPr>
            </w:pPr>
            <w:r w:rsidRPr="00ED3D25">
              <w:rPr>
                <w:rFonts w:asciiTheme="majorBidi" w:hAnsiTheme="majorBidi" w:cstheme="majorBidi"/>
                <w:lang w:val="lt-LT"/>
              </w:rPr>
              <w:t>Įsipareigojimai / Nuosavas kapitalas</w:t>
            </w:r>
          </w:p>
        </w:tc>
        <w:tc>
          <w:tcPr>
            <w:tcW w:w="1524" w:type="dxa"/>
            <w:vAlign w:val="center"/>
          </w:tcPr>
          <w:p w:rsidR="007F4BC0" w:rsidRPr="00ED3D25" w:rsidRDefault="00161C86" w:rsidP="00F41E1E">
            <w:pPr>
              <w:tabs>
                <w:tab w:val="left" w:pos="851"/>
              </w:tabs>
              <w:spacing w:line="240" w:lineRule="auto"/>
              <w:rPr>
                <w:rFonts w:asciiTheme="majorBidi" w:hAnsiTheme="majorBidi" w:cstheme="majorBidi"/>
                <w:lang w:val="lt-LT"/>
              </w:rPr>
            </w:pPr>
            <w:r w:rsidRPr="00ED3D25">
              <w:rPr>
                <w:rFonts w:asciiTheme="majorBidi" w:hAnsiTheme="majorBidi" w:cstheme="majorBidi"/>
                <w:lang w:val="lt-LT"/>
              </w:rPr>
              <w:t xml:space="preserve"> 0,5</w:t>
            </w:r>
            <w:r w:rsidR="00067675" w:rsidRPr="00ED3D25">
              <w:rPr>
                <w:rFonts w:asciiTheme="majorBidi" w:hAnsiTheme="majorBidi" w:cstheme="majorBidi"/>
                <w:lang w:val="lt-LT"/>
              </w:rPr>
              <w:t xml:space="preserve"> </w:t>
            </w:r>
            <w:r w:rsidR="00067675" w:rsidRPr="00ED3D25">
              <w:rPr>
                <w:rFonts w:asciiTheme="majorBidi" w:hAnsiTheme="majorBidi" w:cstheme="majorBidi"/>
                <w:lang w:val="lt-LT"/>
              </w:rPr>
              <w:sym w:font="Symbol" w:char="F0A3"/>
            </w:r>
            <w:r w:rsidR="00067675" w:rsidRPr="00ED3D25">
              <w:rPr>
                <w:rFonts w:asciiTheme="majorBidi" w:hAnsiTheme="majorBidi" w:cstheme="majorBidi"/>
                <w:lang w:val="lt-LT"/>
              </w:rPr>
              <w:t xml:space="preserve"> X</w:t>
            </w:r>
          </w:p>
        </w:tc>
      </w:tr>
      <w:tr w:rsidR="007F4BC0" w:rsidRPr="00ED3D25" w:rsidTr="00185181">
        <w:tc>
          <w:tcPr>
            <w:tcW w:w="4503" w:type="dxa"/>
            <w:vAlign w:val="center"/>
          </w:tcPr>
          <w:p w:rsidR="007F4BC0" w:rsidRPr="00ED3D25" w:rsidRDefault="00E77937" w:rsidP="00F41E1E">
            <w:pPr>
              <w:tabs>
                <w:tab w:val="left" w:pos="851"/>
              </w:tabs>
              <w:spacing w:line="240" w:lineRule="auto"/>
              <w:rPr>
                <w:rFonts w:asciiTheme="majorBidi" w:hAnsiTheme="majorBidi" w:cstheme="majorBidi"/>
                <w:lang w:val="lt-LT"/>
              </w:rPr>
            </w:pPr>
            <w:r w:rsidRPr="00ED3D25">
              <w:rPr>
                <w:rFonts w:asciiTheme="majorBidi" w:hAnsiTheme="majorBidi" w:cstheme="majorBidi"/>
                <w:lang w:val="lt-LT"/>
              </w:rPr>
              <w:t>Turto ir nuosavo kapitalo santykis</w:t>
            </w:r>
          </w:p>
        </w:tc>
        <w:tc>
          <w:tcPr>
            <w:tcW w:w="3827" w:type="dxa"/>
            <w:vAlign w:val="center"/>
          </w:tcPr>
          <w:p w:rsidR="007F4BC0" w:rsidRPr="00ED3D25" w:rsidRDefault="009A06E6" w:rsidP="00F41E1E">
            <w:pPr>
              <w:tabs>
                <w:tab w:val="left" w:pos="851"/>
              </w:tabs>
              <w:spacing w:line="240" w:lineRule="auto"/>
              <w:rPr>
                <w:rFonts w:asciiTheme="majorBidi" w:hAnsiTheme="majorBidi" w:cstheme="majorBidi"/>
                <w:lang w:val="lt-LT"/>
              </w:rPr>
            </w:pPr>
            <w:r w:rsidRPr="00ED3D25">
              <w:rPr>
                <w:rFonts w:asciiTheme="majorBidi" w:hAnsiTheme="majorBidi" w:cstheme="majorBidi"/>
                <w:lang w:val="lt-LT"/>
              </w:rPr>
              <w:t>Turtas / Nuosavas kapitalas</w:t>
            </w:r>
          </w:p>
        </w:tc>
        <w:tc>
          <w:tcPr>
            <w:tcW w:w="1524" w:type="dxa"/>
            <w:vAlign w:val="center"/>
          </w:tcPr>
          <w:p w:rsidR="007F4BC0" w:rsidRPr="00ED3D25" w:rsidRDefault="009A06E6" w:rsidP="00F41E1E">
            <w:pPr>
              <w:tabs>
                <w:tab w:val="left" w:pos="851"/>
              </w:tabs>
              <w:spacing w:line="240" w:lineRule="auto"/>
              <w:rPr>
                <w:rFonts w:asciiTheme="majorBidi" w:hAnsiTheme="majorBidi" w:cstheme="majorBidi"/>
                <w:lang w:val="lt-LT"/>
              </w:rPr>
            </w:pPr>
            <w:r w:rsidRPr="00ED3D25">
              <w:rPr>
                <w:rFonts w:asciiTheme="majorBidi" w:hAnsiTheme="majorBidi" w:cstheme="majorBidi"/>
                <w:lang w:val="lt-LT"/>
              </w:rPr>
              <w:t xml:space="preserve">1 </w:t>
            </w:r>
            <w:r w:rsidRPr="00ED3D25">
              <w:rPr>
                <w:rFonts w:asciiTheme="majorBidi" w:hAnsiTheme="majorBidi" w:cstheme="majorBidi"/>
                <w:lang w:val="lt-LT"/>
              </w:rPr>
              <w:sym w:font="Symbol" w:char="F0A3"/>
            </w:r>
            <w:r w:rsidRPr="00ED3D25">
              <w:rPr>
                <w:rFonts w:asciiTheme="majorBidi" w:hAnsiTheme="majorBidi" w:cstheme="majorBidi"/>
                <w:lang w:val="lt-LT"/>
              </w:rPr>
              <w:t xml:space="preserve"> X</w:t>
            </w:r>
          </w:p>
        </w:tc>
      </w:tr>
    </w:tbl>
    <w:p w:rsidR="007F4BC0" w:rsidRPr="00ED3D25" w:rsidRDefault="00B924CA" w:rsidP="005A348B">
      <w:pPr>
        <w:tabs>
          <w:tab w:val="left" w:pos="851"/>
        </w:tabs>
        <w:spacing w:after="0" w:line="240" w:lineRule="auto"/>
        <w:rPr>
          <w:sz w:val="20"/>
          <w:szCs w:val="20"/>
          <w:lang w:val="lt-LT"/>
        </w:rPr>
      </w:pPr>
      <w:r w:rsidRPr="00ED3D25">
        <w:rPr>
          <w:sz w:val="20"/>
          <w:szCs w:val="20"/>
          <w:lang w:val="lt-LT"/>
        </w:rPr>
        <w:t>Pastaba: lentelė sudaryta autorės, remiantis Rodiklių skaičiavimo metodika (2001), J. Mackev</w:t>
      </w:r>
      <w:r w:rsidR="00E12544" w:rsidRPr="00ED3D25">
        <w:rPr>
          <w:sz w:val="20"/>
          <w:szCs w:val="20"/>
          <w:lang w:val="lt-LT"/>
        </w:rPr>
        <w:t xml:space="preserve">ičiumi </w:t>
      </w:r>
      <w:r w:rsidRPr="00ED3D25">
        <w:rPr>
          <w:sz w:val="20"/>
          <w:szCs w:val="20"/>
          <w:lang w:val="lt-LT"/>
        </w:rPr>
        <w:t>(2007).</w:t>
      </w:r>
    </w:p>
    <w:p w:rsidR="005A348B" w:rsidRPr="006B01BF" w:rsidRDefault="005A348B" w:rsidP="005A348B">
      <w:pPr>
        <w:tabs>
          <w:tab w:val="left" w:pos="851"/>
        </w:tabs>
        <w:spacing w:after="0" w:line="240" w:lineRule="auto"/>
        <w:rPr>
          <w:sz w:val="14"/>
          <w:szCs w:val="14"/>
          <w:lang w:val="lt-LT"/>
        </w:rPr>
      </w:pPr>
    </w:p>
    <w:p w:rsidR="00F41E1E" w:rsidRPr="00FF2047" w:rsidRDefault="00B924CA" w:rsidP="00FF2047">
      <w:pPr>
        <w:tabs>
          <w:tab w:val="left" w:pos="851"/>
        </w:tabs>
        <w:spacing w:after="0"/>
        <w:ind w:firstLine="851"/>
        <w:rPr>
          <w:rFonts w:asciiTheme="majorBidi" w:hAnsiTheme="majorBidi" w:cstheme="majorBidi"/>
          <w:szCs w:val="24"/>
          <w:lang w:val="lt-LT"/>
        </w:rPr>
      </w:pPr>
      <w:r w:rsidRPr="00ED3D25">
        <w:rPr>
          <w:rFonts w:asciiTheme="majorBidi" w:hAnsiTheme="majorBidi" w:cstheme="majorBidi"/>
          <w:szCs w:val="24"/>
          <w:lang w:val="lt-LT"/>
        </w:rPr>
        <w:t>Finansinio s</w:t>
      </w:r>
      <w:r w:rsidR="007F4BC0" w:rsidRPr="00ED3D25">
        <w:rPr>
          <w:rFonts w:asciiTheme="majorBidi" w:hAnsiTheme="majorBidi" w:cstheme="majorBidi"/>
          <w:szCs w:val="24"/>
          <w:lang w:val="lt-LT"/>
        </w:rPr>
        <w:t>verto grupės rodikliai</w:t>
      </w:r>
      <w:r w:rsidR="00E82A14" w:rsidRPr="00ED3D25">
        <w:rPr>
          <w:rFonts w:asciiTheme="majorBidi" w:hAnsiTheme="majorBidi" w:cstheme="majorBidi"/>
          <w:szCs w:val="24"/>
          <w:lang w:val="lt-LT"/>
        </w:rPr>
        <w:t xml:space="preserve"> (žr. 6 lentelę)</w:t>
      </w:r>
      <w:r w:rsidR="007F4BC0" w:rsidRPr="00ED3D25">
        <w:rPr>
          <w:rFonts w:asciiTheme="majorBidi" w:hAnsiTheme="majorBidi" w:cstheme="majorBidi"/>
          <w:szCs w:val="24"/>
          <w:lang w:val="lt-LT"/>
        </w:rPr>
        <w:t xml:space="preserve"> padeda įvertinti, kaip įmo</w:t>
      </w:r>
      <w:r w:rsidR="00D764D0">
        <w:rPr>
          <w:rFonts w:asciiTheme="majorBidi" w:hAnsiTheme="majorBidi" w:cstheme="majorBidi"/>
          <w:szCs w:val="24"/>
          <w:lang w:val="lt-LT"/>
        </w:rPr>
        <w:t>nės veiklą lemia pokyčiai įmonės</w:t>
      </w:r>
      <w:r w:rsidR="007F4BC0" w:rsidRPr="00ED3D25">
        <w:rPr>
          <w:rFonts w:asciiTheme="majorBidi" w:hAnsiTheme="majorBidi" w:cstheme="majorBidi"/>
          <w:szCs w:val="24"/>
          <w:lang w:val="lt-LT"/>
        </w:rPr>
        <w:t xml:space="preserve"> finansų struktūroje. Kaip konkretus įmonės finansavimo metodas (skolinimasis, nuosavų lėšų pritraukimas) veikia įmonės mokumo galimybes. Įmonės įsiskolinimo koeficientas yra abstrakčiausias finansinio sverto rodiklis, </w:t>
      </w:r>
      <w:r w:rsidR="00E77937" w:rsidRPr="00ED3D25">
        <w:rPr>
          <w:rFonts w:asciiTheme="majorBidi" w:hAnsiTheme="majorBidi" w:cstheme="majorBidi"/>
          <w:szCs w:val="24"/>
          <w:lang w:val="lt-LT"/>
        </w:rPr>
        <w:t>parodanti</w:t>
      </w:r>
      <w:r w:rsidR="00D21366" w:rsidRPr="00ED3D25">
        <w:rPr>
          <w:rFonts w:asciiTheme="majorBidi" w:hAnsiTheme="majorBidi" w:cstheme="majorBidi"/>
          <w:szCs w:val="24"/>
          <w:lang w:val="lt-LT"/>
        </w:rPr>
        <w:t>s,</w:t>
      </w:r>
      <w:r w:rsidR="00E77937" w:rsidRPr="00ED3D25">
        <w:rPr>
          <w:rFonts w:asciiTheme="majorBidi" w:hAnsiTheme="majorBidi" w:cstheme="majorBidi"/>
          <w:szCs w:val="24"/>
          <w:lang w:val="lt-LT"/>
        </w:rPr>
        <w:t xml:space="preserve"> </w:t>
      </w:r>
      <w:r w:rsidR="007F4BC0" w:rsidRPr="00ED3D25">
        <w:rPr>
          <w:rFonts w:asciiTheme="majorBidi" w:hAnsiTheme="majorBidi" w:cstheme="majorBidi"/>
          <w:szCs w:val="24"/>
          <w:lang w:val="lt-LT"/>
        </w:rPr>
        <w:t xml:space="preserve">kokia įmonės turto dalis yra finansuota skolintomis lėšomis. </w:t>
      </w:r>
      <w:r w:rsidR="00E77937" w:rsidRPr="00ED3D25">
        <w:rPr>
          <w:rFonts w:asciiTheme="majorBidi" w:hAnsiTheme="majorBidi" w:cstheme="majorBidi"/>
          <w:szCs w:val="24"/>
          <w:lang w:val="lt-LT"/>
        </w:rPr>
        <w:t>Kuo rodiklis aukštesnis, tuo daugiau įmonės nuosavybės finansuojama skolintomis lėšomis.</w:t>
      </w:r>
      <w:r w:rsidR="00E82A14" w:rsidRPr="00ED3D25">
        <w:rPr>
          <w:rFonts w:asciiTheme="majorBidi" w:hAnsiTheme="majorBidi" w:cstheme="majorBidi"/>
          <w:szCs w:val="24"/>
          <w:lang w:val="lt-LT"/>
        </w:rPr>
        <w:t xml:space="preserve"> </w:t>
      </w:r>
      <w:r w:rsidR="007F4BC0" w:rsidRPr="00ED3D25">
        <w:rPr>
          <w:rFonts w:asciiTheme="majorBidi" w:hAnsiTheme="majorBidi" w:cstheme="majorBidi"/>
          <w:szCs w:val="24"/>
          <w:lang w:val="lt-LT"/>
        </w:rPr>
        <w:t xml:space="preserve">O vertinant įsipareigojimų ir nuosavo kapitalo santykį, </w:t>
      </w:r>
      <w:r w:rsidR="001311CB" w:rsidRPr="00ED3D25">
        <w:rPr>
          <w:rFonts w:asciiTheme="majorBidi" w:hAnsiTheme="majorBidi" w:cstheme="majorBidi"/>
          <w:szCs w:val="24"/>
          <w:lang w:val="lt-LT"/>
        </w:rPr>
        <w:t>matoma, kokia bendra įsipareigojimų suma tenka vienam nuosavo kapitalo litui (eurui)</w:t>
      </w:r>
      <w:r w:rsidR="007F4BC0" w:rsidRPr="00ED3D25">
        <w:rPr>
          <w:rFonts w:asciiTheme="majorBidi" w:hAnsiTheme="majorBidi" w:cstheme="majorBidi"/>
          <w:szCs w:val="24"/>
          <w:lang w:val="lt-LT"/>
        </w:rPr>
        <w:t>.</w:t>
      </w:r>
      <w:r w:rsidR="001311CB" w:rsidRPr="00ED3D25">
        <w:rPr>
          <w:rFonts w:asciiTheme="majorBidi" w:hAnsiTheme="majorBidi" w:cstheme="majorBidi"/>
          <w:szCs w:val="24"/>
          <w:lang w:val="lt-LT"/>
        </w:rPr>
        <w:t xml:space="preserve"> Kuo mažesnis rodiklis, tuo geriau, nes mažesnis dydis reiškia, kad mažesnis įmonės finansinės rizikos laipsnis (Rodiklių skaičiavimo metodika, 2001). </w:t>
      </w:r>
      <w:r w:rsidR="009A06E6" w:rsidRPr="00ED3D25">
        <w:rPr>
          <w:rFonts w:asciiTheme="majorBidi" w:hAnsiTheme="majorBidi" w:cstheme="majorBidi"/>
          <w:szCs w:val="24"/>
          <w:lang w:val="lt-LT"/>
        </w:rPr>
        <w:t>Turto ir nuosavo kapitalo santykis parodo, kokia turto dalis tenka 1 nuosavo kapitalo litui (eurui).</w:t>
      </w:r>
      <w:r w:rsidR="006C0287" w:rsidRPr="00ED3D25">
        <w:rPr>
          <w:rFonts w:asciiTheme="majorBidi" w:hAnsiTheme="majorBidi" w:cstheme="majorBidi"/>
          <w:szCs w:val="24"/>
          <w:lang w:val="lt-LT"/>
        </w:rPr>
        <w:t xml:space="preserve"> Reikšmė didesnė už vienetą reiškia, kad nuosavas kapitalas uždirba didesnę </w:t>
      </w:r>
      <w:r w:rsidR="006C0287" w:rsidRPr="00ED3D25">
        <w:rPr>
          <w:rFonts w:asciiTheme="majorBidi" w:hAnsiTheme="majorBidi" w:cstheme="majorBidi"/>
          <w:szCs w:val="24"/>
          <w:lang w:val="lt-LT"/>
        </w:rPr>
        <w:lastRenderedPageBreak/>
        <w:t>dalį turto, nei buvo investuota.</w:t>
      </w:r>
      <w:r w:rsidR="00301643">
        <w:rPr>
          <w:rFonts w:asciiTheme="majorBidi" w:hAnsiTheme="majorBidi" w:cstheme="majorBidi"/>
          <w:szCs w:val="24"/>
          <w:lang w:val="lt-LT"/>
        </w:rPr>
        <w:t xml:space="preserve"> </w:t>
      </w:r>
      <w:r w:rsidR="00301643">
        <w:rPr>
          <w:szCs w:val="24"/>
          <w:lang w:val="lt-LT"/>
        </w:rPr>
        <w:t>Pasak D. Beržinskienė</w:t>
      </w:r>
      <w:r w:rsidR="00D764D0">
        <w:rPr>
          <w:szCs w:val="24"/>
          <w:lang w:val="lt-LT"/>
        </w:rPr>
        <w:t>s</w:t>
      </w:r>
      <w:r w:rsidR="00301643">
        <w:rPr>
          <w:szCs w:val="24"/>
          <w:lang w:val="lt-LT"/>
        </w:rPr>
        <w:t xml:space="preserve"> ir kt. (2012) įsisavintos ES finansinės paramos lėšos </w:t>
      </w:r>
      <w:r w:rsidR="00D764D0">
        <w:rPr>
          <w:szCs w:val="24"/>
          <w:lang w:val="lt-LT"/>
        </w:rPr>
        <w:t>turi įtakos įmonės disponuojamai</w:t>
      </w:r>
      <w:r w:rsidR="00301643">
        <w:rPr>
          <w:szCs w:val="24"/>
          <w:lang w:val="lt-LT"/>
        </w:rPr>
        <w:t xml:space="preserve"> turto vertei.</w:t>
      </w:r>
    </w:p>
    <w:p w:rsidR="006C0287" w:rsidRPr="00ED3D25" w:rsidRDefault="006C0287" w:rsidP="006C0287">
      <w:pPr>
        <w:tabs>
          <w:tab w:val="left" w:pos="851"/>
        </w:tabs>
        <w:spacing w:after="0"/>
        <w:ind w:firstLine="851"/>
        <w:jc w:val="right"/>
        <w:rPr>
          <w:rFonts w:asciiTheme="majorBidi" w:hAnsiTheme="majorBidi" w:cstheme="majorBidi"/>
          <w:b/>
          <w:bCs/>
          <w:szCs w:val="24"/>
          <w:lang w:val="lt-LT"/>
        </w:rPr>
      </w:pPr>
      <w:r w:rsidRPr="00ED3D25">
        <w:rPr>
          <w:rFonts w:asciiTheme="majorBidi" w:hAnsiTheme="majorBidi" w:cstheme="majorBidi"/>
          <w:b/>
          <w:bCs/>
          <w:szCs w:val="24"/>
          <w:lang w:val="lt-LT"/>
        </w:rPr>
        <w:t>7 lentelė</w:t>
      </w:r>
    </w:p>
    <w:p w:rsidR="006C0287" w:rsidRPr="00ED3D25" w:rsidRDefault="006C0287" w:rsidP="006C0287">
      <w:pPr>
        <w:tabs>
          <w:tab w:val="left" w:pos="851"/>
        </w:tabs>
        <w:spacing w:after="0" w:line="240" w:lineRule="auto"/>
        <w:ind w:firstLine="851"/>
        <w:jc w:val="center"/>
        <w:rPr>
          <w:rFonts w:asciiTheme="majorBidi" w:hAnsiTheme="majorBidi" w:cstheme="majorBidi"/>
          <w:b/>
          <w:bCs/>
          <w:lang w:val="lt-LT"/>
        </w:rPr>
      </w:pPr>
      <w:r w:rsidRPr="00ED3D25">
        <w:rPr>
          <w:rFonts w:asciiTheme="majorBidi" w:hAnsiTheme="majorBidi" w:cstheme="majorBidi"/>
          <w:b/>
          <w:bCs/>
          <w:lang w:val="lt-LT"/>
        </w:rPr>
        <w:t>Pelningumo rodikliai</w:t>
      </w:r>
    </w:p>
    <w:p w:rsidR="006C0287" w:rsidRPr="00ED3D25" w:rsidRDefault="006C0287" w:rsidP="006C0287">
      <w:pPr>
        <w:tabs>
          <w:tab w:val="left" w:pos="851"/>
        </w:tabs>
        <w:spacing w:after="0" w:line="240" w:lineRule="auto"/>
        <w:ind w:firstLine="851"/>
        <w:jc w:val="center"/>
        <w:rPr>
          <w:rFonts w:asciiTheme="majorBidi" w:hAnsiTheme="majorBidi" w:cstheme="majorBidi"/>
          <w:b/>
          <w:bCs/>
          <w:lang w:val="lt-LT"/>
        </w:rPr>
      </w:pPr>
    </w:p>
    <w:tbl>
      <w:tblPr>
        <w:tblStyle w:val="TableGrid"/>
        <w:tblW w:w="5000" w:type="pct"/>
        <w:tblLook w:val="04A0" w:firstRow="1" w:lastRow="0" w:firstColumn="1" w:lastColumn="0" w:noHBand="0" w:noVBand="1"/>
      </w:tblPr>
      <w:tblGrid>
        <w:gridCol w:w="2703"/>
        <w:gridCol w:w="5544"/>
        <w:gridCol w:w="1608"/>
      </w:tblGrid>
      <w:tr w:rsidR="006C0287" w:rsidRPr="00ED3D25" w:rsidTr="001F6DD7">
        <w:tc>
          <w:tcPr>
            <w:tcW w:w="1371" w:type="pct"/>
            <w:vAlign w:val="center"/>
          </w:tcPr>
          <w:p w:rsidR="006C0287" w:rsidRPr="00ED3D25" w:rsidRDefault="006C0287" w:rsidP="00F41E1E">
            <w:pPr>
              <w:tabs>
                <w:tab w:val="left" w:pos="851"/>
              </w:tabs>
              <w:spacing w:line="240" w:lineRule="auto"/>
              <w:rPr>
                <w:rFonts w:asciiTheme="majorBidi" w:hAnsiTheme="majorBidi" w:cstheme="majorBidi"/>
                <w:b/>
                <w:bCs/>
                <w:lang w:val="lt-LT"/>
              </w:rPr>
            </w:pPr>
            <w:r w:rsidRPr="00ED3D25">
              <w:rPr>
                <w:rFonts w:asciiTheme="majorBidi" w:hAnsiTheme="majorBidi" w:cstheme="majorBidi"/>
                <w:b/>
                <w:bCs/>
                <w:lang w:val="lt-LT"/>
              </w:rPr>
              <w:t>Rodiklis</w:t>
            </w:r>
          </w:p>
        </w:tc>
        <w:tc>
          <w:tcPr>
            <w:tcW w:w="2813" w:type="pct"/>
            <w:vAlign w:val="center"/>
          </w:tcPr>
          <w:p w:rsidR="006C0287" w:rsidRPr="00ED3D25" w:rsidRDefault="006C0287" w:rsidP="00F41E1E">
            <w:pPr>
              <w:tabs>
                <w:tab w:val="left" w:pos="851"/>
              </w:tabs>
              <w:spacing w:line="240" w:lineRule="auto"/>
              <w:rPr>
                <w:rFonts w:asciiTheme="majorBidi" w:hAnsiTheme="majorBidi" w:cstheme="majorBidi"/>
                <w:b/>
                <w:bCs/>
                <w:lang w:val="lt-LT"/>
              </w:rPr>
            </w:pPr>
            <w:r w:rsidRPr="00ED3D25">
              <w:rPr>
                <w:rFonts w:asciiTheme="majorBidi" w:hAnsiTheme="majorBidi" w:cstheme="majorBidi"/>
                <w:b/>
                <w:bCs/>
                <w:lang w:val="lt-LT"/>
              </w:rPr>
              <w:t>Formulė</w:t>
            </w:r>
          </w:p>
        </w:tc>
        <w:tc>
          <w:tcPr>
            <w:tcW w:w="816" w:type="pct"/>
            <w:vAlign w:val="center"/>
          </w:tcPr>
          <w:p w:rsidR="006C0287" w:rsidRPr="00ED3D25" w:rsidRDefault="006C0287" w:rsidP="00F41E1E">
            <w:pPr>
              <w:tabs>
                <w:tab w:val="left" w:pos="851"/>
              </w:tabs>
              <w:spacing w:line="240" w:lineRule="auto"/>
              <w:rPr>
                <w:rFonts w:asciiTheme="majorBidi" w:hAnsiTheme="majorBidi" w:cstheme="majorBidi"/>
                <w:b/>
                <w:bCs/>
                <w:lang w:val="lt-LT"/>
              </w:rPr>
            </w:pPr>
            <w:r w:rsidRPr="00ED3D25">
              <w:rPr>
                <w:rFonts w:asciiTheme="majorBidi" w:hAnsiTheme="majorBidi" w:cstheme="majorBidi"/>
                <w:b/>
                <w:bCs/>
                <w:lang w:val="lt-LT"/>
              </w:rPr>
              <w:t>Reikšmė</w:t>
            </w:r>
          </w:p>
        </w:tc>
      </w:tr>
      <w:tr w:rsidR="006C0287" w:rsidRPr="00ED3D25" w:rsidTr="001F6DD7">
        <w:tc>
          <w:tcPr>
            <w:tcW w:w="1371" w:type="pct"/>
            <w:vAlign w:val="center"/>
          </w:tcPr>
          <w:p w:rsidR="006C0287" w:rsidRPr="00ED3D25" w:rsidRDefault="006C0287" w:rsidP="00F41E1E">
            <w:pPr>
              <w:tabs>
                <w:tab w:val="left" w:pos="851"/>
              </w:tabs>
              <w:spacing w:line="240" w:lineRule="auto"/>
              <w:rPr>
                <w:rFonts w:asciiTheme="majorBidi" w:hAnsiTheme="majorBidi" w:cstheme="majorBidi"/>
                <w:lang w:val="lt-LT"/>
              </w:rPr>
            </w:pPr>
            <w:r w:rsidRPr="00ED3D25">
              <w:rPr>
                <w:rFonts w:asciiTheme="majorBidi" w:hAnsiTheme="majorBidi" w:cstheme="majorBidi"/>
                <w:lang w:val="lt-LT"/>
              </w:rPr>
              <w:t>Grynasis pelningumas</w:t>
            </w:r>
          </w:p>
        </w:tc>
        <w:tc>
          <w:tcPr>
            <w:tcW w:w="2813" w:type="pct"/>
            <w:vAlign w:val="center"/>
          </w:tcPr>
          <w:p w:rsidR="006C0287" w:rsidRPr="00ED3D25" w:rsidRDefault="006C0287" w:rsidP="00F41E1E">
            <w:pPr>
              <w:tabs>
                <w:tab w:val="left" w:pos="851"/>
              </w:tabs>
              <w:spacing w:line="240" w:lineRule="auto"/>
              <w:rPr>
                <w:rFonts w:asciiTheme="majorBidi" w:hAnsiTheme="majorBidi" w:cstheme="majorBidi"/>
                <w:lang w:val="lt-LT"/>
              </w:rPr>
            </w:pPr>
            <w:r w:rsidRPr="00ED3D25">
              <w:rPr>
                <w:rFonts w:asciiTheme="majorBidi" w:hAnsiTheme="majorBidi" w:cstheme="majorBidi"/>
                <w:lang w:val="lt-LT"/>
              </w:rPr>
              <w:t>Grynasis pelnas / Pardavimo pajamos</w:t>
            </w:r>
          </w:p>
        </w:tc>
        <w:tc>
          <w:tcPr>
            <w:tcW w:w="816" w:type="pct"/>
            <w:vAlign w:val="center"/>
          </w:tcPr>
          <w:p w:rsidR="006C0287" w:rsidRPr="00ED3D25" w:rsidRDefault="00161C86" w:rsidP="00F41E1E">
            <w:pPr>
              <w:tabs>
                <w:tab w:val="left" w:pos="851"/>
              </w:tabs>
              <w:spacing w:line="240" w:lineRule="auto"/>
              <w:rPr>
                <w:rFonts w:asciiTheme="majorBidi" w:hAnsiTheme="majorBidi" w:cstheme="majorBidi"/>
                <w:lang w:val="lt-LT"/>
              </w:rPr>
            </w:pPr>
            <w:r w:rsidRPr="00ED3D25">
              <w:rPr>
                <w:rFonts w:asciiTheme="majorBidi" w:hAnsiTheme="majorBidi" w:cstheme="majorBidi"/>
                <w:lang w:val="lt-LT"/>
              </w:rPr>
              <w:t xml:space="preserve">0 </w:t>
            </w:r>
            <w:r w:rsidRPr="00ED3D25">
              <w:rPr>
                <w:rFonts w:asciiTheme="majorBidi" w:hAnsiTheme="majorBidi" w:cstheme="majorBidi"/>
                <w:lang w:val="lt-LT"/>
              </w:rPr>
              <w:sym w:font="Symbol" w:char="F0A3"/>
            </w:r>
            <w:r w:rsidRPr="00ED3D25">
              <w:rPr>
                <w:rFonts w:asciiTheme="majorBidi" w:hAnsiTheme="majorBidi" w:cstheme="majorBidi"/>
                <w:lang w:val="lt-LT"/>
              </w:rPr>
              <w:t xml:space="preserve"> X</w:t>
            </w:r>
          </w:p>
        </w:tc>
      </w:tr>
      <w:tr w:rsidR="006C0287" w:rsidRPr="00ED3D25" w:rsidTr="001F6DD7">
        <w:tc>
          <w:tcPr>
            <w:tcW w:w="1371" w:type="pct"/>
            <w:vAlign w:val="center"/>
          </w:tcPr>
          <w:p w:rsidR="006C0287" w:rsidRPr="00ED3D25" w:rsidRDefault="008C5A44" w:rsidP="00F41E1E">
            <w:pPr>
              <w:tabs>
                <w:tab w:val="left" w:pos="851"/>
              </w:tabs>
              <w:spacing w:line="240" w:lineRule="auto"/>
              <w:rPr>
                <w:rFonts w:asciiTheme="majorBidi" w:hAnsiTheme="majorBidi" w:cstheme="majorBidi"/>
                <w:lang w:val="lt-LT"/>
              </w:rPr>
            </w:pPr>
            <w:r w:rsidRPr="00ED3D25">
              <w:rPr>
                <w:rFonts w:asciiTheme="majorBidi" w:hAnsiTheme="majorBidi" w:cstheme="majorBidi"/>
                <w:lang w:val="lt-LT"/>
              </w:rPr>
              <w:t>Bendrasis pelningumas</w:t>
            </w:r>
          </w:p>
        </w:tc>
        <w:tc>
          <w:tcPr>
            <w:tcW w:w="2813" w:type="pct"/>
            <w:vAlign w:val="center"/>
          </w:tcPr>
          <w:p w:rsidR="006C0287" w:rsidRPr="00ED3D25" w:rsidRDefault="008C5A44" w:rsidP="00F41E1E">
            <w:pPr>
              <w:tabs>
                <w:tab w:val="left" w:pos="851"/>
              </w:tabs>
              <w:spacing w:line="240" w:lineRule="auto"/>
              <w:rPr>
                <w:rFonts w:asciiTheme="majorBidi" w:hAnsiTheme="majorBidi" w:cstheme="majorBidi"/>
                <w:lang w:val="lt-LT"/>
              </w:rPr>
            </w:pPr>
            <w:r w:rsidRPr="00ED3D25">
              <w:rPr>
                <w:rFonts w:asciiTheme="majorBidi" w:hAnsiTheme="majorBidi" w:cstheme="majorBidi"/>
                <w:lang w:val="lt-LT"/>
              </w:rPr>
              <w:t>Bendrasis pelnas / Pardavimo pajamos</w:t>
            </w:r>
          </w:p>
        </w:tc>
        <w:tc>
          <w:tcPr>
            <w:tcW w:w="816" w:type="pct"/>
            <w:vAlign w:val="center"/>
          </w:tcPr>
          <w:p w:rsidR="006C0287" w:rsidRPr="00ED3D25" w:rsidRDefault="008C5A44" w:rsidP="00F41E1E">
            <w:pPr>
              <w:tabs>
                <w:tab w:val="left" w:pos="851"/>
              </w:tabs>
              <w:spacing w:line="240" w:lineRule="auto"/>
              <w:rPr>
                <w:rFonts w:asciiTheme="majorBidi" w:hAnsiTheme="majorBidi" w:cstheme="majorBidi"/>
                <w:lang w:val="lt-LT"/>
              </w:rPr>
            </w:pPr>
            <w:r w:rsidRPr="00ED3D25">
              <w:rPr>
                <w:rFonts w:asciiTheme="majorBidi" w:hAnsiTheme="majorBidi" w:cstheme="majorBidi"/>
                <w:lang w:val="lt-LT"/>
              </w:rPr>
              <w:t xml:space="preserve">0 </w:t>
            </w:r>
            <w:r w:rsidRPr="00ED3D25">
              <w:rPr>
                <w:rFonts w:asciiTheme="majorBidi" w:hAnsiTheme="majorBidi" w:cstheme="majorBidi"/>
                <w:lang w:val="lt-LT"/>
              </w:rPr>
              <w:sym w:font="Symbol" w:char="F0A3"/>
            </w:r>
            <w:r w:rsidRPr="00ED3D25">
              <w:rPr>
                <w:rFonts w:asciiTheme="majorBidi" w:hAnsiTheme="majorBidi" w:cstheme="majorBidi"/>
                <w:lang w:val="lt-LT"/>
              </w:rPr>
              <w:t xml:space="preserve"> X</w:t>
            </w:r>
          </w:p>
        </w:tc>
      </w:tr>
      <w:tr w:rsidR="006C0287" w:rsidRPr="00ED3D25" w:rsidTr="001F6DD7">
        <w:tc>
          <w:tcPr>
            <w:tcW w:w="1371" w:type="pct"/>
            <w:vAlign w:val="center"/>
          </w:tcPr>
          <w:p w:rsidR="006C0287" w:rsidRPr="00ED3D25" w:rsidRDefault="007F1091" w:rsidP="00F41E1E">
            <w:pPr>
              <w:tabs>
                <w:tab w:val="left" w:pos="851"/>
              </w:tabs>
              <w:spacing w:line="240" w:lineRule="auto"/>
              <w:rPr>
                <w:rFonts w:asciiTheme="majorBidi" w:hAnsiTheme="majorBidi" w:cstheme="majorBidi"/>
                <w:lang w:val="lt-LT"/>
              </w:rPr>
            </w:pPr>
            <w:r w:rsidRPr="00ED3D25">
              <w:rPr>
                <w:rFonts w:asciiTheme="majorBidi" w:hAnsiTheme="majorBidi" w:cstheme="majorBidi"/>
                <w:lang w:val="lt-LT"/>
              </w:rPr>
              <w:t>EBIT</w:t>
            </w:r>
            <w:r w:rsidR="007F5654">
              <w:rPr>
                <w:rFonts w:asciiTheme="majorBidi" w:hAnsiTheme="majorBidi" w:cstheme="majorBidi"/>
                <w:lang w:val="lt-LT"/>
              </w:rPr>
              <w:t xml:space="preserve"> marža</w:t>
            </w:r>
          </w:p>
        </w:tc>
        <w:tc>
          <w:tcPr>
            <w:tcW w:w="2813" w:type="pct"/>
            <w:vAlign w:val="center"/>
          </w:tcPr>
          <w:p w:rsidR="006C0287" w:rsidRPr="00ED3D25" w:rsidRDefault="007F1091" w:rsidP="00F41E1E">
            <w:pPr>
              <w:tabs>
                <w:tab w:val="left" w:pos="851"/>
              </w:tabs>
              <w:spacing w:line="240" w:lineRule="auto"/>
              <w:rPr>
                <w:rFonts w:asciiTheme="majorBidi" w:hAnsiTheme="majorBidi" w:cstheme="majorBidi"/>
                <w:lang w:val="lt-LT"/>
              </w:rPr>
            </w:pPr>
            <w:r w:rsidRPr="00ED3D25">
              <w:rPr>
                <w:rFonts w:asciiTheme="majorBidi" w:hAnsiTheme="majorBidi" w:cstheme="majorBidi"/>
                <w:lang w:val="lt-LT"/>
              </w:rPr>
              <w:t>Pelnas prieš palūkanas ir mokesčius  / Pardavimo pajamos</w:t>
            </w:r>
          </w:p>
        </w:tc>
        <w:tc>
          <w:tcPr>
            <w:tcW w:w="816" w:type="pct"/>
            <w:vAlign w:val="center"/>
          </w:tcPr>
          <w:p w:rsidR="006C0287" w:rsidRPr="00ED3D25" w:rsidRDefault="004D19C5" w:rsidP="00F41E1E">
            <w:pPr>
              <w:tabs>
                <w:tab w:val="left" w:pos="851"/>
              </w:tabs>
              <w:spacing w:line="240" w:lineRule="auto"/>
              <w:rPr>
                <w:rFonts w:asciiTheme="majorBidi" w:hAnsiTheme="majorBidi" w:cstheme="majorBidi"/>
                <w:lang w:val="lt-LT"/>
              </w:rPr>
            </w:pPr>
            <w:r w:rsidRPr="00ED3D25">
              <w:rPr>
                <w:rFonts w:asciiTheme="majorBidi" w:hAnsiTheme="majorBidi" w:cstheme="majorBidi"/>
                <w:lang w:val="lt-LT"/>
              </w:rPr>
              <w:t xml:space="preserve">0,05 </w:t>
            </w:r>
            <w:r w:rsidR="007F1091" w:rsidRPr="00ED3D25">
              <w:rPr>
                <w:rFonts w:asciiTheme="majorBidi" w:hAnsiTheme="majorBidi" w:cstheme="majorBidi"/>
                <w:lang w:val="lt-LT"/>
              </w:rPr>
              <w:sym w:font="Symbol" w:char="F0A3"/>
            </w:r>
            <w:r w:rsidR="007F1091" w:rsidRPr="00ED3D25">
              <w:rPr>
                <w:rFonts w:asciiTheme="majorBidi" w:hAnsiTheme="majorBidi" w:cstheme="majorBidi"/>
                <w:lang w:val="lt-LT"/>
              </w:rPr>
              <w:t xml:space="preserve"> X</w:t>
            </w:r>
            <w:r w:rsidRPr="00ED3D25">
              <w:rPr>
                <w:rFonts w:asciiTheme="majorBidi" w:hAnsiTheme="majorBidi" w:cstheme="majorBidi"/>
                <w:lang w:val="lt-LT"/>
              </w:rPr>
              <w:t xml:space="preserve"> </w:t>
            </w:r>
            <w:r w:rsidRPr="00ED3D25">
              <w:rPr>
                <w:rFonts w:asciiTheme="majorBidi" w:hAnsiTheme="majorBidi" w:cstheme="majorBidi"/>
                <w:lang w:val="lt-LT"/>
              </w:rPr>
              <w:sym w:font="Symbol" w:char="F0A3"/>
            </w:r>
            <w:r w:rsidRPr="00ED3D25">
              <w:rPr>
                <w:rFonts w:asciiTheme="majorBidi" w:hAnsiTheme="majorBidi" w:cstheme="majorBidi"/>
                <w:lang w:val="lt-LT"/>
              </w:rPr>
              <w:t xml:space="preserve"> 0,06</w:t>
            </w:r>
          </w:p>
        </w:tc>
      </w:tr>
      <w:tr w:rsidR="006C0287" w:rsidRPr="00ED3D25" w:rsidTr="001F6DD7">
        <w:tc>
          <w:tcPr>
            <w:tcW w:w="1371" w:type="pct"/>
            <w:vAlign w:val="center"/>
          </w:tcPr>
          <w:p w:rsidR="006C0287" w:rsidRPr="00ED3D25" w:rsidRDefault="00C81C04" w:rsidP="00763BF3">
            <w:pPr>
              <w:tabs>
                <w:tab w:val="left" w:pos="851"/>
              </w:tabs>
              <w:spacing w:line="240" w:lineRule="auto"/>
              <w:rPr>
                <w:rFonts w:asciiTheme="majorBidi" w:hAnsiTheme="majorBidi" w:cstheme="majorBidi"/>
                <w:lang w:val="lt-LT"/>
              </w:rPr>
            </w:pPr>
            <w:r w:rsidRPr="00ED3D25">
              <w:rPr>
                <w:rFonts w:asciiTheme="majorBidi" w:hAnsiTheme="majorBidi" w:cstheme="majorBidi"/>
                <w:lang w:val="lt-LT"/>
              </w:rPr>
              <w:t>Turto pelningumas (ROA)</w:t>
            </w:r>
          </w:p>
        </w:tc>
        <w:tc>
          <w:tcPr>
            <w:tcW w:w="2813" w:type="pct"/>
            <w:vAlign w:val="center"/>
          </w:tcPr>
          <w:p w:rsidR="006C0287" w:rsidRPr="00ED3D25" w:rsidRDefault="00C81C04" w:rsidP="00F41E1E">
            <w:pPr>
              <w:tabs>
                <w:tab w:val="left" w:pos="851"/>
              </w:tabs>
              <w:spacing w:line="240" w:lineRule="auto"/>
              <w:rPr>
                <w:rFonts w:asciiTheme="majorBidi" w:hAnsiTheme="majorBidi" w:cstheme="majorBidi"/>
                <w:lang w:val="lt-LT"/>
              </w:rPr>
            </w:pPr>
            <w:r w:rsidRPr="00ED3D25">
              <w:rPr>
                <w:rFonts w:asciiTheme="majorBidi" w:hAnsiTheme="majorBidi" w:cstheme="majorBidi"/>
                <w:lang w:val="lt-LT"/>
              </w:rPr>
              <w:t>Grynasis pelnas / Vidutinis turtas</w:t>
            </w:r>
          </w:p>
        </w:tc>
        <w:tc>
          <w:tcPr>
            <w:tcW w:w="816" w:type="pct"/>
            <w:vAlign w:val="center"/>
          </w:tcPr>
          <w:p w:rsidR="006C0287" w:rsidRPr="00ED3D25" w:rsidRDefault="00501F4A" w:rsidP="00F41E1E">
            <w:pPr>
              <w:tabs>
                <w:tab w:val="left" w:pos="851"/>
              </w:tabs>
              <w:spacing w:line="240" w:lineRule="auto"/>
              <w:rPr>
                <w:rFonts w:asciiTheme="majorBidi" w:hAnsiTheme="majorBidi" w:cstheme="majorBidi"/>
                <w:lang w:val="lt-LT"/>
              </w:rPr>
            </w:pPr>
            <w:r w:rsidRPr="00ED3D25">
              <w:rPr>
                <w:rFonts w:asciiTheme="majorBidi" w:hAnsiTheme="majorBidi" w:cstheme="majorBidi"/>
                <w:lang w:val="lt-LT"/>
              </w:rPr>
              <w:t xml:space="preserve">0,05 </w:t>
            </w:r>
            <w:r w:rsidRPr="00ED3D25">
              <w:rPr>
                <w:rFonts w:asciiTheme="majorBidi" w:hAnsiTheme="majorBidi" w:cstheme="majorBidi"/>
                <w:lang w:val="lt-LT"/>
              </w:rPr>
              <w:sym w:font="Symbol" w:char="F0A3"/>
            </w:r>
            <w:r w:rsidRPr="00ED3D25">
              <w:rPr>
                <w:rFonts w:asciiTheme="majorBidi" w:hAnsiTheme="majorBidi" w:cstheme="majorBidi"/>
                <w:lang w:val="lt-LT"/>
              </w:rPr>
              <w:t xml:space="preserve"> X </w:t>
            </w:r>
            <w:r w:rsidRPr="00ED3D25">
              <w:rPr>
                <w:rFonts w:asciiTheme="majorBidi" w:hAnsiTheme="majorBidi" w:cstheme="majorBidi"/>
                <w:lang w:val="lt-LT"/>
              </w:rPr>
              <w:sym w:font="Symbol" w:char="F0A3"/>
            </w:r>
            <w:r w:rsidRPr="00ED3D25">
              <w:rPr>
                <w:rFonts w:asciiTheme="majorBidi" w:hAnsiTheme="majorBidi" w:cstheme="majorBidi"/>
                <w:lang w:val="lt-LT"/>
              </w:rPr>
              <w:t xml:space="preserve"> 0,2</w:t>
            </w:r>
          </w:p>
        </w:tc>
      </w:tr>
      <w:tr w:rsidR="006C0287" w:rsidRPr="00ED3D25" w:rsidTr="001F6DD7">
        <w:tc>
          <w:tcPr>
            <w:tcW w:w="1371" w:type="pct"/>
            <w:vAlign w:val="center"/>
          </w:tcPr>
          <w:p w:rsidR="006C0287" w:rsidRPr="00ED3D25" w:rsidRDefault="001F6DD7" w:rsidP="001F6DD7">
            <w:pPr>
              <w:tabs>
                <w:tab w:val="left" w:pos="851"/>
              </w:tabs>
              <w:spacing w:line="240" w:lineRule="auto"/>
              <w:rPr>
                <w:rFonts w:asciiTheme="majorBidi" w:hAnsiTheme="majorBidi" w:cstheme="majorBidi"/>
                <w:lang w:val="lt-LT"/>
              </w:rPr>
            </w:pPr>
            <w:r w:rsidRPr="00ED3D25">
              <w:rPr>
                <w:rFonts w:asciiTheme="majorBidi" w:hAnsiTheme="majorBidi" w:cstheme="majorBidi"/>
                <w:lang w:val="lt-LT"/>
              </w:rPr>
              <w:t xml:space="preserve">Nuosavo </w:t>
            </w:r>
            <w:r w:rsidR="00CC0022" w:rsidRPr="00ED3D25">
              <w:rPr>
                <w:rFonts w:asciiTheme="majorBidi" w:hAnsiTheme="majorBidi" w:cstheme="majorBidi"/>
                <w:lang w:val="lt-LT"/>
              </w:rPr>
              <w:t>kapitalo pelningumas (ROE)</w:t>
            </w:r>
          </w:p>
        </w:tc>
        <w:tc>
          <w:tcPr>
            <w:tcW w:w="2813" w:type="pct"/>
            <w:vAlign w:val="center"/>
          </w:tcPr>
          <w:p w:rsidR="006C0287" w:rsidRPr="00ED3D25" w:rsidRDefault="00D642F2" w:rsidP="00F41E1E">
            <w:pPr>
              <w:tabs>
                <w:tab w:val="left" w:pos="851"/>
              </w:tabs>
              <w:spacing w:line="240" w:lineRule="auto"/>
              <w:rPr>
                <w:rFonts w:asciiTheme="majorBidi" w:hAnsiTheme="majorBidi" w:cstheme="majorBidi"/>
                <w:lang w:val="lt-LT"/>
              </w:rPr>
            </w:pPr>
            <w:r w:rsidRPr="00ED3D25">
              <w:rPr>
                <w:rFonts w:asciiTheme="majorBidi" w:hAnsiTheme="majorBidi" w:cstheme="majorBidi"/>
                <w:lang w:val="lt-LT"/>
              </w:rPr>
              <w:t>Grynasis pelnas / Vidutinis n</w:t>
            </w:r>
            <w:r w:rsidR="00CC0022" w:rsidRPr="00ED3D25">
              <w:rPr>
                <w:rFonts w:asciiTheme="majorBidi" w:hAnsiTheme="majorBidi" w:cstheme="majorBidi"/>
                <w:lang w:val="lt-LT"/>
              </w:rPr>
              <w:t>uosavas kapitalas</w:t>
            </w:r>
          </w:p>
        </w:tc>
        <w:tc>
          <w:tcPr>
            <w:tcW w:w="816" w:type="pct"/>
            <w:vAlign w:val="center"/>
          </w:tcPr>
          <w:p w:rsidR="006C0287" w:rsidRPr="00ED3D25" w:rsidRDefault="00A9609E" w:rsidP="00F41E1E">
            <w:pPr>
              <w:tabs>
                <w:tab w:val="left" w:pos="851"/>
              </w:tabs>
              <w:spacing w:line="240" w:lineRule="auto"/>
              <w:rPr>
                <w:rFonts w:asciiTheme="majorBidi" w:hAnsiTheme="majorBidi" w:cstheme="majorBidi"/>
                <w:lang w:val="lt-LT"/>
              </w:rPr>
            </w:pPr>
            <w:r w:rsidRPr="00ED3D25">
              <w:rPr>
                <w:rFonts w:asciiTheme="majorBidi" w:hAnsiTheme="majorBidi" w:cstheme="majorBidi"/>
                <w:lang w:val="lt-LT"/>
              </w:rPr>
              <w:t xml:space="preserve">0,1 </w:t>
            </w:r>
            <w:r w:rsidRPr="00ED3D25">
              <w:rPr>
                <w:rFonts w:asciiTheme="majorBidi" w:hAnsiTheme="majorBidi" w:cstheme="majorBidi"/>
                <w:lang w:val="lt-LT"/>
              </w:rPr>
              <w:sym w:font="Symbol" w:char="F0A3"/>
            </w:r>
            <w:r w:rsidRPr="00ED3D25">
              <w:rPr>
                <w:rFonts w:asciiTheme="majorBidi" w:hAnsiTheme="majorBidi" w:cstheme="majorBidi"/>
                <w:lang w:val="lt-LT"/>
              </w:rPr>
              <w:t xml:space="preserve"> X</w:t>
            </w:r>
          </w:p>
        </w:tc>
      </w:tr>
    </w:tbl>
    <w:p w:rsidR="00642B68" w:rsidRPr="00ED3D25" w:rsidRDefault="00642B68" w:rsidP="006B01BF">
      <w:pPr>
        <w:tabs>
          <w:tab w:val="left" w:pos="851"/>
        </w:tabs>
        <w:spacing w:after="0" w:line="240" w:lineRule="auto"/>
        <w:rPr>
          <w:sz w:val="20"/>
          <w:szCs w:val="20"/>
          <w:lang w:val="lt-LT"/>
        </w:rPr>
      </w:pPr>
      <w:r w:rsidRPr="00ED3D25">
        <w:rPr>
          <w:sz w:val="20"/>
          <w:szCs w:val="20"/>
          <w:lang w:val="lt-LT"/>
        </w:rPr>
        <w:t xml:space="preserve">Pastaba: lentelė sudaryta autorės, remiantis Rodiklių skaičiavimo </w:t>
      </w:r>
      <w:r w:rsidR="00E12544" w:rsidRPr="00ED3D25">
        <w:rPr>
          <w:sz w:val="20"/>
          <w:szCs w:val="20"/>
          <w:lang w:val="lt-LT"/>
        </w:rPr>
        <w:t>metodika (2001), J. Mackevičiumi</w:t>
      </w:r>
      <w:r w:rsidRPr="00ED3D25">
        <w:rPr>
          <w:sz w:val="20"/>
          <w:szCs w:val="20"/>
          <w:lang w:val="lt-LT"/>
        </w:rPr>
        <w:t xml:space="preserve"> (2007).</w:t>
      </w:r>
    </w:p>
    <w:p w:rsidR="004D19C5" w:rsidRPr="00ED3D25" w:rsidRDefault="006C0287" w:rsidP="00007813">
      <w:pPr>
        <w:tabs>
          <w:tab w:val="left" w:pos="851"/>
        </w:tabs>
        <w:spacing w:after="0"/>
        <w:ind w:firstLine="851"/>
        <w:rPr>
          <w:rFonts w:asciiTheme="majorBidi" w:hAnsiTheme="majorBidi" w:cstheme="majorBidi"/>
          <w:szCs w:val="24"/>
          <w:lang w:val="lt-LT"/>
        </w:rPr>
      </w:pPr>
      <w:r w:rsidRPr="00ED3D25">
        <w:rPr>
          <w:rFonts w:asciiTheme="majorBidi" w:hAnsiTheme="majorBidi" w:cstheme="majorBidi"/>
          <w:szCs w:val="24"/>
          <w:lang w:val="lt-LT"/>
        </w:rPr>
        <w:t>Svarbiausiais</w:t>
      </w:r>
      <w:r w:rsidR="002F4CEE" w:rsidRPr="00ED3D25">
        <w:rPr>
          <w:rFonts w:asciiTheme="majorBidi" w:hAnsiTheme="majorBidi" w:cstheme="majorBidi"/>
          <w:szCs w:val="24"/>
          <w:lang w:val="lt-LT"/>
        </w:rPr>
        <w:t xml:space="preserve"> įmonės veiklos rezultat</w:t>
      </w:r>
      <w:r w:rsidR="009D59AF" w:rsidRPr="00ED3D25">
        <w:rPr>
          <w:rFonts w:asciiTheme="majorBidi" w:hAnsiTheme="majorBidi" w:cstheme="majorBidi"/>
          <w:szCs w:val="24"/>
          <w:lang w:val="lt-LT"/>
        </w:rPr>
        <w:t xml:space="preserve">yvumą apibūdinantis rodiklis – </w:t>
      </w:r>
      <w:r w:rsidR="002F4CEE" w:rsidRPr="00ED3D25">
        <w:rPr>
          <w:rFonts w:asciiTheme="majorBidi" w:hAnsiTheme="majorBidi" w:cstheme="majorBidi"/>
          <w:szCs w:val="24"/>
          <w:lang w:val="lt-LT"/>
        </w:rPr>
        <w:t xml:space="preserve">pelnas. </w:t>
      </w:r>
      <w:r w:rsidR="009D59AF" w:rsidRPr="00ED3D25">
        <w:rPr>
          <w:rFonts w:asciiTheme="majorBidi" w:hAnsiTheme="majorBidi" w:cstheme="majorBidi"/>
          <w:szCs w:val="24"/>
          <w:lang w:val="lt-LT"/>
        </w:rPr>
        <w:t>Jis</w:t>
      </w:r>
      <w:r w:rsidR="002F4CEE" w:rsidRPr="00ED3D25">
        <w:rPr>
          <w:rFonts w:asciiTheme="majorBidi" w:hAnsiTheme="majorBidi" w:cstheme="majorBidi"/>
          <w:szCs w:val="24"/>
          <w:lang w:val="lt-LT"/>
        </w:rPr>
        <w:t xml:space="preserve"> įmonei reikalingas veiklos plėtojimui, nuolatiniam tobulinimui,</w:t>
      </w:r>
      <w:r w:rsidR="009D59AF" w:rsidRPr="00ED3D25">
        <w:rPr>
          <w:rFonts w:asciiTheme="majorBidi" w:hAnsiTheme="majorBidi" w:cstheme="majorBidi"/>
          <w:szCs w:val="24"/>
          <w:lang w:val="lt-LT"/>
        </w:rPr>
        <w:t xml:space="preserve"> verslo finansiniam pajėgumui iš</w:t>
      </w:r>
      <w:r w:rsidR="00D764D0">
        <w:rPr>
          <w:rFonts w:asciiTheme="majorBidi" w:hAnsiTheme="majorBidi" w:cstheme="majorBidi"/>
          <w:szCs w:val="24"/>
          <w:lang w:val="lt-LT"/>
        </w:rPr>
        <w:t>laikyti. Taip pat šis</w:t>
      </w:r>
      <w:r w:rsidR="002F4CEE" w:rsidRPr="00ED3D25">
        <w:rPr>
          <w:rFonts w:asciiTheme="majorBidi" w:hAnsiTheme="majorBidi" w:cstheme="majorBidi"/>
          <w:szCs w:val="24"/>
          <w:lang w:val="lt-LT"/>
        </w:rPr>
        <w:t xml:space="preserve"> rodiklis itin svarbus esamiems ir būsimiems investuotojams</w:t>
      </w:r>
      <w:r w:rsidR="00161C86" w:rsidRPr="00ED3D25">
        <w:rPr>
          <w:rFonts w:asciiTheme="majorBidi" w:hAnsiTheme="majorBidi" w:cstheme="majorBidi"/>
          <w:szCs w:val="24"/>
          <w:lang w:val="lt-LT"/>
        </w:rPr>
        <w:t xml:space="preserve">, kuris jiems atskleidžia ar verta investuotį į įmonę ar ne. </w:t>
      </w:r>
      <w:r w:rsidR="002F4CEE" w:rsidRPr="00ED3D25">
        <w:rPr>
          <w:rFonts w:asciiTheme="majorBidi" w:hAnsiTheme="majorBidi" w:cstheme="majorBidi"/>
          <w:szCs w:val="24"/>
          <w:lang w:val="lt-LT"/>
        </w:rPr>
        <w:t>Grynasis pelningumas</w:t>
      </w:r>
      <w:r w:rsidR="00746E75">
        <w:rPr>
          <w:rFonts w:asciiTheme="majorBidi" w:hAnsiTheme="majorBidi" w:cstheme="majorBidi"/>
          <w:szCs w:val="24"/>
          <w:lang w:val="lt-LT"/>
        </w:rPr>
        <w:t xml:space="preserve"> (žr. 7 lentelę)</w:t>
      </w:r>
      <w:r w:rsidR="002F4CEE" w:rsidRPr="00ED3D25">
        <w:rPr>
          <w:rFonts w:asciiTheme="majorBidi" w:hAnsiTheme="majorBidi" w:cstheme="majorBidi"/>
          <w:szCs w:val="24"/>
          <w:lang w:val="lt-LT"/>
        </w:rPr>
        <w:t xml:space="preserve"> apibūdina </w:t>
      </w:r>
      <w:r w:rsidR="00161C86" w:rsidRPr="00ED3D25">
        <w:rPr>
          <w:rFonts w:asciiTheme="majorBidi" w:hAnsiTheme="majorBidi" w:cstheme="majorBidi"/>
          <w:szCs w:val="24"/>
          <w:lang w:val="lt-LT"/>
        </w:rPr>
        <w:t>kiek procentų uždirba vienas pardavimo litas (euras)</w:t>
      </w:r>
      <w:r w:rsidR="002F4CEE" w:rsidRPr="00ED3D25">
        <w:rPr>
          <w:rFonts w:asciiTheme="majorBidi" w:hAnsiTheme="majorBidi" w:cstheme="majorBidi"/>
          <w:szCs w:val="24"/>
          <w:lang w:val="lt-LT"/>
        </w:rPr>
        <w:t xml:space="preserve">. </w:t>
      </w:r>
      <w:r w:rsidR="008C5A44" w:rsidRPr="00ED3D25">
        <w:rPr>
          <w:rFonts w:asciiTheme="majorBidi" w:hAnsiTheme="majorBidi" w:cstheme="majorBidi"/>
          <w:szCs w:val="24"/>
          <w:lang w:val="lt-LT"/>
        </w:rPr>
        <w:t>Bendrasis pelningumas parodo uždirbamą pelną iš įmonės pagrindinės veiklos. Kuo didesnė pelno suma uždirbama vienam pardavimo pajamų litui (eurui), tuo įmonės veikla yra efektyvesnė (Rodiklių skaičiavimo metodika, 2001).</w:t>
      </w:r>
      <w:r w:rsidR="007F1091" w:rsidRPr="00ED3D25">
        <w:rPr>
          <w:rFonts w:asciiTheme="majorBidi" w:hAnsiTheme="majorBidi" w:cstheme="majorBidi"/>
          <w:szCs w:val="24"/>
          <w:lang w:val="lt-LT"/>
        </w:rPr>
        <w:t xml:space="preserve"> </w:t>
      </w:r>
      <w:r w:rsidR="002F4CEE" w:rsidRPr="00ED3D25">
        <w:rPr>
          <w:rFonts w:asciiTheme="majorBidi" w:hAnsiTheme="majorBidi" w:cstheme="majorBidi"/>
          <w:szCs w:val="24"/>
          <w:lang w:val="lt-LT"/>
        </w:rPr>
        <w:t>EBIT marža</w:t>
      </w:r>
      <w:r w:rsidR="00404DC2" w:rsidRPr="00ED3D25">
        <w:rPr>
          <w:rFonts w:asciiTheme="majorBidi" w:hAnsiTheme="majorBidi" w:cstheme="majorBidi"/>
          <w:szCs w:val="24"/>
          <w:lang w:val="lt-LT"/>
        </w:rPr>
        <w:t xml:space="preserve"> – </w:t>
      </w:r>
      <w:r w:rsidR="007F1091" w:rsidRPr="00ED3D25">
        <w:rPr>
          <w:rFonts w:asciiTheme="majorBidi" w:hAnsiTheme="majorBidi" w:cstheme="majorBidi"/>
          <w:szCs w:val="24"/>
          <w:lang w:val="lt-LT"/>
        </w:rPr>
        <w:t xml:space="preserve">dar </w:t>
      </w:r>
      <w:r w:rsidR="00404DC2" w:rsidRPr="00ED3D25">
        <w:rPr>
          <w:rFonts w:asciiTheme="majorBidi" w:hAnsiTheme="majorBidi" w:cstheme="majorBidi"/>
          <w:szCs w:val="24"/>
          <w:lang w:val="lt-LT"/>
        </w:rPr>
        <w:t xml:space="preserve">vienas iš svarbiausiųjų </w:t>
      </w:r>
      <w:r w:rsidR="00872AE2" w:rsidRPr="00ED3D25">
        <w:rPr>
          <w:rFonts w:asciiTheme="majorBidi" w:hAnsiTheme="majorBidi" w:cstheme="majorBidi"/>
          <w:szCs w:val="24"/>
          <w:lang w:val="lt-LT"/>
        </w:rPr>
        <w:t xml:space="preserve">efektyvumo rodiklių, nes parodo, koks pelnas būtų, jei įmonė neturėtų finansinių skolų. </w:t>
      </w:r>
      <w:r w:rsidR="00D602FC" w:rsidRPr="00ED3D25">
        <w:rPr>
          <w:rFonts w:asciiTheme="majorBidi" w:hAnsiTheme="majorBidi" w:cstheme="majorBidi"/>
          <w:szCs w:val="24"/>
          <w:lang w:val="lt-LT"/>
        </w:rPr>
        <w:t>Turto pelningumas</w:t>
      </w:r>
      <w:r w:rsidR="00501F4A" w:rsidRPr="00ED3D25">
        <w:rPr>
          <w:rFonts w:asciiTheme="majorBidi" w:hAnsiTheme="majorBidi" w:cstheme="majorBidi"/>
          <w:szCs w:val="24"/>
          <w:lang w:val="lt-LT"/>
        </w:rPr>
        <w:t xml:space="preserve"> (ROA)</w:t>
      </w:r>
      <w:r w:rsidR="00D602FC" w:rsidRPr="00ED3D25">
        <w:rPr>
          <w:rFonts w:asciiTheme="majorBidi" w:hAnsiTheme="majorBidi" w:cstheme="majorBidi"/>
          <w:szCs w:val="24"/>
          <w:lang w:val="lt-LT"/>
        </w:rPr>
        <w:t xml:space="preserve"> parodo </w:t>
      </w:r>
      <w:r w:rsidR="00163FFC" w:rsidRPr="00ED3D25">
        <w:rPr>
          <w:rFonts w:asciiTheme="majorBidi" w:hAnsiTheme="majorBidi" w:cstheme="majorBidi"/>
          <w:szCs w:val="24"/>
          <w:lang w:val="lt-LT"/>
        </w:rPr>
        <w:t>įmonės turto efektyvumą, k</w:t>
      </w:r>
      <w:r w:rsidR="00501F4A" w:rsidRPr="00ED3D25">
        <w:rPr>
          <w:rFonts w:asciiTheme="majorBidi" w:hAnsiTheme="majorBidi" w:cstheme="majorBidi"/>
          <w:szCs w:val="24"/>
          <w:lang w:val="lt-LT"/>
        </w:rPr>
        <w:t xml:space="preserve">uo ROA reikšmė </w:t>
      </w:r>
      <w:r w:rsidR="00CC0022" w:rsidRPr="00ED3D25">
        <w:rPr>
          <w:rFonts w:asciiTheme="majorBidi" w:hAnsiTheme="majorBidi" w:cstheme="majorBidi"/>
          <w:szCs w:val="24"/>
          <w:lang w:val="lt-LT"/>
        </w:rPr>
        <w:t>didesn</w:t>
      </w:r>
      <w:r w:rsidR="00501F4A" w:rsidRPr="00ED3D25">
        <w:rPr>
          <w:rFonts w:asciiTheme="majorBidi" w:hAnsiTheme="majorBidi" w:cstheme="majorBidi"/>
          <w:szCs w:val="24"/>
          <w:lang w:val="lt-LT"/>
        </w:rPr>
        <w:t>ė, tuo efektyviau panaudojamas</w:t>
      </w:r>
      <w:r w:rsidR="00CC0022" w:rsidRPr="00ED3D25">
        <w:rPr>
          <w:rFonts w:asciiTheme="majorBidi" w:hAnsiTheme="majorBidi" w:cstheme="majorBidi"/>
          <w:szCs w:val="24"/>
          <w:lang w:val="lt-LT"/>
        </w:rPr>
        <w:t xml:space="preserve"> turtas</w:t>
      </w:r>
      <w:r w:rsidR="00501F4A" w:rsidRPr="00ED3D25">
        <w:rPr>
          <w:rFonts w:asciiTheme="majorBidi" w:hAnsiTheme="majorBidi" w:cstheme="majorBidi"/>
          <w:szCs w:val="24"/>
          <w:lang w:val="lt-LT"/>
        </w:rPr>
        <w:t xml:space="preserve">. </w:t>
      </w:r>
      <w:r w:rsidR="00CC0022" w:rsidRPr="00ED3D25">
        <w:rPr>
          <w:rFonts w:asciiTheme="majorBidi" w:hAnsiTheme="majorBidi" w:cstheme="majorBidi"/>
          <w:szCs w:val="24"/>
          <w:lang w:val="lt-LT"/>
        </w:rPr>
        <w:t>N</w:t>
      </w:r>
      <w:r w:rsidR="00EB54E0" w:rsidRPr="00ED3D25">
        <w:rPr>
          <w:rFonts w:asciiTheme="majorBidi" w:hAnsiTheme="majorBidi" w:cstheme="majorBidi"/>
          <w:szCs w:val="24"/>
          <w:lang w:val="lt-LT"/>
        </w:rPr>
        <w:t>uosavo kapitalo pelningumas (ROE</w:t>
      </w:r>
      <w:r w:rsidR="00CC0022" w:rsidRPr="00ED3D25">
        <w:rPr>
          <w:rFonts w:asciiTheme="majorBidi" w:hAnsiTheme="majorBidi" w:cstheme="majorBidi"/>
          <w:szCs w:val="24"/>
          <w:lang w:val="lt-LT"/>
        </w:rPr>
        <w:t xml:space="preserve">) </w:t>
      </w:r>
      <w:r w:rsidR="00A9609E" w:rsidRPr="00ED3D25">
        <w:rPr>
          <w:rFonts w:asciiTheme="majorBidi" w:hAnsiTheme="majorBidi" w:cstheme="majorBidi"/>
          <w:szCs w:val="24"/>
          <w:lang w:val="lt-LT"/>
        </w:rPr>
        <w:t xml:space="preserve">rodo, kiek nuosavo kapitalo litui (eurui) tenka grynojo pelno. </w:t>
      </w:r>
      <w:r w:rsidR="00763BF3" w:rsidRPr="00ED3D25">
        <w:rPr>
          <w:rFonts w:asciiTheme="majorBidi" w:hAnsiTheme="majorBidi" w:cstheme="majorBidi"/>
          <w:szCs w:val="24"/>
          <w:lang w:val="lt-LT"/>
        </w:rPr>
        <w:t xml:space="preserve">J. Mackevičius (2007) teigia, kad pasak </w:t>
      </w:r>
      <w:r w:rsidR="00A9609E" w:rsidRPr="00ED3D25">
        <w:rPr>
          <w:rFonts w:asciiTheme="majorBidi" w:hAnsiTheme="majorBidi" w:cstheme="majorBidi"/>
          <w:szCs w:val="24"/>
          <w:lang w:val="lt-LT"/>
        </w:rPr>
        <w:t>Lietuvos statistikos departamento rodiklių vertinimo metodikoje ROE laikomas labai geru, kai yra daugiau nei 0,3, geru, kai virš 0,2 ir patenkinimu, kai daugiau nei 0,1.</w:t>
      </w:r>
      <w:r w:rsidR="00007813" w:rsidRPr="00ED3D25">
        <w:rPr>
          <w:rFonts w:asciiTheme="majorBidi" w:hAnsiTheme="majorBidi" w:cstheme="majorBidi"/>
          <w:szCs w:val="24"/>
          <w:lang w:val="lt-LT"/>
        </w:rPr>
        <w:t xml:space="preserve"> </w:t>
      </w:r>
    </w:p>
    <w:p w:rsidR="00642B68" w:rsidRPr="00ED3D25" w:rsidRDefault="00642B68" w:rsidP="00642B68">
      <w:pPr>
        <w:tabs>
          <w:tab w:val="left" w:pos="851"/>
        </w:tabs>
        <w:spacing w:after="0"/>
        <w:ind w:firstLine="851"/>
        <w:jc w:val="right"/>
        <w:rPr>
          <w:rFonts w:asciiTheme="majorBidi" w:hAnsiTheme="majorBidi" w:cstheme="majorBidi"/>
          <w:b/>
          <w:bCs/>
          <w:szCs w:val="24"/>
          <w:lang w:val="lt-LT"/>
        </w:rPr>
      </w:pPr>
      <w:r w:rsidRPr="00ED3D25">
        <w:rPr>
          <w:rFonts w:asciiTheme="majorBidi" w:hAnsiTheme="majorBidi" w:cstheme="majorBidi"/>
          <w:b/>
          <w:bCs/>
          <w:szCs w:val="24"/>
          <w:lang w:val="lt-LT"/>
        </w:rPr>
        <w:t>8 lentelė</w:t>
      </w:r>
    </w:p>
    <w:p w:rsidR="00642B68" w:rsidRPr="00ED3D25" w:rsidRDefault="00212DD4" w:rsidP="006B01BF">
      <w:pPr>
        <w:tabs>
          <w:tab w:val="left" w:pos="851"/>
        </w:tabs>
        <w:spacing w:after="0" w:line="240" w:lineRule="auto"/>
        <w:jc w:val="center"/>
        <w:rPr>
          <w:rFonts w:asciiTheme="majorBidi" w:hAnsiTheme="majorBidi" w:cstheme="majorBidi"/>
          <w:b/>
          <w:bCs/>
          <w:lang w:val="lt-LT"/>
        </w:rPr>
      </w:pPr>
      <w:r w:rsidRPr="00ED3D25">
        <w:rPr>
          <w:rFonts w:asciiTheme="majorBidi" w:hAnsiTheme="majorBidi" w:cstheme="majorBidi"/>
          <w:b/>
          <w:bCs/>
          <w:lang w:val="lt-LT"/>
        </w:rPr>
        <w:t>Veiklos</w:t>
      </w:r>
      <w:r w:rsidR="00FA3DA7" w:rsidRPr="00ED3D25">
        <w:rPr>
          <w:rFonts w:asciiTheme="majorBidi" w:hAnsiTheme="majorBidi" w:cstheme="majorBidi"/>
          <w:b/>
          <w:bCs/>
          <w:lang w:val="lt-LT"/>
        </w:rPr>
        <w:t xml:space="preserve"> efektyvumo</w:t>
      </w:r>
      <w:r w:rsidR="00642B68" w:rsidRPr="00ED3D25">
        <w:rPr>
          <w:rFonts w:asciiTheme="majorBidi" w:hAnsiTheme="majorBidi" w:cstheme="majorBidi"/>
          <w:b/>
          <w:bCs/>
          <w:lang w:val="lt-LT"/>
        </w:rPr>
        <w:t xml:space="preserve"> rodikliai</w:t>
      </w:r>
    </w:p>
    <w:p w:rsidR="00642B68" w:rsidRPr="00ED3D25" w:rsidRDefault="00642B68" w:rsidP="00642B68">
      <w:pPr>
        <w:tabs>
          <w:tab w:val="left" w:pos="851"/>
        </w:tabs>
        <w:spacing w:after="0" w:line="240" w:lineRule="auto"/>
        <w:ind w:firstLine="851"/>
        <w:jc w:val="center"/>
        <w:rPr>
          <w:rFonts w:asciiTheme="majorBidi" w:hAnsiTheme="majorBidi" w:cstheme="majorBidi"/>
          <w:b/>
          <w:bCs/>
          <w:lang w:val="lt-LT"/>
        </w:rPr>
      </w:pPr>
    </w:p>
    <w:tbl>
      <w:tblPr>
        <w:tblStyle w:val="TableGrid"/>
        <w:tblW w:w="5000" w:type="pct"/>
        <w:tblLook w:val="04A0" w:firstRow="1" w:lastRow="0" w:firstColumn="1" w:lastColumn="0" w:noHBand="0" w:noVBand="1"/>
      </w:tblPr>
      <w:tblGrid>
        <w:gridCol w:w="3794"/>
        <w:gridCol w:w="4679"/>
        <w:gridCol w:w="1382"/>
      </w:tblGrid>
      <w:tr w:rsidR="00A9644C" w:rsidRPr="00ED3D25" w:rsidTr="00C87727">
        <w:tc>
          <w:tcPr>
            <w:tcW w:w="1925" w:type="pct"/>
            <w:vAlign w:val="center"/>
          </w:tcPr>
          <w:p w:rsidR="00096A8C" w:rsidRPr="00ED3D25" w:rsidRDefault="00096A8C" w:rsidP="00F41E1E">
            <w:pPr>
              <w:tabs>
                <w:tab w:val="left" w:pos="851"/>
              </w:tabs>
              <w:spacing w:line="240" w:lineRule="auto"/>
              <w:rPr>
                <w:rFonts w:asciiTheme="majorBidi" w:hAnsiTheme="majorBidi" w:cstheme="majorBidi"/>
                <w:b/>
                <w:bCs/>
                <w:lang w:val="lt-LT"/>
              </w:rPr>
            </w:pPr>
            <w:r w:rsidRPr="00ED3D25">
              <w:rPr>
                <w:rFonts w:asciiTheme="majorBidi" w:hAnsiTheme="majorBidi" w:cstheme="majorBidi"/>
                <w:b/>
                <w:bCs/>
                <w:lang w:val="lt-LT"/>
              </w:rPr>
              <w:t>Rodiklis</w:t>
            </w:r>
          </w:p>
        </w:tc>
        <w:tc>
          <w:tcPr>
            <w:tcW w:w="2374" w:type="pct"/>
            <w:vAlign w:val="center"/>
          </w:tcPr>
          <w:p w:rsidR="00096A8C" w:rsidRPr="00ED3D25" w:rsidRDefault="00096A8C" w:rsidP="00F41E1E">
            <w:pPr>
              <w:tabs>
                <w:tab w:val="left" w:pos="851"/>
              </w:tabs>
              <w:spacing w:line="240" w:lineRule="auto"/>
              <w:rPr>
                <w:rFonts w:asciiTheme="majorBidi" w:hAnsiTheme="majorBidi" w:cstheme="majorBidi"/>
                <w:b/>
                <w:bCs/>
                <w:lang w:val="lt-LT"/>
              </w:rPr>
            </w:pPr>
            <w:r w:rsidRPr="00ED3D25">
              <w:rPr>
                <w:rFonts w:asciiTheme="majorBidi" w:hAnsiTheme="majorBidi" w:cstheme="majorBidi"/>
                <w:b/>
                <w:bCs/>
                <w:lang w:val="lt-LT"/>
              </w:rPr>
              <w:t>Formulė</w:t>
            </w:r>
          </w:p>
        </w:tc>
        <w:tc>
          <w:tcPr>
            <w:tcW w:w="701" w:type="pct"/>
            <w:vAlign w:val="center"/>
          </w:tcPr>
          <w:p w:rsidR="00096A8C" w:rsidRPr="00ED3D25" w:rsidRDefault="00096A8C" w:rsidP="00F41E1E">
            <w:pPr>
              <w:tabs>
                <w:tab w:val="left" w:pos="851"/>
              </w:tabs>
              <w:spacing w:line="240" w:lineRule="auto"/>
              <w:rPr>
                <w:rFonts w:asciiTheme="majorBidi" w:hAnsiTheme="majorBidi" w:cstheme="majorBidi"/>
                <w:b/>
                <w:bCs/>
                <w:lang w:val="lt-LT"/>
              </w:rPr>
            </w:pPr>
            <w:r w:rsidRPr="00ED3D25">
              <w:rPr>
                <w:rFonts w:asciiTheme="majorBidi" w:hAnsiTheme="majorBidi" w:cstheme="majorBidi"/>
                <w:b/>
                <w:bCs/>
                <w:lang w:val="lt-LT"/>
              </w:rPr>
              <w:t>Reikšmė</w:t>
            </w:r>
          </w:p>
        </w:tc>
      </w:tr>
      <w:tr w:rsidR="006642D5" w:rsidRPr="00ED3D25" w:rsidTr="00C87727">
        <w:tc>
          <w:tcPr>
            <w:tcW w:w="1925" w:type="pct"/>
            <w:vAlign w:val="center"/>
          </w:tcPr>
          <w:p w:rsidR="006642D5" w:rsidRPr="00ED3D25" w:rsidRDefault="006642D5" w:rsidP="00F41E1E">
            <w:pPr>
              <w:tabs>
                <w:tab w:val="left" w:pos="851"/>
              </w:tabs>
              <w:spacing w:line="240" w:lineRule="auto"/>
              <w:rPr>
                <w:rFonts w:asciiTheme="majorBidi" w:hAnsiTheme="majorBidi" w:cstheme="majorBidi"/>
                <w:lang w:val="lt-LT"/>
              </w:rPr>
            </w:pPr>
            <w:r w:rsidRPr="00ED3D25">
              <w:rPr>
                <w:rFonts w:asciiTheme="majorBidi" w:hAnsiTheme="majorBidi" w:cstheme="majorBidi"/>
                <w:lang w:val="lt-LT"/>
              </w:rPr>
              <w:t>Veiklos sąnaudos vienam pajamų litui</w:t>
            </w:r>
          </w:p>
        </w:tc>
        <w:tc>
          <w:tcPr>
            <w:tcW w:w="2374" w:type="pct"/>
            <w:vAlign w:val="center"/>
          </w:tcPr>
          <w:p w:rsidR="006642D5" w:rsidRPr="00ED3D25" w:rsidRDefault="006642D5" w:rsidP="00F41E1E">
            <w:pPr>
              <w:tabs>
                <w:tab w:val="left" w:pos="851"/>
              </w:tabs>
              <w:spacing w:line="240" w:lineRule="auto"/>
              <w:rPr>
                <w:rFonts w:asciiTheme="majorBidi" w:hAnsiTheme="majorBidi" w:cstheme="majorBidi"/>
                <w:lang w:val="lt-LT"/>
              </w:rPr>
            </w:pPr>
            <w:r w:rsidRPr="00ED3D25">
              <w:rPr>
                <w:rFonts w:asciiTheme="majorBidi" w:hAnsiTheme="majorBidi" w:cstheme="majorBidi"/>
                <w:lang w:val="lt-LT"/>
              </w:rPr>
              <w:t>Veiklos sąnaudos / Pardavimo pajamos</w:t>
            </w:r>
          </w:p>
        </w:tc>
        <w:tc>
          <w:tcPr>
            <w:tcW w:w="701" w:type="pct"/>
            <w:vAlign w:val="center"/>
          </w:tcPr>
          <w:p w:rsidR="006642D5" w:rsidRPr="00ED3D25" w:rsidRDefault="006642D5" w:rsidP="00F41E1E">
            <w:pPr>
              <w:tabs>
                <w:tab w:val="left" w:pos="851"/>
              </w:tabs>
              <w:spacing w:line="240" w:lineRule="auto"/>
              <w:rPr>
                <w:rFonts w:asciiTheme="majorBidi" w:hAnsiTheme="majorBidi" w:cstheme="majorBidi"/>
                <w:lang w:val="lt-LT"/>
              </w:rPr>
            </w:pPr>
            <w:r w:rsidRPr="00ED3D25">
              <w:rPr>
                <w:rFonts w:asciiTheme="majorBidi" w:hAnsiTheme="majorBidi" w:cstheme="majorBidi"/>
                <w:lang w:val="lt-LT"/>
              </w:rPr>
              <w:t xml:space="preserve">X </w:t>
            </w:r>
            <w:r w:rsidRPr="00ED3D25">
              <w:rPr>
                <w:rFonts w:asciiTheme="majorBidi" w:hAnsiTheme="majorBidi" w:cstheme="majorBidi"/>
                <w:lang w:val="lt-LT"/>
              </w:rPr>
              <w:sym w:font="Symbol" w:char="F0A3"/>
            </w:r>
            <w:r w:rsidRPr="00ED3D25">
              <w:rPr>
                <w:rFonts w:asciiTheme="majorBidi" w:hAnsiTheme="majorBidi" w:cstheme="majorBidi"/>
                <w:lang w:val="lt-LT"/>
              </w:rPr>
              <w:t xml:space="preserve"> 0,18</w:t>
            </w:r>
          </w:p>
        </w:tc>
      </w:tr>
      <w:tr w:rsidR="00A9644C" w:rsidRPr="00ED3D25" w:rsidTr="00C87727">
        <w:tc>
          <w:tcPr>
            <w:tcW w:w="1925" w:type="pct"/>
            <w:vAlign w:val="center"/>
          </w:tcPr>
          <w:p w:rsidR="00096A8C" w:rsidRPr="00ED3D25" w:rsidRDefault="00096A8C" w:rsidP="00F41E1E">
            <w:pPr>
              <w:tabs>
                <w:tab w:val="left" w:pos="851"/>
              </w:tabs>
              <w:spacing w:line="240" w:lineRule="auto"/>
              <w:rPr>
                <w:rFonts w:asciiTheme="majorBidi" w:hAnsiTheme="majorBidi" w:cstheme="majorBidi"/>
                <w:lang w:val="lt-LT"/>
              </w:rPr>
            </w:pPr>
            <w:r w:rsidRPr="00ED3D25">
              <w:rPr>
                <w:rFonts w:asciiTheme="majorBidi" w:hAnsiTheme="majorBidi" w:cstheme="majorBidi"/>
                <w:lang w:val="lt-LT"/>
              </w:rPr>
              <w:t>Apyvartinio kapitalo apyvartumas</w:t>
            </w:r>
          </w:p>
        </w:tc>
        <w:tc>
          <w:tcPr>
            <w:tcW w:w="2374" w:type="pct"/>
            <w:vAlign w:val="center"/>
          </w:tcPr>
          <w:p w:rsidR="00096A8C" w:rsidRPr="00ED3D25" w:rsidRDefault="00E21935" w:rsidP="00F41E1E">
            <w:pPr>
              <w:tabs>
                <w:tab w:val="left" w:pos="851"/>
              </w:tabs>
              <w:spacing w:line="240" w:lineRule="auto"/>
              <w:rPr>
                <w:rFonts w:asciiTheme="majorBidi" w:hAnsiTheme="majorBidi" w:cstheme="majorBidi"/>
                <w:lang w:val="lt-LT"/>
              </w:rPr>
            </w:pPr>
            <w:r w:rsidRPr="00ED3D25">
              <w:rPr>
                <w:rFonts w:asciiTheme="majorBidi" w:hAnsiTheme="majorBidi" w:cstheme="majorBidi"/>
                <w:lang w:val="lt-LT"/>
              </w:rPr>
              <w:t>Pardavimo pajamos / vid. a</w:t>
            </w:r>
            <w:r w:rsidR="00A9644C" w:rsidRPr="00ED3D25">
              <w:rPr>
                <w:rFonts w:asciiTheme="majorBidi" w:hAnsiTheme="majorBidi" w:cstheme="majorBidi"/>
                <w:lang w:val="lt-LT"/>
              </w:rPr>
              <w:t>pyvartinis kapitalas</w:t>
            </w:r>
          </w:p>
        </w:tc>
        <w:tc>
          <w:tcPr>
            <w:tcW w:w="701" w:type="pct"/>
            <w:vAlign w:val="center"/>
          </w:tcPr>
          <w:p w:rsidR="00096A8C" w:rsidRPr="00ED3D25" w:rsidRDefault="00BC12D4" w:rsidP="00F41E1E">
            <w:pPr>
              <w:tabs>
                <w:tab w:val="left" w:pos="851"/>
              </w:tabs>
              <w:spacing w:line="240" w:lineRule="auto"/>
              <w:rPr>
                <w:rFonts w:asciiTheme="majorBidi" w:hAnsiTheme="majorBidi" w:cstheme="majorBidi"/>
                <w:lang w:val="lt-LT"/>
              </w:rPr>
            </w:pPr>
            <w:r w:rsidRPr="00ED3D25">
              <w:rPr>
                <w:rFonts w:asciiTheme="majorBidi" w:hAnsiTheme="majorBidi" w:cstheme="majorBidi"/>
                <w:lang w:val="lt-LT"/>
              </w:rPr>
              <w:t xml:space="preserve">0 </w:t>
            </w:r>
            <w:r w:rsidRPr="00ED3D25">
              <w:rPr>
                <w:rFonts w:asciiTheme="majorBidi" w:hAnsiTheme="majorBidi" w:cstheme="majorBidi"/>
                <w:lang w:val="lt-LT"/>
              </w:rPr>
              <w:sym w:font="Symbol" w:char="F0A3"/>
            </w:r>
            <w:r w:rsidRPr="00ED3D25">
              <w:rPr>
                <w:rFonts w:asciiTheme="majorBidi" w:hAnsiTheme="majorBidi" w:cstheme="majorBidi"/>
                <w:lang w:val="lt-LT"/>
              </w:rPr>
              <w:t xml:space="preserve"> X</w:t>
            </w:r>
          </w:p>
        </w:tc>
      </w:tr>
      <w:tr w:rsidR="00A9644C" w:rsidRPr="00ED3D25" w:rsidTr="00C87727">
        <w:tc>
          <w:tcPr>
            <w:tcW w:w="1925" w:type="pct"/>
            <w:vAlign w:val="center"/>
          </w:tcPr>
          <w:p w:rsidR="00096A8C" w:rsidRPr="00ED3D25" w:rsidRDefault="00A9644C" w:rsidP="00F41E1E">
            <w:pPr>
              <w:tabs>
                <w:tab w:val="left" w:pos="851"/>
              </w:tabs>
              <w:spacing w:line="240" w:lineRule="auto"/>
              <w:rPr>
                <w:rFonts w:asciiTheme="majorBidi" w:hAnsiTheme="majorBidi" w:cstheme="majorBidi"/>
                <w:lang w:val="lt-LT"/>
              </w:rPr>
            </w:pPr>
            <w:r w:rsidRPr="00ED3D25">
              <w:rPr>
                <w:rFonts w:asciiTheme="majorBidi" w:hAnsiTheme="majorBidi" w:cstheme="majorBidi"/>
                <w:lang w:val="lt-LT"/>
              </w:rPr>
              <w:t>Grynojo turto apyvartumas</w:t>
            </w:r>
          </w:p>
        </w:tc>
        <w:tc>
          <w:tcPr>
            <w:tcW w:w="2374" w:type="pct"/>
            <w:vAlign w:val="center"/>
          </w:tcPr>
          <w:p w:rsidR="00096A8C" w:rsidRPr="00ED3D25" w:rsidRDefault="00A9644C" w:rsidP="00F41E1E">
            <w:pPr>
              <w:tabs>
                <w:tab w:val="left" w:pos="851"/>
              </w:tabs>
              <w:spacing w:line="240" w:lineRule="auto"/>
              <w:rPr>
                <w:rFonts w:asciiTheme="majorBidi" w:hAnsiTheme="majorBidi" w:cstheme="majorBidi"/>
                <w:lang w:val="lt-LT"/>
              </w:rPr>
            </w:pPr>
            <w:r w:rsidRPr="00ED3D25">
              <w:rPr>
                <w:rFonts w:asciiTheme="majorBidi" w:hAnsiTheme="majorBidi" w:cstheme="majorBidi"/>
                <w:lang w:val="lt-LT"/>
              </w:rPr>
              <w:t>Pardavimo pajamos / Grynasis turtas</w:t>
            </w:r>
          </w:p>
        </w:tc>
        <w:tc>
          <w:tcPr>
            <w:tcW w:w="701" w:type="pct"/>
            <w:vAlign w:val="center"/>
          </w:tcPr>
          <w:p w:rsidR="00096A8C" w:rsidRPr="00ED3D25" w:rsidRDefault="00BC12D4" w:rsidP="00F41E1E">
            <w:pPr>
              <w:tabs>
                <w:tab w:val="left" w:pos="851"/>
              </w:tabs>
              <w:spacing w:line="240" w:lineRule="auto"/>
              <w:rPr>
                <w:rFonts w:asciiTheme="majorBidi" w:hAnsiTheme="majorBidi" w:cstheme="majorBidi"/>
                <w:lang w:val="lt-LT"/>
              </w:rPr>
            </w:pPr>
            <w:r w:rsidRPr="00ED3D25">
              <w:rPr>
                <w:rFonts w:asciiTheme="majorBidi" w:hAnsiTheme="majorBidi" w:cstheme="majorBidi"/>
                <w:lang w:val="lt-LT"/>
              </w:rPr>
              <w:t xml:space="preserve">0 </w:t>
            </w:r>
            <w:r w:rsidRPr="00ED3D25">
              <w:rPr>
                <w:rFonts w:asciiTheme="majorBidi" w:hAnsiTheme="majorBidi" w:cstheme="majorBidi"/>
                <w:lang w:val="lt-LT"/>
              </w:rPr>
              <w:sym w:font="Symbol" w:char="F0A3"/>
            </w:r>
            <w:r w:rsidRPr="00ED3D25">
              <w:rPr>
                <w:rFonts w:asciiTheme="majorBidi" w:hAnsiTheme="majorBidi" w:cstheme="majorBidi"/>
                <w:lang w:val="lt-LT"/>
              </w:rPr>
              <w:t xml:space="preserve"> X</w:t>
            </w:r>
          </w:p>
        </w:tc>
      </w:tr>
      <w:tr w:rsidR="00A9644C" w:rsidRPr="00ED3D25" w:rsidTr="00C87727">
        <w:tc>
          <w:tcPr>
            <w:tcW w:w="1925" w:type="pct"/>
            <w:vAlign w:val="center"/>
          </w:tcPr>
          <w:p w:rsidR="00096A8C" w:rsidRPr="00ED3D25" w:rsidRDefault="00BC12D4" w:rsidP="00F41E1E">
            <w:pPr>
              <w:tabs>
                <w:tab w:val="left" w:pos="851"/>
              </w:tabs>
              <w:spacing w:line="240" w:lineRule="auto"/>
              <w:rPr>
                <w:rFonts w:asciiTheme="majorBidi" w:hAnsiTheme="majorBidi" w:cstheme="majorBidi"/>
                <w:lang w:val="lt-LT"/>
              </w:rPr>
            </w:pPr>
            <w:r w:rsidRPr="00ED3D25">
              <w:rPr>
                <w:rFonts w:asciiTheme="majorBidi" w:hAnsiTheme="majorBidi" w:cstheme="majorBidi"/>
                <w:lang w:val="lt-LT"/>
              </w:rPr>
              <w:t>T</w:t>
            </w:r>
            <w:r w:rsidR="00A9644C" w:rsidRPr="00ED3D25">
              <w:rPr>
                <w:rFonts w:asciiTheme="majorBidi" w:hAnsiTheme="majorBidi" w:cstheme="majorBidi"/>
                <w:lang w:val="lt-LT"/>
              </w:rPr>
              <w:t>urto apyvartumas</w:t>
            </w:r>
          </w:p>
        </w:tc>
        <w:tc>
          <w:tcPr>
            <w:tcW w:w="2374" w:type="pct"/>
            <w:vAlign w:val="center"/>
          </w:tcPr>
          <w:p w:rsidR="00096A8C" w:rsidRPr="00ED3D25" w:rsidRDefault="00BC12D4" w:rsidP="00F41E1E">
            <w:pPr>
              <w:tabs>
                <w:tab w:val="left" w:pos="851"/>
              </w:tabs>
              <w:spacing w:line="240" w:lineRule="auto"/>
              <w:rPr>
                <w:rFonts w:asciiTheme="majorBidi" w:hAnsiTheme="majorBidi" w:cstheme="majorBidi"/>
                <w:lang w:val="lt-LT"/>
              </w:rPr>
            </w:pPr>
            <w:r w:rsidRPr="00ED3D25">
              <w:rPr>
                <w:rFonts w:asciiTheme="majorBidi" w:hAnsiTheme="majorBidi" w:cstheme="majorBidi"/>
                <w:lang w:val="lt-LT"/>
              </w:rPr>
              <w:t>Pardavimo pajamos / T</w:t>
            </w:r>
            <w:r w:rsidR="00A9644C" w:rsidRPr="00ED3D25">
              <w:rPr>
                <w:rFonts w:asciiTheme="majorBidi" w:hAnsiTheme="majorBidi" w:cstheme="majorBidi"/>
                <w:lang w:val="lt-LT"/>
              </w:rPr>
              <w:t>urtas</w:t>
            </w:r>
          </w:p>
        </w:tc>
        <w:tc>
          <w:tcPr>
            <w:tcW w:w="701" w:type="pct"/>
            <w:vAlign w:val="center"/>
          </w:tcPr>
          <w:p w:rsidR="00096A8C" w:rsidRPr="00ED3D25" w:rsidRDefault="00C87727" w:rsidP="00F41E1E">
            <w:pPr>
              <w:tabs>
                <w:tab w:val="left" w:pos="851"/>
              </w:tabs>
              <w:spacing w:line="240" w:lineRule="auto"/>
              <w:rPr>
                <w:rFonts w:asciiTheme="majorBidi" w:hAnsiTheme="majorBidi" w:cstheme="majorBidi"/>
                <w:lang w:val="lt-LT"/>
              </w:rPr>
            </w:pPr>
            <w:r w:rsidRPr="00ED3D25">
              <w:rPr>
                <w:rFonts w:asciiTheme="majorBidi" w:hAnsiTheme="majorBidi" w:cstheme="majorBidi"/>
                <w:lang w:val="lt-LT"/>
              </w:rPr>
              <w:t>1,6</w:t>
            </w:r>
            <w:r w:rsidRPr="00ED3D25">
              <w:rPr>
                <w:rFonts w:asciiTheme="majorBidi" w:hAnsiTheme="majorBidi" w:cstheme="majorBidi"/>
                <w:lang w:val="lt-LT"/>
              </w:rPr>
              <w:sym w:font="Symbol" w:char="F0A3"/>
            </w:r>
            <w:r w:rsidRPr="00ED3D25">
              <w:rPr>
                <w:rFonts w:asciiTheme="majorBidi" w:hAnsiTheme="majorBidi" w:cstheme="majorBidi"/>
                <w:lang w:val="lt-LT"/>
              </w:rPr>
              <w:t xml:space="preserve"> X </w:t>
            </w:r>
            <w:r w:rsidRPr="00ED3D25">
              <w:rPr>
                <w:rFonts w:asciiTheme="majorBidi" w:hAnsiTheme="majorBidi" w:cstheme="majorBidi"/>
                <w:lang w:val="lt-LT"/>
              </w:rPr>
              <w:sym w:font="Symbol" w:char="F0A3"/>
            </w:r>
            <w:r w:rsidRPr="00ED3D25">
              <w:rPr>
                <w:rFonts w:asciiTheme="majorBidi" w:hAnsiTheme="majorBidi" w:cstheme="majorBidi"/>
                <w:lang w:val="lt-LT"/>
              </w:rPr>
              <w:t>1,8</w:t>
            </w:r>
          </w:p>
        </w:tc>
      </w:tr>
    </w:tbl>
    <w:p w:rsidR="00A9644C" w:rsidRPr="00ED3D25" w:rsidRDefault="00A9644C" w:rsidP="00A9644C">
      <w:pPr>
        <w:tabs>
          <w:tab w:val="left" w:pos="851"/>
        </w:tabs>
        <w:spacing w:after="0" w:line="240" w:lineRule="auto"/>
        <w:rPr>
          <w:sz w:val="20"/>
          <w:szCs w:val="20"/>
          <w:lang w:val="lt-LT"/>
        </w:rPr>
      </w:pPr>
      <w:r w:rsidRPr="00ED3D25">
        <w:rPr>
          <w:sz w:val="20"/>
          <w:szCs w:val="20"/>
          <w:lang w:val="lt-LT"/>
        </w:rPr>
        <w:t>Pastaba: lentelė sudaryta autorės, remiantis Rodiklių skaičiavimo metodika (2001), J. Macke</w:t>
      </w:r>
      <w:r w:rsidR="00E12544" w:rsidRPr="00ED3D25">
        <w:rPr>
          <w:sz w:val="20"/>
          <w:szCs w:val="20"/>
          <w:lang w:val="lt-LT"/>
        </w:rPr>
        <w:t>vičiumi</w:t>
      </w:r>
      <w:r w:rsidRPr="00ED3D25">
        <w:rPr>
          <w:sz w:val="20"/>
          <w:szCs w:val="20"/>
          <w:lang w:val="lt-LT"/>
        </w:rPr>
        <w:t xml:space="preserve"> (2007).</w:t>
      </w:r>
    </w:p>
    <w:p w:rsidR="00642B68" w:rsidRPr="006B01BF" w:rsidRDefault="00642B68" w:rsidP="006642D5">
      <w:pPr>
        <w:tabs>
          <w:tab w:val="left" w:pos="851"/>
        </w:tabs>
        <w:spacing w:after="0" w:line="240" w:lineRule="auto"/>
        <w:ind w:firstLine="851"/>
        <w:rPr>
          <w:rFonts w:asciiTheme="majorBidi" w:hAnsiTheme="majorBidi" w:cstheme="majorBidi"/>
          <w:sz w:val="14"/>
          <w:szCs w:val="16"/>
          <w:lang w:val="lt-LT"/>
        </w:rPr>
      </w:pPr>
    </w:p>
    <w:p w:rsidR="004F470A" w:rsidRPr="00ED3D25" w:rsidRDefault="00212DD4" w:rsidP="00FF2047">
      <w:pPr>
        <w:spacing w:after="0"/>
        <w:ind w:firstLine="851"/>
        <w:rPr>
          <w:rFonts w:asciiTheme="majorBidi" w:hAnsiTheme="majorBidi" w:cstheme="majorBidi"/>
          <w:szCs w:val="24"/>
          <w:lang w:val="lt-LT"/>
        </w:rPr>
      </w:pPr>
      <w:r w:rsidRPr="00ED3D25">
        <w:rPr>
          <w:rFonts w:asciiTheme="majorBidi" w:hAnsiTheme="majorBidi" w:cstheme="majorBidi"/>
          <w:szCs w:val="24"/>
          <w:lang w:val="lt-LT"/>
        </w:rPr>
        <w:lastRenderedPageBreak/>
        <w:t>Veiklos</w:t>
      </w:r>
      <w:r w:rsidR="004F470A" w:rsidRPr="00ED3D25">
        <w:rPr>
          <w:rFonts w:asciiTheme="majorBidi" w:hAnsiTheme="majorBidi" w:cstheme="majorBidi"/>
          <w:szCs w:val="24"/>
          <w:lang w:val="lt-LT"/>
        </w:rPr>
        <w:t xml:space="preserve"> efektyvumo rodikliai</w:t>
      </w:r>
      <w:r w:rsidR="00FA3DA7" w:rsidRPr="00ED3D25">
        <w:rPr>
          <w:rFonts w:asciiTheme="majorBidi" w:hAnsiTheme="majorBidi" w:cstheme="majorBidi"/>
          <w:szCs w:val="24"/>
          <w:lang w:val="lt-LT"/>
        </w:rPr>
        <w:t xml:space="preserve"> (žr. 8 lentelę) </w:t>
      </w:r>
      <w:r w:rsidR="006642D5" w:rsidRPr="00ED3D25">
        <w:rPr>
          <w:rFonts w:asciiTheme="majorBidi" w:hAnsiTheme="majorBidi" w:cstheme="majorBidi"/>
          <w:szCs w:val="24"/>
          <w:lang w:val="lt-LT"/>
        </w:rPr>
        <w:t>parodo racionalų lėšų gamybos procese cirkuliavimą, kurio metu sukuriamas pelnas bei pinigų srautas, kuris skirtas tolimesniam gamybos vykdymui (J. Mackevičius, 2007).</w:t>
      </w:r>
      <w:r w:rsidR="00161AF7" w:rsidRPr="00ED3D25">
        <w:rPr>
          <w:rFonts w:asciiTheme="majorBidi" w:hAnsiTheme="majorBidi" w:cstheme="majorBidi"/>
          <w:szCs w:val="24"/>
          <w:lang w:val="lt-LT"/>
        </w:rPr>
        <w:t xml:space="preserve"> </w:t>
      </w:r>
      <w:r w:rsidR="001B295F" w:rsidRPr="00ED3D25">
        <w:rPr>
          <w:rFonts w:asciiTheme="majorBidi" w:hAnsiTheme="majorBidi" w:cstheme="majorBidi"/>
          <w:szCs w:val="24"/>
          <w:lang w:val="lt-LT"/>
        </w:rPr>
        <w:t>Veiklos sąnaudos vienam pajamų litui (eurui) parodo išlaidas, susijusias su įprastine įmonės veikla. Kuo rodiklis žemesnis, tuo geriau yra vyk</w:t>
      </w:r>
      <w:r w:rsidR="00E73D78" w:rsidRPr="00ED3D25">
        <w:rPr>
          <w:rFonts w:asciiTheme="majorBidi" w:hAnsiTheme="majorBidi" w:cstheme="majorBidi"/>
          <w:szCs w:val="24"/>
          <w:lang w:val="lt-LT"/>
        </w:rPr>
        <w:t xml:space="preserve">doma išlaidų mažinimo politika. </w:t>
      </w:r>
      <w:r w:rsidR="00BA1071" w:rsidRPr="00ED3D25">
        <w:rPr>
          <w:rFonts w:asciiTheme="majorBidi" w:hAnsiTheme="majorBidi" w:cstheme="majorBidi"/>
          <w:szCs w:val="24"/>
          <w:lang w:val="lt-LT"/>
        </w:rPr>
        <w:t xml:space="preserve">Apyvartinio kapitalo apyvartumas parodo, kiek kartų apyvartinis kapitalas padaro apyvartų per ataskaitinį laikotarpį. Mažesnis rodiklio skaičius turi sukelti įmonės vadovybės rūpestį, kaip jį paversti efektyvesniu. Grynasis turto apyvartumas atskleidžia, kiek investuotas vienas </w:t>
      </w:r>
      <w:r w:rsidR="00265F0A" w:rsidRPr="00ED3D25">
        <w:rPr>
          <w:rFonts w:asciiTheme="majorBidi" w:hAnsiTheme="majorBidi" w:cstheme="majorBidi"/>
          <w:szCs w:val="24"/>
          <w:lang w:val="lt-LT"/>
        </w:rPr>
        <w:t>litas (euras) į ilgalaikį turtą ir</w:t>
      </w:r>
      <w:r w:rsidR="00BA1071" w:rsidRPr="00ED3D25">
        <w:rPr>
          <w:rFonts w:asciiTheme="majorBidi" w:hAnsiTheme="majorBidi" w:cstheme="majorBidi"/>
          <w:szCs w:val="24"/>
          <w:lang w:val="lt-LT"/>
        </w:rPr>
        <w:t xml:space="preserve"> apyvartinį </w:t>
      </w:r>
      <w:r w:rsidR="00265F0A" w:rsidRPr="00ED3D25">
        <w:rPr>
          <w:rFonts w:asciiTheme="majorBidi" w:hAnsiTheme="majorBidi" w:cstheme="majorBidi"/>
          <w:szCs w:val="24"/>
          <w:lang w:val="lt-LT"/>
        </w:rPr>
        <w:t>kapitalą sukuria pardavimo pajamų (Rodiklių skaičiavimo metodika, 2001).</w:t>
      </w:r>
      <w:r w:rsidR="004F470A" w:rsidRPr="00ED3D25">
        <w:rPr>
          <w:rFonts w:asciiTheme="majorBidi" w:hAnsiTheme="majorBidi" w:cstheme="majorBidi"/>
          <w:szCs w:val="24"/>
          <w:lang w:val="lt-LT"/>
        </w:rPr>
        <w:t xml:space="preserve"> Turto apyvartumo rodiklis parodo, kaip efektyviai įmonė naudoja visą turimą turtą gamind</w:t>
      </w:r>
      <w:r w:rsidR="00C87727" w:rsidRPr="00ED3D25">
        <w:rPr>
          <w:rFonts w:asciiTheme="majorBidi" w:hAnsiTheme="majorBidi" w:cstheme="majorBidi"/>
          <w:szCs w:val="24"/>
          <w:lang w:val="lt-LT"/>
        </w:rPr>
        <w:t>ama ir realizuodama produkciją.</w:t>
      </w:r>
    </w:p>
    <w:p w:rsidR="003E7615" w:rsidRPr="00ED3D25" w:rsidRDefault="00161AF7" w:rsidP="003E7615">
      <w:pPr>
        <w:spacing w:after="0"/>
        <w:ind w:firstLine="851"/>
        <w:rPr>
          <w:rFonts w:asciiTheme="majorBidi" w:hAnsiTheme="majorBidi" w:cstheme="majorBidi"/>
          <w:szCs w:val="24"/>
          <w:lang w:val="lt-LT"/>
        </w:rPr>
      </w:pPr>
      <w:r w:rsidRPr="00ED3D25">
        <w:rPr>
          <w:rFonts w:asciiTheme="majorBidi" w:hAnsiTheme="majorBidi" w:cstheme="majorBidi"/>
          <w:szCs w:val="24"/>
          <w:lang w:val="lt-LT"/>
        </w:rPr>
        <w:t xml:space="preserve">Šie rodikliai pasitelkiami kitoje dalyje analizuojamoms įmonėms įvertinti, kaip jas, gauta ES finansinė parama, paveikė efektyvumo atžvilgiu. Tad atliekami skaičiavimai ir </w:t>
      </w:r>
      <w:r w:rsidR="005A348B" w:rsidRPr="00ED3D25">
        <w:rPr>
          <w:rFonts w:asciiTheme="majorBidi" w:hAnsiTheme="majorBidi" w:cstheme="majorBidi"/>
          <w:szCs w:val="24"/>
          <w:lang w:val="lt-LT"/>
        </w:rPr>
        <w:t>apžvalga, kas turėjo įtakos gautoms</w:t>
      </w:r>
      <w:r w:rsidR="003E7615" w:rsidRPr="00ED3D25">
        <w:rPr>
          <w:rFonts w:asciiTheme="majorBidi" w:hAnsiTheme="majorBidi" w:cstheme="majorBidi"/>
          <w:szCs w:val="24"/>
          <w:lang w:val="lt-LT"/>
        </w:rPr>
        <w:t xml:space="preserve"> reikšmėms.</w:t>
      </w:r>
    </w:p>
    <w:p w:rsidR="005A348B" w:rsidRPr="00ED3D25" w:rsidRDefault="00855FFC" w:rsidP="009E09C6">
      <w:pPr>
        <w:tabs>
          <w:tab w:val="left" w:pos="851"/>
        </w:tabs>
        <w:spacing w:after="0"/>
        <w:rPr>
          <w:szCs w:val="24"/>
          <w:lang w:val="lt-LT"/>
        </w:rPr>
      </w:pPr>
      <w:r w:rsidRPr="00ED3D25">
        <w:rPr>
          <w:szCs w:val="24"/>
          <w:lang w:val="lt-LT"/>
        </w:rPr>
        <w:tab/>
      </w:r>
      <w:r w:rsidR="00A50832" w:rsidRPr="00ED3D25">
        <w:rPr>
          <w:szCs w:val="24"/>
          <w:lang w:val="lt-LT"/>
        </w:rPr>
        <w:t>Apibendrinant pirmąją tyrimo dalį</w:t>
      </w:r>
      <w:r w:rsidRPr="00ED3D25">
        <w:rPr>
          <w:szCs w:val="24"/>
          <w:lang w:val="lt-LT"/>
        </w:rPr>
        <w:t xml:space="preserve"> galima teigti, kad būtent smulkus ir vidutinis verslas yra laikomas ekonomikos pagrindu, </w:t>
      </w:r>
      <w:r w:rsidR="00A50832" w:rsidRPr="00ED3D25">
        <w:rPr>
          <w:szCs w:val="24"/>
          <w:lang w:val="lt-LT"/>
        </w:rPr>
        <w:t xml:space="preserve">kuris sukuria daugiausiai darbo vietų, </w:t>
      </w:r>
      <w:r w:rsidRPr="00ED3D25">
        <w:rPr>
          <w:szCs w:val="24"/>
          <w:lang w:val="lt-LT"/>
        </w:rPr>
        <w:t>tad vaidina svarbų va</w:t>
      </w:r>
      <w:r w:rsidR="00A50832" w:rsidRPr="00ED3D25">
        <w:rPr>
          <w:szCs w:val="24"/>
          <w:lang w:val="lt-LT"/>
        </w:rPr>
        <w:t>idmenį</w:t>
      </w:r>
      <w:r w:rsidR="006E0C2B">
        <w:rPr>
          <w:szCs w:val="24"/>
          <w:lang w:val="lt-LT"/>
        </w:rPr>
        <w:t xml:space="preserve"> regioniniame kontekste. Atlikta </w:t>
      </w:r>
      <w:r w:rsidR="006E0C2B" w:rsidRPr="006E0C2B">
        <w:rPr>
          <w:i/>
          <w:iCs/>
          <w:szCs w:val="24"/>
          <w:lang w:val="lt-LT"/>
        </w:rPr>
        <w:t>Eurobarometer</w:t>
      </w:r>
      <w:r w:rsidR="006E0C2B">
        <w:rPr>
          <w:szCs w:val="24"/>
          <w:lang w:val="lt-LT"/>
        </w:rPr>
        <w:t xml:space="preserve"> apklausa atskleidė</w:t>
      </w:r>
      <w:r w:rsidR="00A50832" w:rsidRPr="00ED3D25">
        <w:rPr>
          <w:szCs w:val="24"/>
          <w:lang w:val="lt-LT"/>
        </w:rPr>
        <w:t>, kad didžioji dalis apklaustųjų norėtų kurti verslą, tačiau susiduria su problema – pradinio kapitalo trūkumu, tad pristatomi verslo finansavimo šaltiniai. Jie suskirstyti į kelias grupes: finansiniai ir nefinansiniai. Pirmaisiais įvardijami komerciniai bankai, kredito unijos, verslo skatinimo fondai, lengvatinės paskolos ir t. t., o nefinansiniais yra laikomos verslo garantijos, kuomet laiduojama už paskolos gavėją, kad ji bus grąžinta, taip pat įvairios konsultacijos, kvalifikacijos kėlimas. Palankiausiai vertinamas paskolos suteikimas iš kredito unijos, nes jos orientuojasi į mažesnes įmones, suteikia galimybę koreguoti paskolos grąžinimo sąlygas ir kokiomis dalimis paskola bus grąžinta. Toliau buvo pristatoma ES teikiamos paramos tikslai ir rūšys. Pagrind</w:t>
      </w:r>
      <w:r w:rsidR="00FD1614" w:rsidRPr="00ED3D25">
        <w:rPr>
          <w:szCs w:val="24"/>
          <w:lang w:val="lt-LT"/>
        </w:rPr>
        <w:t>iniu tikslu įvardijamas verslo kūrimas ne regionų centruose, naujų darbo vietų steigimas ir verslo plėtros skatinimas. Taip pat ES parama atitinkant keliamus reikalavimus yra investicinio pobūdžio. Paskutiniame poskyryje kalbama apie verslo vertinimo rodiklius, kuriuos pasitelkiant analizuojamas ES finansinės paramos efektyvumas</w:t>
      </w:r>
      <w:r w:rsidR="005A348B" w:rsidRPr="00ED3D25">
        <w:rPr>
          <w:szCs w:val="24"/>
          <w:lang w:val="lt-LT"/>
        </w:rPr>
        <w:t xml:space="preserve"> įmonei</w:t>
      </w:r>
      <w:r w:rsidR="00FD1614" w:rsidRPr="00ED3D25">
        <w:rPr>
          <w:szCs w:val="24"/>
          <w:lang w:val="lt-LT"/>
        </w:rPr>
        <w:t>.</w:t>
      </w:r>
      <w:r w:rsidR="005A348B" w:rsidRPr="00ED3D25">
        <w:rPr>
          <w:color w:val="FF0000"/>
          <w:szCs w:val="24"/>
          <w:lang w:val="lt-LT"/>
        </w:rPr>
        <w:br w:type="page"/>
      </w:r>
    </w:p>
    <w:p w:rsidR="008211E4" w:rsidRPr="00ED3D25" w:rsidRDefault="00ED3D25" w:rsidP="006B01BF">
      <w:pPr>
        <w:pStyle w:val="Heading1"/>
        <w:numPr>
          <w:ilvl w:val="0"/>
          <w:numId w:val="20"/>
        </w:numPr>
        <w:spacing w:before="0" w:after="240" w:line="480" w:lineRule="auto"/>
        <w:ind w:left="714" w:hanging="357"/>
        <w:rPr>
          <w:lang w:val="lt-LT"/>
        </w:rPr>
      </w:pPr>
      <w:bookmarkStart w:id="9" w:name="_Toc419534698"/>
      <w:r w:rsidRPr="00ED3D25">
        <w:rPr>
          <w:lang w:val="lt-LT"/>
        </w:rPr>
        <w:lastRenderedPageBreak/>
        <w:t>ES finansinės paramos SVV</w:t>
      </w:r>
      <w:r w:rsidR="005A348B" w:rsidRPr="00ED3D25">
        <w:rPr>
          <w:lang w:val="lt-LT"/>
        </w:rPr>
        <w:t xml:space="preserve"> </w:t>
      </w:r>
      <w:r w:rsidRPr="00ED3D25">
        <w:rPr>
          <w:lang w:val="lt-LT"/>
        </w:rPr>
        <w:t>efektyvumo analizė</w:t>
      </w:r>
      <w:bookmarkEnd w:id="9"/>
      <w:r w:rsidRPr="00ED3D25">
        <w:rPr>
          <w:lang w:val="lt-LT"/>
        </w:rPr>
        <w:t xml:space="preserve"> </w:t>
      </w:r>
    </w:p>
    <w:p w:rsidR="00C065C8" w:rsidRPr="00ED3D25" w:rsidRDefault="004447E2" w:rsidP="008D2B0F">
      <w:pPr>
        <w:spacing w:after="0"/>
        <w:ind w:firstLine="851"/>
        <w:rPr>
          <w:lang w:val="lt-LT"/>
        </w:rPr>
      </w:pPr>
      <w:r w:rsidRPr="00ED3D25">
        <w:rPr>
          <w:lang w:val="lt-LT"/>
        </w:rPr>
        <w:t xml:space="preserve">Šioje dalyje ES finansinės paramos SVV efektyvumo </w:t>
      </w:r>
      <w:r w:rsidR="002B1CD6" w:rsidRPr="00ED3D25">
        <w:rPr>
          <w:lang w:val="lt-LT"/>
        </w:rPr>
        <w:t>vertinimui Panevėžio rajone suteikiama didžiausia reiškmė. ES finansinė parama skiriama daugiau nei 7 metus,</w:t>
      </w:r>
      <w:r w:rsidR="005B13D2">
        <w:rPr>
          <w:lang w:val="lt-LT"/>
        </w:rPr>
        <w:t xml:space="preserve"> tad atlikti tyrimai kitose šalyse </w:t>
      </w:r>
      <w:r w:rsidR="00B42AC4">
        <w:rPr>
          <w:lang w:val="lt-LT"/>
        </w:rPr>
        <w:t xml:space="preserve">yra gan skirtingi. </w:t>
      </w:r>
      <w:r w:rsidR="008D2B0F">
        <w:rPr>
          <w:lang w:val="lt-LT"/>
        </w:rPr>
        <w:t>P. Mohl ir T. Hagen (2009) a</w:t>
      </w:r>
      <w:r w:rsidR="00AF4B6E">
        <w:rPr>
          <w:lang w:val="lt-LT"/>
        </w:rPr>
        <w:t>tlikę užsienio literatūros tyrimą</w:t>
      </w:r>
      <w:r w:rsidR="00B42AC4">
        <w:rPr>
          <w:lang w:val="lt-LT"/>
        </w:rPr>
        <w:t xml:space="preserve"> </w:t>
      </w:r>
      <w:r w:rsidR="00AF4B6E">
        <w:rPr>
          <w:lang w:val="lt-LT"/>
        </w:rPr>
        <w:t xml:space="preserve">išskyrė autorius į </w:t>
      </w:r>
      <w:r w:rsidR="00B03404">
        <w:rPr>
          <w:lang w:val="lt-LT"/>
        </w:rPr>
        <w:t>dvi</w:t>
      </w:r>
      <w:r w:rsidR="00AF4B6E">
        <w:rPr>
          <w:lang w:val="lt-LT"/>
        </w:rPr>
        <w:t xml:space="preserve"> grupes, pavyzdžiui, į pirmąją grupę priskyrė</w:t>
      </w:r>
      <w:r w:rsidR="000A2628">
        <w:rPr>
          <w:lang w:val="lt-LT"/>
        </w:rPr>
        <w:t xml:space="preserve"> </w:t>
      </w:r>
      <w:r w:rsidR="00B42AC4">
        <w:rPr>
          <w:lang w:val="lt-LT"/>
        </w:rPr>
        <w:t>Boldrin ir Canov</w:t>
      </w:r>
      <w:r w:rsidR="00067E98">
        <w:rPr>
          <w:lang w:val="lt-LT"/>
        </w:rPr>
        <w:t xml:space="preserve">a, </w:t>
      </w:r>
      <w:r w:rsidR="00927380">
        <w:rPr>
          <w:lang w:val="lt-LT"/>
        </w:rPr>
        <w:t xml:space="preserve">Dall‘erba ir </w:t>
      </w:r>
      <w:r w:rsidR="00434699">
        <w:rPr>
          <w:lang w:val="lt-LT"/>
        </w:rPr>
        <w:t xml:space="preserve">Le Gallo, kurie nerado teigiamo </w:t>
      </w:r>
      <w:r w:rsidR="00FF2047">
        <w:rPr>
          <w:lang w:val="lt-LT"/>
        </w:rPr>
        <w:t>ES struktūrinių fondų finansinės</w:t>
      </w:r>
      <w:r w:rsidR="00A27044">
        <w:rPr>
          <w:lang w:val="lt-LT"/>
        </w:rPr>
        <w:t xml:space="preserve"> paramos </w:t>
      </w:r>
      <w:r w:rsidR="00434699">
        <w:rPr>
          <w:lang w:val="lt-LT"/>
        </w:rPr>
        <w:t>poveikio</w:t>
      </w:r>
      <w:r w:rsidR="00A27044" w:rsidRPr="00A27044">
        <w:rPr>
          <w:lang w:val="lt-LT"/>
        </w:rPr>
        <w:t xml:space="preserve"> </w:t>
      </w:r>
      <w:r w:rsidR="00A27044">
        <w:rPr>
          <w:lang w:val="lt-LT"/>
        </w:rPr>
        <w:t>regioniniam ar ekonominiam augimui, o į antrąją – Bussoletti ir Esposti, Bouvet, Cappelen kartu su Castellacci ir Fagerberg, kurių atlikti tyrimai parodė teigiamą ES struktūrinių fondų paramos poveikį regionams.</w:t>
      </w:r>
      <w:r w:rsidR="002B1CD6" w:rsidRPr="00ED3D25">
        <w:rPr>
          <w:lang w:val="lt-LT"/>
        </w:rPr>
        <w:t xml:space="preserve"> </w:t>
      </w:r>
      <w:r w:rsidR="00A27044">
        <w:rPr>
          <w:lang w:val="lt-LT"/>
        </w:rPr>
        <w:t xml:space="preserve">Šių mokslininkų tyrimai atlikti makroekonominiu požiūriu, tačiau įdomu pažvelgti į ES finansinės paramos poveikį </w:t>
      </w:r>
      <w:r w:rsidR="002B1CD6" w:rsidRPr="00ED3D25">
        <w:rPr>
          <w:lang w:val="lt-LT"/>
        </w:rPr>
        <w:t>iš įmon</w:t>
      </w:r>
      <w:r w:rsidR="003072B3" w:rsidRPr="00ED3D25">
        <w:rPr>
          <w:lang w:val="lt-LT"/>
        </w:rPr>
        <w:t>ių pusės. Ar tam tikrų įsipareigojimų prisiėmimas mainais į skiriamas lėšas pasiteisina,</w:t>
      </w:r>
      <w:r w:rsidR="00FD5C5E">
        <w:rPr>
          <w:lang w:val="lt-LT"/>
        </w:rPr>
        <w:t xml:space="preserve"> taip pat</w:t>
      </w:r>
      <w:r w:rsidR="003072B3" w:rsidRPr="00ED3D25">
        <w:rPr>
          <w:lang w:val="lt-LT"/>
        </w:rPr>
        <w:t xml:space="preserve"> ar skirta parama visoms įmonės teikia naudos ir </w:t>
      </w:r>
      <w:r w:rsidR="00670830" w:rsidRPr="00ED3D25">
        <w:rPr>
          <w:lang w:val="lt-LT"/>
        </w:rPr>
        <w:t>pa</w:t>
      </w:r>
      <w:r w:rsidR="003072B3" w:rsidRPr="00ED3D25">
        <w:rPr>
          <w:lang w:val="lt-LT"/>
        </w:rPr>
        <w:t>skiriama</w:t>
      </w:r>
      <w:r w:rsidR="00893A82" w:rsidRPr="00ED3D25">
        <w:rPr>
          <w:lang w:val="lt-LT"/>
        </w:rPr>
        <w:t xml:space="preserve"> tikrai produktyviai</w:t>
      </w:r>
      <w:r w:rsidR="00FF2047">
        <w:rPr>
          <w:lang w:val="lt-LT"/>
        </w:rPr>
        <w:t xml:space="preserve"> įmonei. </w:t>
      </w:r>
      <w:r w:rsidR="003072B3" w:rsidRPr="00ED3D25">
        <w:rPr>
          <w:lang w:val="lt-LT"/>
        </w:rPr>
        <w:t>Efektyvumo nustatymas</w:t>
      </w:r>
      <w:r w:rsidRPr="00ED3D25">
        <w:rPr>
          <w:lang w:val="lt-LT"/>
        </w:rPr>
        <w:t xml:space="preserve"> atliekamas keliais etapais. Taip siekiama </w:t>
      </w:r>
      <w:r w:rsidR="002B1CD6" w:rsidRPr="00ED3D25">
        <w:rPr>
          <w:lang w:val="lt-LT"/>
        </w:rPr>
        <w:t>padaryti</w:t>
      </w:r>
      <w:r w:rsidRPr="00ED3D25">
        <w:rPr>
          <w:lang w:val="lt-LT"/>
        </w:rPr>
        <w:t xml:space="preserve"> kuo kokybiš</w:t>
      </w:r>
      <w:r w:rsidR="00670830" w:rsidRPr="00ED3D25">
        <w:rPr>
          <w:lang w:val="lt-LT"/>
        </w:rPr>
        <w:t>kesnį tyrimą, taip pat apžvlegiama</w:t>
      </w:r>
      <w:r w:rsidR="00FF2047">
        <w:rPr>
          <w:lang w:val="lt-LT"/>
        </w:rPr>
        <w:t xml:space="preserve"> verslininkų nuomonė</w:t>
      </w:r>
      <w:r w:rsidRPr="00ED3D25">
        <w:rPr>
          <w:lang w:val="lt-LT"/>
        </w:rPr>
        <w:t xml:space="preserve"> apie paramos naudą.</w:t>
      </w:r>
    </w:p>
    <w:p w:rsidR="008039F5" w:rsidRPr="00ED3D25" w:rsidRDefault="00FF2047" w:rsidP="00F45AE3">
      <w:pPr>
        <w:spacing w:after="0"/>
        <w:ind w:firstLine="851"/>
        <w:rPr>
          <w:rFonts w:eastAsia="Times New Roman"/>
          <w:szCs w:val="24"/>
          <w:lang w:val="lt-LT" w:eastAsia="es-ES"/>
        </w:rPr>
      </w:pPr>
      <w:r>
        <w:rPr>
          <w:szCs w:val="24"/>
          <w:lang w:val="lt-LT"/>
        </w:rPr>
        <w:t>Toliau lentelėje pateikti tyrimo etapai ir išsikelti kl</w:t>
      </w:r>
      <w:r w:rsidR="002559CB">
        <w:rPr>
          <w:szCs w:val="24"/>
          <w:lang w:val="lt-LT"/>
        </w:rPr>
        <w:t>ausimi bei kokiais metodais pasitelkta į juos atsakant</w:t>
      </w:r>
      <w:r>
        <w:rPr>
          <w:szCs w:val="24"/>
          <w:lang w:val="lt-LT"/>
        </w:rPr>
        <w:t xml:space="preserve"> </w:t>
      </w:r>
      <w:r w:rsidR="008039F5" w:rsidRPr="00ED3D25">
        <w:rPr>
          <w:szCs w:val="24"/>
          <w:lang w:val="lt-LT"/>
        </w:rPr>
        <w:t>(žr. 9 lentelę).</w:t>
      </w:r>
    </w:p>
    <w:p w:rsidR="008039F5" w:rsidRDefault="008039F5" w:rsidP="00F45AE3">
      <w:pPr>
        <w:spacing w:after="0"/>
        <w:jc w:val="right"/>
        <w:rPr>
          <w:b/>
          <w:bCs/>
          <w:lang w:val="lt-LT"/>
        </w:rPr>
      </w:pPr>
      <w:r w:rsidRPr="00ED3D25">
        <w:rPr>
          <w:b/>
          <w:bCs/>
          <w:lang w:val="lt-LT"/>
        </w:rPr>
        <w:t>9 lentelė</w:t>
      </w:r>
    </w:p>
    <w:p w:rsidR="00CA78D6" w:rsidRPr="00CA78D6" w:rsidRDefault="00CA78D6" w:rsidP="00CA78D6">
      <w:pPr>
        <w:spacing w:after="0" w:line="240" w:lineRule="auto"/>
        <w:jc w:val="center"/>
        <w:rPr>
          <w:b/>
          <w:bCs/>
          <w:sz w:val="22"/>
          <w:lang w:val="lt-LT"/>
        </w:rPr>
      </w:pPr>
      <w:r w:rsidRPr="00CA78D6">
        <w:rPr>
          <w:b/>
          <w:bCs/>
          <w:sz w:val="22"/>
          <w:lang w:val="lt-LT"/>
        </w:rPr>
        <w:t>ES finansinės paramos efektyvumo tyrimo etapai, klausimai ir metodai</w:t>
      </w:r>
    </w:p>
    <w:p w:rsidR="00CA78D6" w:rsidRPr="00CA78D6" w:rsidRDefault="00CA78D6" w:rsidP="00CA78D6">
      <w:pPr>
        <w:spacing w:after="0" w:line="240" w:lineRule="auto"/>
        <w:jc w:val="center"/>
        <w:rPr>
          <w:b/>
          <w:bCs/>
          <w:sz w:val="20"/>
          <w:szCs w:val="20"/>
          <w:lang w:val="lt-LT"/>
        </w:rPr>
      </w:pPr>
    </w:p>
    <w:tbl>
      <w:tblPr>
        <w:tblStyle w:val="TableGrid"/>
        <w:tblW w:w="0" w:type="auto"/>
        <w:tblLook w:val="04A0" w:firstRow="1" w:lastRow="0" w:firstColumn="1" w:lastColumn="0" w:noHBand="0" w:noVBand="1"/>
      </w:tblPr>
      <w:tblGrid>
        <w:gridCol w:w="3259"/>
        <w:gridCol w:w="3937"/>
        <w:gridCol w:w="2582"/>
      </w:tblGrid>
      <w:tr w:rsidR="00427E66" w:rsidTr="00EC1EBD">
        <w:tc>
          <w:tcPr>
            <w:tcW w:w="3259" w:type="dxa"/>
          </w:tcPr>
          <w:p w:rsidR="00427E66" w:rsidRPr="00FF2047" w:rsidRDefault="00427E66" w:rsidP="00FB3A63">
            <w:pPr>
              <w:spacing w:line="240" w:lineRule="auto"/>
              <w:rPr>
                <w:b/>
                <w:bCs/>
                <w:lang w:val="lt-LT"/>
              </w:rPr>
            </w:pPr>
            <w:r w:rsidRPr="00FF2047">
              <w:rPr>
                <w:b/>
                <w:bCs/>
                <w:lang w:val="lt-LT"/>
              </w:rPr>
              <w:t>Tyrimo etapai</w:t>
            </w:r>
          </w:p>
        </w:tc>
        <w:tc>
          <w:tcPr>
            <w:tcW w:w="3937" w:type="dxa"/>
          </w:tcPr>
          <w:p w:rsidR="00427E66" w:rsidRPr="00FF2047" w:rsidRDefault="00427E66" w:rsidP="00FB3A63">
            <w:pPr>
              <w:spacing w:line="240" w:lineRule="auto"/>
              <w:rPr>
                <w:b/>
                <w:bCs/>
                <w:lang w:val="lt-LT"/>
              </w:rPr>
            </w:pPr>
            <w:r w:rsidRPr="00FF2047">
              <w:rPr>
                <w:b/>
                <w:bCs/>
                <w:lang w:val="lt-LT"/>
              </w:rPr>
              <w:t>Tyrimo klausimai</w:t>
            </w:r>
          </w:p>
        </w:tc>
        <w:tc>
          <w:tcPr>
            <w:tcW w:w="2582" w:type="dxa"/>
          </w:tcPr>
          <w:p w:rsidR="00427E66" w:rsidRPr="00FF2047" w:rsidRDefault="00427E66" w:rsidP="00FB3A63">
            <w:pPr>
              <w:spacing w:line="240" w:lineRule="auto"/>
              <w:rPr>
                <w:b/>
                <w:bCs/>
                <w:lang w:val="lt-LT"/>
              </w:rPr>
            </w:pPr>
            <w:r w:rsidRPr="00FF2047">
              <w:rPr>
                <w:b/>
                <w:bCs/>
                <w:lang w:val="lt-LT"/>
              </w:rPr>
              <w:t>Tyrimo metodai</w:t>
            </w:r>
          </w:p>
        </w:tc>
      </w:tr>
      <w:tr w:rsidR="00427E66" w:rsidTr="00EC1EBD">
        <w:tc>
          <w:tcPr>
            <w:tcW w:w="3259" w:type="dxa"/>
          </w:tcPr>
          <w:p w:rsidR="00427E66" w:rsidRPr="00427E66" w:rsidRDefault="00427E66" w:rsidP="00FB3A63">
            <w:pPr>
              <w:spacing w:line="240" w:lineRule="auto"/>
              <w:rPr>
                <w:lang w:val="lt-LT"/>
              </w:rPr>
            </w:pPr>
            <w:r>
              <w:rPr>
                <w:lang w:val="lt-LT"/>
              </w:rPr>
              <w:t>ES finansinę paramą gavusių įmonių anketinė apklausa ir rezultatų analizė</w:t>
            </w:r>
          </w:p>
        </w:tc>
        <w:tc>
          <w:tcPr>
            <w:tcW w:w="3937" w:type="dxa"/>
          </w:tcPr>
          <w:p w:rsidR="00FF2047" w:rsidRDefault="00427E66" w:rsidP="00FF2047">
            <w:pPr>
              <w:pStyle w:val="ListParagraph"/>
              <w:numPr>
                <w:ilvl w:val="0"/>
                <w:numId w:val="27"/>
              </w:numPr>
              <w:spacing w:line="240" w:lineRule="auto"/>
              <w:ind w:left="285" w:hanging="283"/>
              <w:rPr>
                <w:lang w:val="lt-LT"/>
              </w:rPr>
            </w:pPr>
            <w:r w:rsidRPr="00FF2047">
              <w:rPr>
                <w:lang w:val="lt-LT"/>
              </w:rPr>
              <w:t xml:space="preserve">Kokioje pramonės šakoje veikia įmonė? </w:t>
            </w:r>
          </w:p>
          <w:p w:rsidR="00FF2047" w:rsidRDefault="00427E66" w:rsidP="00FF2047">
            <w:pPr>
              <w:pStyle w:val="ListParagraph"/>
              <w:numPr>
                <w:ilvl w:val="0"/>
                <w:numId w:val="27"/>
              </w:numPr>
              <w:spacing w:line="240" w:lineRule="auto"/>
              <w:ind w:left="285" w:hanging="283"/>
              <w:rPr>
                <w:lang w:val="lt-LT"/>
              </w:rPr>
            </w:pPr>
            <w:r w:rsidRPr="00FF2047">
              <w:rPr>
                <w:lang w:val="lt-LT"/>
              </w:rPr>
              <w:t xml:space="preserve">Kiek metų įmonė gyvavo iki ES finansinės paramos gavimo? </w:t>
            </w:r>
          </w:p>
          <w:p w:rsidR="00427E66" w:rsidRPr="00FF2047" w:rsidRDefault="00E71102" w:rsidP="00FF2047">
            <w:pPr>
              <w:pStyle w:val="ListParagraph"/>
              <w:numPr>
                <w:ilvl w:val="0"/>
                <w:numId w:val="27"/>
              </w:numPr>
              <w:spacing w:line="240" w:lineRule="auto"/>
              <w:ind w:left="285" w:hanging="283"/>
              <w:rPr>
                <w:lang w:val="lt-LT"/>
              </w:rPr>
            </w:pPr>
            <w:r w:rsidRPr="00FF2047">
              <w:rPr>
                <w:lang w:val="lt-LT"/>
              </w:rPr>
              <w:t>Kokios investicijų finansavimo priemonės ir t. t.</w:t>
            </w:r>
          </w:p>
        </w:tc>
        <w:tc>
          <w:tcPr>
            <w:tcW w:w="2582" w:type="dxa"/>
          </w:tcPr>
          <w:p w:rsidR="00427E66" w:rsidRPr="00427E66" w:rsidRDefault="00004B08" w:rsidP="00FB3A63">
            <w:pPr>
              <w:spacing w:line="240" w:lineRule="auto"/>
              <w:rPr>
                <w:lang w:val="lt-LT"/>
              </w:rPr>
            </w:pPr>
            <w:r>
              <w:rPr>
                <w:lang w:val="lt-LT"/>
              </w:rPr>
              <w:t>Anketinės apklausos analizė.</w:t>
            </w:r>
          </w:p>
        </w:tc>
      </w:tr>
      <w:tr w:rsidR="00427E66" w:rsidRPr="004B21BF" w:rsidTr="00EC1EBD">
        <w:tc>
          <w:tcPr>
            <w:tcW w:w="3259" w:type="dxa"/>
          </w:tcPr>
          <w:p w:rsidR="00427E66" w:rsidRPr="00E71102" w:rsidRDefault="00E71102" w:rsidP="00FB3A63">
            <w:pPr>
              <w:spacing w:line="240" w:lineRule="auto"/>
              <w:rPr>
                <w:lang w:val="lt-LT"/>
              </w:rPr>
            </w:pPr>
            <w:r>
              <w:rPr>
                <w:lang w:val="lt-LT"/>
              </w:rPr>
              <w:t>ES finansinę paramą gavusių įmonių A, B, C ir D</w:t>
            </w:r>
            <w:r w:rsidR="0010068A">
              <w:rPr>
                <w:lang w:val="lt-LT"/>
              </w:rPr>
              <w:t xml:space="preserve"> Panevėžio rajone</w:t>
            </w:r>
            <w:r>
              <w:rPr>
                <w:lang w:val="lt-LT"/>
              </w:rPr>
              <w:t xml:space="preserve"> finansinių rodiklių analizė</w:t>
            </w:r>
          </w:p>
        </w:tc>
        <w:tc>
          <w:tcPr>
            <w:tcW w:w="3937" w:type="dxa"/>
          </w:tcPr>
          <w:p w:rsidR="00427E66" w:rsidRPr="00FF2047" w:rsidRDefault="0010068A" w:rsidP="00FF2047">
            <w:pPr>
              <w:pStyle w:val="ListParagraph"/>
              <w:numPr>
                <w:ilvl w:val="0"/>
                <w:numId w:val="27"/>
              </w:numPr>
              <w:spacing w:line="240" w:lineRule="auto"/>
              <w:ind w:left="285" w:hanging="283"/>
              <w:rPr>
                <w:lang w:val="lt-LT"/>
              </w:rPr>
            </w:pPr>
            <w:r w:rsidRPr="00FF2047">
              <w:rPr>
                <w:lang w:val="lt-LT"/>
              </w:rPr>
              <w:t>Kokie įmonių likvidumo, pelningumo, finansinio sverto bei veiklos efektyvumo rodikliai?</w:t>
            </w:r>
          </w:p>
        </w:tc>
        <w:tc>
          <w:tcPr>
            <w:tcW w:w="2582" w:type="dxa"/>
          </w:tcPr>
          <w:p w:rsidR="00427E66" w:rsidRDefault="00AC5174" w:rsidP="00FB3A63">
            <w:pPr>
              <w:spacing w:line="240" w:lineRule="auto"/>
              <w:rPr>
                <w:lang w:val="lt-LT"/>
              </w:rPr>
            </w:pPr>
            <w:r>
              <w:rPr>
                <w:lang w:val="lt-LT"/>
              </w:rPr>
              <w:t>Finansinių santykinių rodiklių analizė</w:t>
            </w:r>
            <w:r w:rsidR="00E71102">
              <w:rPr>
                <w:lang w:val="lt-LT"/>
              </w:rPr>
              <w:t>;</w:t>
            </w:r>
          </w:p>
          <w:p w:rsidR="00E71102" w:rsidRPr="00427E66" w:rsidRDefault="00004B08" w:rsidP="00FB3A63">
            <w:pPr>
              <w:spacing w:line="240" w:lineRule="auto"/>
              <w:rPr>
                <w:lang w:val="lt-LT"/>
              </w:rPr>
            </w:pPr>
            <w:r>
              <w:rPr>
                <w:lang w:val="lt-LT"/>
              </w:rPr>
              <w:t>Lyginamoji analizė.</w:t>
            </w:r>
          </w:p>
        </w:tc>
      </w:tr>
      <w:tr w:rsidR="00427E66" w:rsidTr="00EC1EBD">
        <w:tc>
          <w:tcPr>
            <w:tcW w:w="3259" w:type="dxa"/>
          </w:tcPr>
          <w:p w:rsidR="00427E66" w:rsidRPr="0010068A" w:rsidRDefault="0010068A" w:rsidP="00FB3A63">
            <w:pPr>
              <w:spacing w:line="240" w:lineRule="auto"/>
              <w:rPr>
                <w:lang w:val="lt-LT"/>
              </w:rPr>
            </w:pPr>
            <w:r>
              <w:rPr>
                <w:lang w:val="lt-LT"/>
              </w:rPr>
              <w:t>ES finansinę paramą gavusių įmonių A, B, C ir D Panevėžio rajone paskutinių metų finansinių rodiklių palyginimas su sektorių, kuriuose veikia įmonės, finansiniais rodikliais</w:t>
            </w:r>
          </w:p>
        </w:tc>
        <w:tc>
          <w:tcPr>
            <w:tcW w:w="3937" w:type="dxa"/>
          </w:tcPr>
          <w:p w:rsidR="00FF2047" w:rsidRDefault="0010068A" w:rsidP="00FF2047">
            <w:pPr>
              <w:pStyle w:val="ListParagraph"/>
              <w:numPr>
                <w:ilvl w:val="0"/>
                <w:numId w:val="29"/>
              </w:numPr>
              <w:spacing w:line="240" w:lineRule="auto"/>
              <w:ind w:left="285" w:hanging="283"/>
              <w:rPr>
                <w:lang w:val="lt-LT"/>
              </w:rPr>
            </w:pPr>
            <w:r w:rsidRPr="00FF2047">
              <w:rPr>
                <w:lang w:val="lt-LT"/>
              </w:rPr>
              <w:t>Kaip skiriasi tyrime dalyvaujančių įmonių f</w:t>
            </w:r>
            <w:r w:rsidR="00AC5174">
              <w:rPr>
                <w:lang w:val="lt-LT"/>
              </w:rPr>
              <w:t>inansiniai rodikliai ir</w:t>
            </w:r>
            <w:r w:rsidR="00FF2047">
              <w:rPr>
                <w:lang w:val="lt-LT"/>
              </w:rPr>
              <w:t xml:space="preserve"> sektorių</w:t>
            </w:r>
            <w:r w:rsidR="00AC5174">
              <w:rPr>
                <w:lang w:val="lt-LT"/>
              </w:rPr>
              <w:t>, kuriuose jos veikia, rodikliai</w:t>
            </w:r>
            <w:r w:rsidR="00FF2047">
              <w:rPr>
                <w:lang w:val="lt-LT"/>
              </w:rPr>
              <w:t>?</w:t>
            </w:r>
            <w:r w:rsidRPr="00FF2047">
              <w:rPr>
                <w:lang w:val="lt-LT"/>
              </w:rPr>
              <w:t xml:space="preserve"> </w:t>
            </w:r>
          </w:p>
          <w:p w:rsidR="00427E66" w:rsidRPr="00FF2047" w:rsidRDefault="00AC5174" w:rsidP="00AC5174">
            <w:pPr>
              <w:pStyle w:val="ListParagraph"/>
              <w:numPr>
                <w:ilvl w:val="0"/>
                <w:numId w:val="29"/>
              </w:numPr>
              <w:spacing w:line="240" w:lineRule="auto"/>
              <w:ind w:left="285" w:hanging="283"/>
              <w:rPr>
                <w:lang w:val="lt-LT"/>
              </w:rPr>
            </w:pPr>
            <w:r>
              <w:rPr>
                <w:lang w:val="lt-LT"/>
              </w:rPr>
              <w:t>Kokios priežastys  lemia įmonių veiklos skirtumu</w:t>
            </w:r>
            <w:r w:rsidR="0010068A" w:rsidRPr="00FF2047">
              <w:rPr>
                <w:lang w:val="lt-LT"/>
              </w:rPr>
              <w:t>s</w:t>
            </w:r>
            <w:r>
              <w:rPr>
                <w:lang w:val="lt-LT"/>
              </w:rPr>
              <w:t xml:space="preserve"> tame pačiame sektoriuje</w:t>
            </w:r>
            <w:r w:rsidR="0010068A" w:rsidRPr="00FF2047">
              <w:rPr>
                <w:lang w:val="lt-LT"/>
              </w:rPr>
              <w:t>?</w:t>
            </w:r>
          </w:p>
        </w:tc>
        <w:tc>
          <w:tcPr>
            <w:tcW w:w="2582" w:type="dxa"/>
          </w:tcPr>
          <w:p w:rsidR="00427E66" w:rsidRPr="0010068A" w:rsidRDefault="0010068A" w:rsidP="00FB3A63">
            <w:pPr>
              <w:spacing w:line="240" w:lineRule="auto"/>
              <w:rPr>
                <w:lang w:val="lt-LT"/>
              </w:rPr>
            </w:pPr>
            <w:r>
              <w:rPr>
                <w:lang w:val="lt-LT"/>
              </w:rPr>
              <w:t>Finansinių rodiklių palyginimo metodas</w:t>
            </w:r>
            <w:r w:rsidR="00004B08">
              <w:rPr>
                <w:lang w:val="lt-LT"/>
              </w:rPr>
              <w:t>.</w:t>
            </w:r>
          </w:p>
        </w:tc>
      </w:tr>
      <w:tr w:rsidR="00FF2047" w:rsidTr="00EC1EBD">
        <w:tc>
          <w:tcPr>
            <w:tcW w:w="3259" w:type="dxa"/>
          </w:tcPr>
          <w:p w:rsidR="00FF2047" w:rsidRDefault="00FF2047" w:rsidP="00FB3A63">
            <w:pPr>
              <w:spacing w:line="240" w:lineRule="auto"/>
              <w:rPr>
                <w:lang w:val="lt-LT"/>
              </w:rPr>
            </w:pPr>
            <w:r>
              <w:rPr>
                <w:lang w:val="lt-LT"/>
              </w:rPr>
              <w:t>Gautų rezultatų apibendrinimas</w:t>
            </w:r>
          </w:p>
        </w:tc>
        <w:tc>
          <w:tcPr>
            <w:tcW w:w="3937" w:type="dxa"/>
          </w:tcPr>
          <w:p w:rsidR="00FF2047" w:rsidRPr="001D46AA" w:rsidRDefault="001D46AA" w:rsidP="001D46AA">
            <w:pPr>
              <w:pStyle w:val="ListParagraph"/>
              <w:numPr>
                <w:ilvl w:val="0"/>
                <w:numId w:val="29"/>
              </w:numPr>
              <w:spacing w:line="240" w:lineRule="auto"/>
              <w:ind w:left="285" w:hanging="283"/>
              <w:rPr>
                <w:lang w:val="lt-LT"/>
              </w:rPr>
            </w:pPr>
            <w:r>
              <w:rPr>
                <w:lang w:val="lt-LT"/>
              </w:rPr>
              <w:t>Kokias išvadas galima daryti atlikus tyrimą?</w:t>
            </w:r>
          </w:p>
        </w:tc>
        <w:tc>
          <w:tcPr>
            <w:tcW w:w="2582" w:type="dxa"/>
          </w:tcPr>
          <w:p w:rsidR="00FF2047" w:rsidRDefault="00004B08" w:rsidP="00FB3A63">
            <w:pPr>
              <w:spacing w:line="240" w:lineRule="auto"/>
              <w:rPr>
                <w:lang w:val="lt-LT"/>
              </w:rPr>
            </w:pPr>
            <w:r>
              <w:rPr>
                <w:lang w:val="lt-LT"/>
              </w:rPr>
              <w:t>Lyginamoji analizė; Rangavimo metodas.</w:t>
            </w:r>
          </w:p>
        </w:tc>
      </w:tr>
    </w:tbl>
    <w:p w:rsidR="00B67549" w:rsidRDefault="00B67549" w:rsidP="00B67549">
      <w:pPr>
        <w:spacing w:after="0" w:line="240" w:lineRule="auto"/>
        <w:rPr>
          <w:sz w:val="20"/>
          <w:szCs w:val="20"/>
          <w:lang w:val="lt-LT"/>
        </w:rPr>
      </w:pPr>
      <w:r>
        <w:rPr>
          <w:sz w:val="20"/>
          <w:szCs w:val="20"/>
          <w:lang w:val="lt-LT"/>
        </w:rPr>
        <w:t>Pastaba: lentelė sudaryta autorės.</w:t>
      </w:r>
    </w:p>
    <w:p w:rsidR="00B67549" w:rsidRPr="006B01BF" w:rsidRDefault="00B67549" w:rsidP="00B67549">
      <w:pPr>
        <w:spacing w:after="0" w:line="240" w:lineRule="auto"/>
        <w:rPr>
          <w:sz w:val="14"/>
          <w:szCs w:val="14"/>
          <w:lang w:val="lt-LT"/>
        </w:rPr>
      </w:pPr>
    </w:p>
    <w:p w:rsidR="00670830" w:rsidRPr="00ED3D25" w:rsidRDefault="0010068A" w:rsidP="00434219">
      <w:pPr>
        <w:spacing w:after="0"/>
        <w:ind w:firstLine="851"/>
        <w:rPr>
          <w:lang w:val="lt-LT"/>
        </w:rPr>
      </w:pPr>
      <w:r>
        <w:rPr>
          <w:lang w:val="lt-LT"/>
        </w:rPr>
        <w:lastRenderedPageBreak/>
        <w:t xml:space="preserve">Tyrimo imtį sudaro 4 iš 10 įmonių, kurios gavo ES finansinę paramą Panevėžio rajone 2007-2013 m. laikotarpiu. </w:t>
      </w:r>
      <w:r w:rsidR="00366DA7">
        <w:rPr>
          <w:lang w:val="lt-LT"/>
        </w:rPr>
        <w:t xml:space="preserve">Kadangi įmonės sutiko dalyvauti tyrime tik neatskleidžiant jų tikrųjų pavadinimų, todėl jos šioje analizėje vadinamos A, B, C ir D. </w:t>
      </w:r>
      <w:r w:rsidR="008039F5" w:rsidRPr="00ED3D25">
        <w:rPr>
          <w:lang w:val="lt-LT"/>
        </w:rPr>
        <w:t>Įmonė A priklauso šaldymo ir aušinimo pramonės šakai, įmonė B – lengvųjų metalų taros gamyba</w:t>
      </w:r>
      <w:r w:rsidR="00927380">
        <w:rPr>
          <w:lang w:val="lt-LT"/>
        </w:rPr>
        <w:t>i, įmonė C – medienos gamybos</w:t>
      </w:r>
      <w:r w:rsidR="008039F5" w:rsidRPr="00ED3D25">
        <w:rPr>
          <w:lang w:val="lt-LT"/>
        </w:rPr>
        <w:t xml:space="preserve"> ir įmonė D veikia statybos mašinų ir</w:t>
      </w:r>
      <w:r w:rsidR="00DC13C3" w:rsidRPr="00ED3D25">
        <w:rPr>
          <w:lang w:val="lt-LT"/>
        </w:rPr>
        <w:t xml:space="preserve"> įrangos nuomos paslaugų teikime.</w:t>
      </w:r>
      <w:r w:rsidR="008039F5" w:rsidRPr="00ED3D25">
        <w:rPr>
          <w:lang w:val="lt-LT"/>
        </w:rPr>
        <w:t xml:space="preserve"> </w:t>
      </w:r>
      <w:r w:rsidR="00670830" w:rsidRPr="00ED3D25">
        <w:rPr>
          <w:lang w:val="lt-LT"/>
        </w:rPr>
        <w:t xml:space="preserve">Panevėžio rajonas buvo pasirinktas neatsitiktinai. Buvo susidomėta tuo, kaip potencialiu vieno iš didesnių </w:t>
      </w:r>
      <w:r w:rsidR="00DC13C3" w:rsidRPr="00ED3D25">
        <w:rPr>
          <w:lang w:val="lt-LT"/>
        </w:rPr>
        <w:t>Panevėžio miestui prikl</w:t>
      </w:r>
      <w:r w:rsidR="00434219">
        <w:rPr>
          <w:lang w:val="lt-LT"/>
        </w:rPr>
        <w:t>ausančio rajono</w:t>
      </w:r>
      <w:r w:rsidR="00670830" w:rsidRPr="00ED3D25">
        <w:rPr>
          <w:lang w:val="lt-LT"/>
        </w:rPr>
        <w:t xml:space="preserve"> atgimimu ir </w:t>
      </w:r>
      <w:r w:rsidR="00DA2B34" w:rsidRPr="00ED3D25">
        <w:rPr>
          <w:lang w:val="lt-LT"/>
        </w:rPr>
        <w:t>perspektyvia regiono plėtra. Tad vertinamos įmonės, kaip potencialios darbo vietų kū</w:t>
      </w:r>
      <w:r w:rsidR="00434219">
        <w:rPr>
          <w:lang w:val="lt-LT"/>
        </w:rPr>
        <w:t>rėjos ir besiplečiančios</w:t>
      </w:r>
      <w:r w:rsidR="00434219" w:rsidRPr="00434219">
        <w:rPr>
          <w:lang w:val="lt-LT"/>
        </w:rPr>
        <w:t xml:space="preserve"> </w:t>
      </w:r>
      <w:r w:rsidR="00434219">
        <w:rPr>
          <w:lang w:val="lt-LT"/>
        </w:rPr>
        <w:t>ateityje</w:t>
      </w:r>
      <w:r w:rsidR="00DA2B34" w:rsidRPr="00ED3D25">
        <w:rPr>
          <w:lang w:val="lt-LT"/>
        </w:rPr>
        <w:t>.</w:t>
      </w:r>
    </w:p>
    <w:p w:rsidR="004447E2" w:rsidRPr="00ED3D25" w:rsidRDefault="00434219" w:rsidP="00DA2B34">
      <w:pPr>
        <w:spacing w:after="0"/>
        <w:ind w:firstLine="851"/>
        <w:rPr>
          <w:lang w:val="lt-LT"/>
        </w:rPr>
      </w:pPr>
      <w:r>
        <w:rPr>
          <w:lang w:val="lt-LT"/>
        </w:rPr>
        <w:t>Pirmajame poskyryje analiz</w:t>
      </w:r>
      <w:r w:rsidR="004447E2" w:rsidRPr="00ED3D25">
        <w:rPr>
          <w:lang w:val="lt-LT"/>
        </w:rPr>
        <w:t xml:space="preserve">uojami anketinės apklausos rezultatai. </w:t>
      </w:r>
      <w:r w:rsidR="002B1CD6" w:rsidRPr="00ED3D25">
        <w:rPr>
          <w:lang w:val="lt-LT"/>
        </w:rPr>
        <w:t xml:space="preserve">Apklausa buvo vykdoma tik tarp ES finansinę paramą gavusiųjų įmonių, kurių sąrašas pateiktas Nacionalinės mokėjimo agentūros internetiniame puslapyje. </w:t>
      </w:r>
      <w:r w:rsidR="00747278" w:rsidRPr="00ED3D25">
        <w:rPr>
          <w:lang w:val="lt-LT"/>
        </w:rPr>
        <w:t>Anketą sudarė 13 klausimų, kurie buvo suskirstyti į tris grupes: 1) prieš ES finansinės paramos gavimą, 2) pildant paraišką dėl ES finansinės paramos gavimo ir 3) įsisavinus gautą ES finansinę paramą. Gautais rezultatais</w:t>
      </w:r>
      <w:r w:rsidR="002B1CD6" w:rsidRPr="00ED3D25">
        <w:rPr>
          <w:lang w:val="lt-LT"/>
        </w:rPr>
        <w:t xml:space="preserve"> siekiama sudaryti nuomonę, </w:t>
      </w:r>
      <w:r w:rsidR="00747278" w:rsidRPr="00ED3D25">
        <w:rPr>
          <w:lang w:val="lt-LT"/>
        </w:rPr>
        <w:t>kokios verslo kryptys daugiausia</w:t>
      </w:r>
      <w:r>
        <w:rPr>
          <w:lang w:val="lt-LT"/>
        </w:rPr>
        <w:t>i gavo paramos</w:t>
      </w:r>
      <w:r w:rsidR="00747278" w:rsidRPr="00ED3D25">
        <w:rPr>
          <w:lang w:val="lt-LT"/>
        </w:rPr>
        <w:t xml:space="preserve">, </w:t>
      </w:r>
      <w:r w:rsidR="002B1CD6" w:rsidRPr="00ED3D25">
        <w:rPr>
          <w:lang w:val="lt-LT"/>
        </w:rPr>
        <w:t>k</w:t>
      </w:r>
      <w:r w:rsidR="00DA2B34" w:rsidRPr="00ED3D25">
        <w:rPr>
          <w:lang w:val="lt-LT"/>
        </w:rPr>
        <w:t>okie aspektai verslininkams yra aktualiausi</w:t>
      </w:r>
      <w:r w:rsidR="002B1CD6" w:rsidRPr="00ED3D25">
        <w:rPr>
          <w:lang w:val="lt-LT"/>
        </w:rPr>
        <w:t xml:space="preserve"> gaunant paramą, taip pat ar jiems aktualus naujas 2014-2020 m. paramos teikimo etapas</w:t>
      </w:r>
      <w:r w:rsidR="00DA2B34" w:rsidRPr="00ED3D25">
        <w:rPr>
          <w:lang w:val="lt-LT"/>
        </w:rPr>
        <w:t xml:space="preserve"> ir kiti</w:t>
      </w:r>
      <w:r w:rsidR="0080259E" w:rsidRPr="00ED3D25">
        <w:rPr>
          <w:lang w:val="lt-LT"/>
        </w:rPr>
        <w:t xml:space="preserve"> klausimai.</w:t>
      </w:r>
      <w:r w:rsidR="00DC13C3" w:rsidRPr="00ED3D25">
        <w:rPr>
          <w:lang w:val="lt-LT"/>
        </w:rPr>
        <w:t xml:space="preserve"> Tad taikoma anketinė analizė.</w:t>
      </w:r>
    </w:p>
    <w:p w:rsidR="0080259E" w:rsidRDefault="0080259E" w:rsidP="00C065C8">
      <w:pPr>
        <w:spacing w:after="0"/>
        <w:ind w:firstLine="851"/>
        <w:rPr>
          <w:lang w:val="lt-LT"/>
        </w:rPr>
      </w:pPr>
      <w:r w:rsidRPr="00ED3D25">
        <w:rPr>
          <w:lang w:val="lt-LT"/>
        </w:rPr>
        <w:t>Toliau analizuojami pasirinktų įmonių finansiniai rodikliai, kurie suskirstyti į keturias grupes: likvidumo, finansinio sverto, pelningumo i</w:t>
      </w:r>
      <w:r w:rsidR="002F3ED0">
        <w:rPr>
          <w:lang w:val="lt-LT"/>
        </w:rPr>
        <w:t>r veiklos efektyvumo rodiklius.</w:t>
      </w:r>
      <w:r w:rsidRPr="00ED3D25">
        <w:rPr>
          <w:lang w:val="lt-LT"/>
        </w:rPr>
        <w:t xml:space="preserve"> Analize siekiama apžvelgti įmonės vidines problemas ir turėtas galimybes tiek prieš paramos gavimą, tiek po jos. Nustatyti, kuriais aspektais valdymo politika įmonei nepasiteisina ir ką skubiai reikėtų keisti.</w:t>
      </w:r>
      <w:r w:rsidR="00DC13C3" w:rsidRPr="00ED3D25">
        <w:rPr>
          <w:lang w:val="lt-LT"/>
        </w:rPr>
        <w:t xml:space="preserve"> Atliekama finansinė įmoni</w:t>
      </w:r>
      <w:r w:rsidR="002F3ED0">
        <w:rPr>
          <w:lang w:val="lt-LT"/>
        </w:rPr>
        <w:t>ų duomenų analizė, sisteminimas ir</w:t>
      </w:r>
      <w:r w:rsidR="00DC13C3" w:rsidRPr="00ED3D25">
        <w:rPr>
          <w:lang w:val="lt-LT"/>
        </w:rPr>
        <w:t xml:space="preserve"> lyginimas.</w:t>
      </w:r>
    </w:p>
    <w:p w:rsidR="00B67549" w:rsidRPr="00ED3D25" w:rsidRDefault="00B67549" w:rsidP="002F3ED0">
      <w:pPr>
        <w:spacing w:after="0"/>
        <w:ind w:firstLine="851"/>
        <w:rPr>
          <w:lang w:val="lt-LT"/>
        </w:rPr>
      </w:pPr>
      <w:r>
        <w:rPr>
          <w:lang w:val="lt-LT"/>
        </w:rPr>
        <w:t>Tyrime</w:t>
      </w:r>
      <w:r w:rsidRPr="00ED3D25">
        <w:rPr>
          <w:lang w:val="lt-LT"/>
        </w:rPr>
        <w:t xml:space="preserve"> buvo remtasi moksline literatūra, straipsniais, įmonių finansiniais dokumentais: pelno (nuostolio)</w:t>
      </w:r>
      <w:r w:rsidR="002F3ED0">
        <w:rPr>
          <w:lang w:val="lt-LT"/>
        </w:rPr>
        <w:t>, balanso</w:t>
      </w:r>
      <w:r w:rsidR="002F3ED0" w:rsidRPr="002F3ED0">
        <w:rPr>
          <w:lang w:val="lt-LT"/>
        </w:rPr>
        <w:t xml:space="preserve"> </w:t>
      </w:r>
      <w:r w:rsidR="002F3ED0" w:rsidRPr="00ED3D25">
        <w:rPr>
          <w:lang w:val="lt-LT"/>
        </w:rPr>
        <w:t>ataskaitomis</w:t>
      </w:r>
      <w:r w:rsidRPr="00ED3D25">
        <w:rPr>
          <w:lang w:val="lt-LT"/>
        </w:rPr>
        <w:t>, paraiškomis dėl ES finansinės paramos gavimo</w:t>
      </w:r>
      <w:r w:rsidR="00EC1EBD">
        <w:rPr>
          <w:lang w:val="lt-LT"/>
        </w:rPr>
        <w:t>,</w:t>
      </w:r>
      <w:r w:rsidRPr="00ED3D25">
        <w:rPr>
          <w:lang w:val="lt-LT"/>
        </w:rPr>
        <w:t xml:space="preserve"> internetiniais šaltiniais (</w:t>
      </w:r>
      <w:r w:rsidR="00FB3A63" w:rsidRPr="00FB3A63">
        <w:rPr>
          <w:lang w:val="lt-LT"/>
        </w:rPr>
        <w:t>L</w:t>
      </w:r>
      <w:r w:rsidR="00FB3A63">
        <w:rPr>
          <w:lang w:val="lt-LT"/>
        </w:rPr>
        <w:t>ietuvos statistikos departamento puslapiu</w:t>
      </w:r>
      <w:r w:rsidR="00EC1EBD">
        <w:rPr>
          <w:lang w:val="lt-LT"/>
        </w:rPr>
        <w:t xml:space="preserve"> ir kt.</w:t>
      </w:r>
      <w:r w:rsidRPr="00ED3D25">
        <w:rPr>
          <w:lang w:val="lt-LT"/>
        </w:rPr>
        <w:t>)</w:t>
      </w:r>
      <w:r>
        <w:rPr>
          <w:lang w:val="lt-LT"/>
        </w:rPr>
        <w:t>.</w:t>
      </w:r>
    </w:p>
    <w:p w:rsidR="00DC13C3" w:rsidRPr="00ED3D25" w:rsidRDefault="00DC13C3" w:rsidP="008B72D0">
      <w:pPr>
        <w:spacing w:after="0"/>
        <w:ind w:firstLine="851"/>
        <w:rPr>
          <w:lang w:val="lt-LT"/>
        </w:rPr>
      </w:pPr>
      <w:r w:rsidRPr="00ED3D25">
        <w:rPr>
          <w:lang w:val="lt-LT"/>
        </w:rPr>
        <w:t>Atliekant tyrimą susidurta su tokiais ribotumais: nors anketinė apklausa išsiųsta dideliam skaičiui žmonių, tačiau sulauktų atsakymų buvo labai nedaug, taip pat sunku gauti reikiamą informaciją atliekant finansinę analizę, t. y. įmonių pelno (nuostolio) ataskaitas, balansus, aiškinamuosius raštus, taip pat nebuvo įmanoma suskaičiuoti visų pageidaujamų rodiklių, nes pasirinktos įmonės nesudaro pinigų srautų ataskaitos.</w:t>
      </w:r>
    </w:p>
    <w:p w:rsidR="00B67A62" w:rsidRPr="006B01BF" w:rsidRDefault="00747278" w:rsidP="006B01BF">
      <w:pPr>
        <w:pStyle w:val="Heading2"/>
        <w:numPr>
          <w:ilvl w:val="1"/>
          <w:numId w:val="20"/>
        </w:numPr>
        <w:spacing w:before="240" w:beforeAutospacing="0" w:after="240" w:afterAutospacing="0" w:line="360" w:lineRule="auto"/>
        <w:ind w:left="1077"/>
        <w:rPr>
          <w:sz w:val="24"/>
          <w:szCs w:val="24"/>
          <w:lang w:val="lt-LT"/>
        </w:rPr>
      </w:pPr>
      <w:bookmarkStart w:id="10" w:name="_Toc419534699"/>
      <w:r w:rsidRPr="006B01BF">
        <w:rPr>
          <w:sz w:val="24"/>
          <w:szCs w:val="24"/>
          <w:lang w:val="lt-LT"/>
        </w:rPr>
        <w:t xml:space="preserve">ES finansinės paramos SVV efektyvumo </w:t>
      </w:r>
      <w:r w:rsidR="00AC5174" w:rsidRPr="006B01BF">
        <w:rPr>
          <w:sz w:val="24"/>
          <w:szCs w:val="24"/>
          <w:lang w:val="lt-LT"/>
        </w:rPr>
        <w:t xml:space="preserve">Lietuvoje </w:t>
      </w:r>
      <w:r w:rsidR="00ED3D25" w:rsidRPr="006B01BF">
        <w:rPr>
          <w:sz w:val="24"/>
          <w:szCs w:val="24"/>
          <w:lang w:val="lt-LT"/>
        </w:rPr>
        <w:t xml:space="preserve">vertinimo anketinė apklausa ir </w:t>
      </w:r>
      <w:r w:rsidR="00546467" w:rsidRPr="006B01BF">
        <w:rPr>
          <w:sz w:val="24"/>
          <w:szCs w:val="24"/>
          <w:lang w:val="lt-LT"/>
        </w:rPr>
        <w:t xml:space="preserve">jos </w:t>
      </w:r>
      <w:r w:rsidR="00ED3D25" w:rsidRPr="006B01BF">
        <w:rPr>
          <w:sz w:val="24"/>
          <w:szCs w:val="24"/>
          <w:lang w:val="lt-LT"/>
        </w:rPr>
        <w:t>rezultatai</w:t>
      </w:r>
      <w:bookmarkEnd w:id="10"/>
    </w:p>
    <w:p w:rsidR="008B72D0" w:rsidRDefault="003A63B2" w:rsidP="006B01BF">
      <w:pPr>
        <w:spacing w:before="240" w:after="0"/>
        <w:ind w:firstLine="851"/>
        <w:rPr>
          <w:lang w:val="lt-LT"/>
        </w:rPr>
      </w:pPr>
      <w:r w:rsidRPr="00ED3D25">
        <w:rPr>
          <w:lang w:val="lt-LT"/>
        </w:rPr>
        <w:t xml:space="preserve">Anketa buvo </w:t>
      </w:r>
      <w:r w:rsidR="006364AD">
        <w:rPr>
          <w:lang w:val="lt-LT"/>
        </w:rPr>
        <w:t>išplatinta</w:t>
      </w:r>
      <w:r w:rsidRPr="00ED3D25">
        <w:rPr>
          <w:lang w:val="lt-LT"/>
        </w:rPr>
        <w:t xml:space="preserve"> neatsižvelgiant į įmonės registravimo vietą, </w:t>
      </w:r>
      <w:r w:rsidR="006364AD">
        <w:rPr>
          <w:lang w:val="lt-LT"/>
        </w:rPr>
        <w:t>t. y.</w:t>
      </w:r>
      <w:r w:rsidRPr="00ED3D25">
        <w:rPr>
          <w:lang w:val="lt-LT"/>
        </w:rPr>
        <w:t xml:space="preserve"> ne tik Panevėžio rajone, o visos Lietuvos mastu. Buvo kreiptasi į 412 įmonių elektroniniu paštu, kad užpildytų </w:t>
      </w:r>
      <w:r w:rsidRPr="00ED3D25">
        <w:rPr>
          <w:lang w:val="lt-LT"/>
        </w:rPr>
        <w:lastRenderedPageBreak/>
        <w:t>anketą,</w:t>
      </w:r>
      <w:r w:rsidR="006364AD">
        <w:rPr>
          <w:lang w:val="lt-LT"/>
        </w:rPr>
        <w:t xml:space="preserve"> </w:t>
      </w:r>
      <w:r w:rsidR="00E22853" w:rsidRPr="00ED3D25">
        <w:rPr>
          <w:lang w:val="lt-LT"/>
        </w:rPr>
        <w:t>kuri buvo patalpinta internetiniame puslapyje (</w:t>
      </w:r>
      <w:r w:rsidR="00546467" w:rsidRPr="00546467">
        <w:rPr>
          <w:lang w:val="lt-LT"/>
        </w:rPr>
        <w:t>www.apklausa.lt</w:t>
      </w:r>
      <w:r w:rsidR="00E22853" w:rsidRPr="00ED3D25">
        <w:rPr>
          <w:lang w:val="lt-LT"/>
        </w:rPr>
        <w:t>)</w:t>
      </w:r>
      <w:r w:rsidR="00546467">
        <w:rPr>
          <w:lang w:val="lt-LT"/>
        </w:rPr>
        <w:t>. Naudotos anketos forma</w:t>
      </w:r>
      <w:r w:rsidR="00E22853" w:rsidRPr="00ED3D25">
        <w:rPr>
          <w:lang w:val="lt-LT"/>
        </w:rPr>
        <w:t xml:space="preserve"> </w:t>
      </w:r>
      <w:r w:rsidR="00546467">
        <w:rPr>
          <w:lang w:val="lt-LT"/>
        </w:rPr>
        <w:t>pateikiama</w:t>
      </w:r>
      <w:r w:rsidRPr="00ED3D25">
        <w:rPr>
          <w:lang w:val="lt-LT"/>
        </w:rPr>
        <w:t xml:space="preserve"> </w:t>
      </w:r>
      <w:r w:rsidR="002F3ED0">
        <w:rPr>
          <w:lang w:val="lt-LT"/>
        </w:rPr>
        <w:t>2</w:t>
      </w:r>
      <w:r w:rsidRPr="00FF2047">
        <w:rPr>
          <w:lang w:val="lt-LT"/>
        </w:rPr>
        <w:t xml:space="preserve"> priede.</w:t>
      </w:r>
      <w:r w:rsidR="00827E51" w:rsidRPr="00ED3D25">
        <w:rPr>
          <w:lang w:val="lt-LT"/>
        </w:rPr>
        <w:t xml:space="preserve"> Taip p</w:t>
      </w:r>
      <w:r w:rsidR="00923584">
        <w:rPr>
          <w:lang w:val="lt-LT"/>
        </w:rPr>
        <w:t xml:space="preserve">at buvo prašoma įmonių UAB SINC </w:t>
      </w:r>
      <w:r w:rsidR="006364AD">
        <w:rPr>
          <w:lang w:val="lt-LT"/>
        </w:rPr>
        <w:t>(Struktūrinių investicijų konsu</w:t>
      </w:r>
      <w:r w:rsidR="00827E51" w:rsidRPr="00ED3D25">
        <w:rPr>
          <w:lang w:val="lt-LT"/>
        </w:rPr>
        <w:t>ltavimo centro) bei INVEGA pagalbos</w:t>
      </w:r>
      <w:r w:rsidR="008212DF">
        <w:rPr>
          <w:lang w:val="lt-LT"/>
        </w:rPr>
        <w:t>, platinant anketą. I</w:t>
      </w:r>
      <w:r w:rsidR="006364AD">
        <w:rPr>
          <w:lang w:val="lt-LT"/>
        </w:rPr>
        <w:t>š viso į anketą atsakė 51 respondentas.</w:t>
      </w:r>
    </w:p>
    <w:p w:rsidR="00EF1E80" w:rsidRDefault="008B72D0" w:rsidP="008A64BB">
      <w:pPr>
        <w:spacing w:after="0" w:line="276" w:lineRule="auto"/>
        <w:jc w:val="center"/>
        <w:rPr>
          <w:noProof/>
          <w:lang w:val="lt-LT" w:eastAsia="es-ES"/>
        </w:rPr>
      </w:pPr>
      <w:r w:rsidRPr="008B72D0">
        <w:rPr>
          <w:noProof/>
        </w:rPr>
        <w:drawing>
          <wp:inline distT="0" distB="0" distL="0" distR="0">
            <wp:extent cx="5220000" cy="2158410"/>
            <wp:effectExtent l="19050" t="0" r="18750" b="0"/>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A64BB" w:rsidRPr="00ED3D25" w:rsidRDefault="008A64BB" w:rsidP="008A64BB">
      <w:pPr>
        <w:spacing w:after="0"/>
        <w:ind w:firstLine="709"/>
        <w:jc w:val="left"/>
        <w:rPr>
          <w:noProof/>
          <w:lang w:val="lt-LT" w:eastAsia="es-ES"/>
        </w:rPr>
      </w:pPr>
      <w:r w:rsidRPr="008A64BB">
        <w:rPr>
          <w:sz w:val="20"/>
          <w:szCs w:val="18"/>
          <w:lang w:val="lt-LT"/>
        </w:rPr>
        <w:t>Pastaba: paveikslas sudarytas autorės.</w:t>
      </w:r>
    </w:p>
    <w:p w:rsidR="00BC1DAF" w:rsidRDefault="006364AD" w:rsidP="0082488E">
      <w:pPr>
        <w:spacing w:after="0"/>
        <w:ind w:firstLine="851"/>
        <w:rPr>
          <w:lang w:val="lt-LT"/>
        </w:rPr>
      </w:pPr>
      <w:r>
        <w:rPr>
          <w:lang w:val="lt-LT"/>
        </w:rPr>
        <w:t>Pirmojoje</w:t>
      </w:r>
      <w:r w:rsidRPr="00ED3D25">
        <w:rPr>
          <w:lang w:val="lt-LT"/>
        </w:rPr>
        <w:t xml:space="preserve"> </w:t>
      </w:r>
      <w:r w:rsidR="00835F15">
        <w:rPr>
          <w:lang w:val="lt-LT"/>
        </w:rPr>
        <w:t>anketos dalyje</w:t>
      </w:r>
      <w:r>
        <w:rPr>
          <w:lang w:val="lt-LT"/>
        </w:rPr>
        <w:t xml:space="preserve"> </w:t>
      </w:r>
      <w:r w:rsidR="00BC1DAF" w:rsidRPr="00ED3D25">
        <w:rPr>
          <w:lang w:val="lt-LT"/>
        </w:rPr>
        <w:t>klausiama apie</w:t>
      </w:r>
      <w:r w:rsidR="000C157A" w:rsidRPr="00ED3D25">
        <w:rPr>
          <w:lang w:val="lt-LT"/>
        </w:rPr>
        <w:t xml:space="preserve"> įmon</w:t>
      </w:r>
      <w:r>
        <w:rPr>
          <w:lang w:val="lt-LT"/>
        </w:rPr>
        <w:t>ės veiklą prieš paramos gavimą</w:t>
      </w:r>
      <w:r w:rsidR="000C157A" w:rsidRPr="00ED3D25">
        <w:rPr>
          <w:lang w:val="lt-LT"/>
        </w:rPr>
        <w:t>. Buvo prašoma nurodyti</w:t>
      </w:r>
      <w:r w:rsidR="00BC1DAF" w:rsidRPr="00ED3D25">
        <w:rPr>
          <w:lang w:val="lt-LT"/>
        </w:rPr>
        <w:t xml:space="preserve"> </w:t>
      </w:r>
      <w:r w:rsidR="00427CAE" w:rsidRPr="00ED3D25">
        <w:rPr>
          <w:lang w:val="lt-LT"/>
        </w:rPr>
        <w:t>pramonės šaką kurioje veikia įmonė</w:t>
      </w:r>
      <w:r w:rsidR="00482CE4">
        <w:rPr>
          <w:lang w:val="lt-LT"/>
        </w:rPr>
        <w:t xml:space="preserve"> (žr. 3 pav.)</w:t>
      </w:r>
      <w:r w:rsidR="00427CAE" w:rsidRPr="00ED3D25">
        <w:rPr>
          <w:lang w:val="lt-LT"/>
        </w:rPr>
        <w:t xml:space="preserve">, tad </w:t>
      </w:r>
      <w:r w:rsidR="00835F15">
        <w:rPr>
          <w:lang w:val="lt-LT"/>
        </w:rPr>
        <w:t>apklausa parodė, kad didžioji dauguma</w:t>
      </w:r>
      <w:r w:rsidR="00427CAE" w:rsidRPr="00ED3D25">
        <w:rPr>
          <w:lang w:val="lt-LT"/>
        </w:rPr>
        <w:t xml:space="preserve"> respondentų</w:t>
      </w:r>
      <w:r w:rsidR="00835F15">
        <w:rPr>
          <w:lang w:val="lt-LT"/>
        </w:rPr>
        <w:t>, dalyvavusių apklausoje,</w:t>
      </w:r>
      <w:r w:rsidR="00427CAE" w:rsidRPr="00ED3D25">
        <w:rPr>
          <w:lang w:val="lt-LT"/>
        </w:rPr>
        <w:t xml:space="preserve"> </w:t>
      </w:r>
      <w:r w:rsidR="00835F15">
        <w:rPr>
          <w:lang w:val="lt-LT"/>
        </w:rPr>
        <w:t>atstovavo</w:t>
      </w:r>
      <w:r w:rsidR="00427CAE" w:rsidRPr="00ED3D25">
        <w:rPr>
          <w:lang w:val="lt-LT"/>
        </w:rPr>
        <w:t xml:space="preserve"> </w:t>
      </w:r>
      <w:r w:rsidR="00835F15">
        <w:rPr>
          <w:lang w:val="lt-LT"/>
        </w:rPr>
        <w:t>maisto produktų gamybos sektorių</w:t>
      </w:r>
      <w:r w:rsidR="004059C9" w:rsidRPr="00ED3D25">
        <w:rPr>
          <w:lang w:val="lt-LT"/>
        </w:rPr>
        <w:t xml:space="preserve"> </w:t>
      </w:r>
      <w:r w:rsidR="00F636A6">
        <w:rPr>
          <w:lang w:val="lt-LT"/>
        </w:rPr>
        <w:t>(</w:t>
      </w:r>
      <w:r w:rsidR="004059C9" w:rsidRPr="00ED3D25">
        <w:rPr>
          <w:lang w:val="lt-LT"/>
        </w:rPr>
        <w:t>23,5</w:t>
      </w:r>
      <w:r w:rsidR="00427CAE" w:rsidRPr="00ED3D25">
        <w:rPr>
          <w:lang w:val="lt-LT"/>
        </w:rPr>
        <w:t xml:space="preserve"> proc.</w:t>
      </w:r>
      <w:r w:rsidR="00F636A6">
        <w:rPr>
          <w:lang w:val="lt-LT"/>
        </w:rPr>
        <w:t>).</w:t>
      </w:r>
      <w:r w:rsidR="00427CAE" w:rsidRPr="00ED3D25">
        <w:rPr>
          <w:lang w:val="lt-LT"/>
        </w:rPr>
        <w:t xml:space="preserve"> </w:t>
      </w:r>
      <w:r w:rsidR="00385CFD">
        <w:rPr>
          <w:lang w:val="lt-LT"/>
        </w:rPr>
        <w:t>Taip pat kiek daugiau</w:t>
      </w:r>
      <w:r w:rsidR="00DD5307">
        <w:rPr>
          <w:lang w:val="lt-LT"/>
        </w:rPr>
        <w:t xml:space="preserve"> tarp įvairių sričių buvo</w:t>
      </w:r>
      <w:r w:rsidR="00385CFD">
        <w:rPr>
          <w:lang w:val="lt-LT"/>
        </w:rPr>
        <w:t xml:space="preserve"> </w:t>
      </w:r>
      <w:r w:rsidR="00DD5307">
        <w:rPr>
          <w:lang w:val="lt-LT"/>
        </w:rPr>
        <w:t>atsakiusiųjų iš</w:t>
      </w:r>
      <w:r w:rsidR="00385CFD">
        <w:rPr>
          <w:lang w:val="lt-LT"/>
        </w:rPr>
        <w:t xml:space="preserve"> paslaugų ir medienos, baldų, popieriaus sektori</w:t>
      </w:r>
      <w:r w:rsidR="00DD5307">
        <w:rPr>
          <w:lang w:val="lt-LT"/>
        </w:rPr>
        <w:t>ų</w:t>
      </w:r>
      <w:r w:rsidR="00385CFD">
        <w:rPr>
          <w:lang w:val="lt-LT"/>
        </w:rPr>
        <w:t>.</w:t>
      </w:r>
      <w:r w:rsidR="00DD5307">
        <w:rPr>
          <w:lang w:val="lt-LT"/>
        </w:rPr>
        <w:t xml:space="preserve"> </w:t>
      </w:r>
      <w:r w:rsidR="0082488E">
        <w:rPr>
          <w:lang w:val="lt-LT"/>
        </w:rPr>
        <w:t>Anketinėje apklausoje davyvaję respondentai</w:t>
      </w:r>
      <w:r w:rsidR="000C157A" w:rsidRPr="00ED3D25">
        <w:rPr>
          <w:lang w:val="lt-LT"/>
        </w:rPr>
        <w:t xml:space="preserve"> </w:t>
      </w:r>
      <w:r w:rsidR="0082488E">
        <w:rPr>
          <w:lang w:val="lt-LT"/>
        </w:rPr>
        <w:t>paminėjo ir tokios veiklass, kaip</w:t>
      </w:r>
      <w:r w:rsidR="000C157A" w:rsidRPr="00ED3D25">
        <w:rPr>
          <w:lang w:val="lt-LT"/>
        </w:rPr>
        <w:t xml:space="preserve"> karstų ir laidojim</w:t>
      </w:r>
      <w:r w:rsidR="0082488E">
        <w:rPr>
          <w:lang w:val="lt-LT"/>
        </w:rPr>
        <w:t>o reikmenų gamybą, šaldymą ir aušinimą</w:t>
      </w:r>
      <w:r w:rsidR="000C157A" w:rsidRPr="00ED3D25">
        <w:rPr>
          <w:lang w:val="lt-LT"/>
        </w:rPr>
        <w:t>, nepavojingų atliekų šalinim</w:t>
      </w:r>
      <w:r w:rsidR="0082488E">
        <w:rPr>
          <w:lang w:val="lt-LT"/>
        </w:rPr>
        <w:t>ą</w:t>
      </w:r>
      <w:r w:rsidR="000C157A" w:rsidRPr="00ED3D25">
        <w:rPr>
          <w:lang w:val="lt-LT"/>
        </w:rPr>
        <w:t>.</w:t>
      </w:r>
    </w:p>
    <w:p w:rsidR="008B72D0" w:rsidRDefault="008B72D0" w:rsidP="00385CFD">
      <w:pPr>
        <w:spacing w:after="0" w:line="276" w:lineRule="auto"/>
        <w:jc w:val="center"/>
        <w:rPr>
          <w:lang w:val="lt-LT"/>
        </w:rPr>
      </w:pPr>
      <w:r>
        <w:rPr>
          <w:noProof/>
        </w:rPr>
        <w:drawing>
          <wp:inline distT="0" distB="0" distL="0" distR="0">
            <wp:extent cx="5220000" cy="2158409"/>
            <wp:effectExtent l="19050" t="0" r="1875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A64BB" w:rsidRPr="00ED3D25" w:rsidRDefault="008A64BB" w:rsidP="008A64BB">
      <w:pPr>
        <w:spacing w:after="0"/>
        <w:ind w:firstLine="709"/>
        <w:jc w:val="left"/>
        <w:rPr>
          <w:lang w:val="lt-LT"/>
        </w:rPr>
      </w:pPr>
      <w:r w:rsidRPr="008A64BB">
        <w:rPr>
          <w:sz w:val="20"/>
          <w:szCs w:val="18"/>
          <w:lang w:val="lt-LT"/>
        </w:rPr>
        <w:t>Pastaba: paveikslas sudarytas autorės.</w:t>
      </w:r>
    </w:p>
    <w:p w:rsidR="000C157A" w:rsidRPr="00ED3D25" w:rsidRDefault="000C157A" w:rsidP="00DD5307">
      <w:pPr>
        <w:spacing w:after="0"/>
        <w:ind w:firstLine="851"/>
        <w:rPr>
          <w:lang w:val="lt-LT"/>
        </w:rPr>
      </w:pPr>
      <w:r w:rsidRPr="00ED3D25">
        <w:rPr>
          <w:lang w:val="lt-LT"/>
        </w:rPr>
        <w:t xml:space="preserve">Vertinant įmonės gyvavimo trukmę iki ES finansinės paramos paraiškos pateikimo daugiausiai respondentų atsakė, kad </w:t>
      </w:r>
      <w:r w:rsidR="00DD5307">
        <w:rPr>
          <w:lang w:val="lt-LT"/>
        </w:rPr>
        <w:t xml:space="preserve">įmonė </w:t>
      </w:r>
      <w:r w:rsidR="004059C9" w:rsidRPr="00ED3D25">
        <w:rPr>
          <w:lang w:val="lt-LT"/>
        </w:rPr>
        <w:t xml:space="preserve">veikė jau 2-5 metus (33,3 proc.), </w:t>
      </w:r>
      <w:r w:rsidR="00DD5307">
        <w:rPr>
          <w:lang w:val="lt-LT"/>
        </w:rPr>
        <w:t>šiek tiek mažiau atsakiusiųjų nurodė veiklą vykdantys</w:t>
      </w:r>
      <w:r w:rsidRPr="00ED3D25">
        <w:rPr>
          <w:lang w:val="lt-LT"/>
        </w:rPr>
        <w:t xml:space="preserve"> jau ilgiau nei 10 metų, tad pastebima tendencija, kad paraiškas paramos gavimui teikė daugiausiai jau veikiančios įmonės. </w:t>
      </w:r>
    </w:p>
    <w:p w:rsidR="00306C9F" w:rsidRPr="00ED3D25" w:rsidRDefault="004059C9" w:rsidP="00544883">
      <w:pPr>
        <w:spacing w:after="0"/>
        <w:ind w:firstLine="851"/>
        <w:rPr>
          <w:lang w:val="lt-LT"/>
        </w:rPr>
      </w:pPr>
      <w:r w:rsidRPr="00ED3D25">
        <w:rPr>
          <w:lang w:val="lt-LT"/>
        </w:rPr>
        <w:lastRenderedPageBreak/>
        <w:t xml:space="preserve">Antroji grupė klausimų </w:t>
      </w:r>
      <w:r w:rsidR="00544883">
        <w:rPr>
          <w:lang w:val="lt-LT"/>
        </w:rPr>
        <w:t>anketoje skirta tiems respondentam</w:t>
      </w:r>
      <w:r w:rsidRPr="00ED3D25">
        <w:rPr>
          <w:lang w:val="lt-LT"/>
        </w:rPr>
        <w:t xml:space="preserve">s, kuriems ES finansinė parama paskirta. Buvo klausiama, </w:t>
      </w:r>
      <w:r w:rsidR="00D90546">
        <w:rPr>
          <w:lang w:val="lt-LT"/>
        </w:rPr>
        <w:t>kiek kartų</w:t>
      </w:r>
      <w:r w:rsidRPr="00ED3D25">
        <w:rPr>
          <w:lang w:val="lt-LT"/>
        </w:rPr>
        <w:t xml:space="preserve"> įmonei buvo suteikta parama, </w:t>
      </w:r>
      <w:r w:rsidR="007970B8">
        <w:rPr>
          <w:lang w:val="lt-LT"/>
        </w:rPr>
        <w:t xml:space="preserve">tad </w:t>
      </w:r>
      <w:r w:rsidRPr="00ED3D25">
        <w:rPr>
          <w:lang w:val="lt-LT"/>
        </w:rPr>
        <w:t>beveik vienabalsiai visi respondentai tvirtino, kad paramą gavo tik pirmą kartą,</w:t>
      </w:r>
      <w:r w:rsidR="00B462A7">
        <w:rPr>
          <w:lang w:val="lt-LT"/>
        </w:rPr>
        <w:t xml:space="preserve"> jie sudarė 90,2 proc., tik 9,8</w:t>
      </w:r>
      <w:r w:rsidRPr="00ED3D25">
        <w:rPr>
          <w:lang w:val="lt-LT"/>
        </w:rPr>
        <w:t xml:space="preserve"> proc. apklaustųjų nurodė, kad gavo du kartus.</w:t>
      </w:r>
    </w:p>
    <w:p w:rsidR="004059C9" w:rsidRDefault="00950E51" w:rsidP="00482CE4">
      <w:pPr>
        <w:spacing w:after="0"/>
        <w:ind w:firstLine="851"/>
        <w:rPr>
          <w:lang w:val="lt-LT"/>
        </w:rPr>
      </w:pPr>
      <w:r w:rsidRPr="00ED3D25">
        <w:rPr>
          <w:lang w:val="lt-LT"/>
        </w:rPr>
        <w:t>Jau kartą gavę ES finansinę paramą ir susidūrę su įsipareigojimais respondentai gali atsakyti apie ateities planus pasinaudoti ES finansine parama i</w:t>
      </w:r>
      <w:r w:rsidR="003563DE">
        <w:rPr>
          <w:lang w:val="lt-LT"/>
        </w:rPr>
        <w:t>r kitame 2014-2020 m. laikotarpyje</w:t>
      </w:r>
      <w:r w:rsidR="00B462A7">
        <w:rPr>
          <w:lang w:val="lt-LT"/>
        </w:rPr>
        <w:t>.</w:t>
      </w:r>
      <w:r w:rsidR="003563DE">
        <w:rPr>
          <w:lang w:val="lt-LT"/>
        </w:rPr>
        <w:t xml:space="preserve"> D</w:t>
      </w:r>
      <w:r w:rsidRPr="00ED3D25">
        <w:rPr>
          <w:lang w:val="lt-LT"/>
        </w:rPr>
        <w:t>idžioji dalis</w:t>
      </w:r>
      <w:r w:rsidR="00482CE4">
        <w:rPr>
          <w:lang w:val="lt-LT"/>
        </w:rPr>
        <w:t xml:space="preserve">, t. y. </w:t>
      </w:r>
      <w:r w:rsidR="00482CE4" w:rsidRPr="00ED3D25">
        <w:rPr>
          <w:lang w:val="lt-LT"/>
        </w:rPr>
        <w:t>net 92,2 proc.</w:t>
      </w:r>
      <w:r w:rsidRPr="00ED3D25">
        <w:rPr>
          <w:lang w:val="lt-LT"/>
        </w:rPr>
        <w:t xml:space="preserve"> respondentų domisi sekančiu laikot</w:t>
      </w:r>
      <w:r w:rsidR="00482CE4">
        <w:rPr>
          <w:lang w:val="lt-LT"/>
        </w:rPr>
        <w:t>arpiu finansinei paramai gauti,</w:t>
      </w:r>
      <w:r w:rsidRPr="00ED3D25">
        <w:rPr>
          <w:lang w:val="lt-LT"/>
        </w:rPr>
        <w:t xml:space="preserve"> tik 7,8 proc. verslininkų neplanuoja pasinaudoti naujomis verslo finansavimo galimybėmis.</w:t>
      </w:r>
    </w:p>
    <w:p w:rsidR="00482CE4" w:rsidRDefault="00482CE4" w:rsidP="008A64BB">
      <w:pPr>
        <w:spacing w:after="0" w:line="276" w:lineRule="auto"/>
        <w:jc w:val="center"/>
        <w:rPr>
          <w:lang w:val="lt-LT"/>
        </w:rPr>
      </w:pPr>
      <w:r>
        <w:rPr>
          <w:noProof/>
        </w:rPr>
        <w:drawing>
          <wp:inline distT="0" distB="0" distL="0" distR="0">
            <wp:extent cx="5220000" cy="2158409"/>
            <wp:effectExtent l="19050" t="0" r="1875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A64BB" w:rsidRPr="008A64BB" w:rsidRDefault="008A64BB" w:rsidP="008A64BB">
      <w:pPr>
        <w:spacing w:after="0"/>
        <w:ind w:firstLine="709"/>
        <w:jc w:val="left"/>
        <w:rPr>
          <w:sz w:val="20"/>
          <w:szCs w:val="18"/>
          <w:lang w:val="lt-LT"/>
        </w:rPr>
      </w:pPr>
      <w:r w:rsidRPr="008A64BB">
        <w:rPr>
          <w:sz w:val="20"/>
          <w:szCs w:val="18"/>
          <w:lang w:val="lt-LT"/>
        </w:rPr>
        <w:t>Pastaba: paveikslas sudarytas autorės.</w:t>
      </w:r>
    </w:p>
    <w:p w:rsidR="00950E51" w:rsidRPr="00ED3D25" w:rsidRDefault="003563DE" w:rsidP="0082488E">
      <w:pPr>
        <w:spacing w:after="0"/>
        <w:ind w:firstLine="851"/>
        <w:rPr>
          <w:lang w:val="lt-LT"/>
        </w:rPr>
      </w:pPr>
      <w:r>
        <w:rPr>
          <w:lang w:val="lt-LT"/>
        </w:rPr>
        <w:t>Toliau buvo vertinta,</w:t>
      </w:r>
      <w:r w:rsidR="00950E51" w:rsidRPr="00ED3D25">
        <w:rPr>
          <w:lang w:val="lt-LT"/>
        </w:rPr>
        <w:t xml:space="preserve"> iš kokių šaltinių verslininkai dažniausiai sužino apie teikiamą ES finansinę paramą</w:t>
      </w:r>
      <w:r w:rsidR="002B4A22">
        <w:rPr>
          <w:lang w:val="lt-LT"/>
        </w:rPr>
        <w:t xml:space="preserve"> (žr. 5 pav.)</w:t>
      </w:r>
      <w:r w:rsidR="00950E51" w:rsidRPr="00ED3D25">
        <w:rPr>
          <w:lang w:val="lt-LT"/>
        </w:rPr>
        <w:t xml:space="preserve">. 34, 2 proc. respondentų teigė, kad </w:t>
      </w:r>
      <w:r>
        <w:rPr>
          <w:lang w:val="lt-LT"/>
        </w:rPr>
        <w:t xml:space="preserve">apie ES finansinę paramą </w:t>
      </w:r>
      <w:r w:rsidR="00950E51" w:rsidRPr="00ED3D25">
        <w:rPr>
          <w:lang w:val="lt-LT"/>
        </w:rPr>
        <w:t>sužinojo iš kitų verslin</w:t>
      </w:r>
      <w:r>
        <w:rPr>
          <w:lang w:val="lt-LT"/>
        </w:rPr>
        <w:t>in</w:t>
      </w:r>
      <w:r w:rsidR="00950E51" w:rsidRPr="00ED3D25">
        <w:rPr>
          <w:lang w:val="lt-LT"/>
        </w:rPr>
        <w:t xml:space="preserve">kų, </w:t>
      </w:r>
      <w:r w:rsidR="0082488E">
        <w:rPr>
          <w:lang w:val="lt-LT"/>
        </w:rPr>
        <w:t>prie pagrindinių šaltinių respondentai</w:t>
      </w:r>
      <w:r w:rsidR="00950E51" w:rsidRPr="00ED3D25">
        <w:rPr>
          <w:lang w:val="lt-LT"/>
        </w:rPr>
        <w:t xml:space="preserve"> </w:t>
      </w:r>
      <w:r w:rsidR="0082488E">
        <w:rPr>
          <w:lang w:val="lt-LT"/>
        </w:rPr>
        <w:t>(</w:t>
      </w:r>
      <w:r w:rsidR="00950E51" w:rsidRPr="00ED3D25">
        <w:rPr>
          <w:lang w:val="lt-LT"/>
        </w:rPr>
        <w:t>31,7 proc.</w:t>
      </w:r>
      <w:r w:rsidR="0082488E">
        <w:rPr>
          <w:lang w:val="lt-LT"/>
        </w:rPr>
        <w:t>)</w:t>
      </w:r>
      <w:r w:rsidR="00950E51" w:rsidRPr="00ED3D25">
        <w:rPr>
          <w:lang w:val="lt-LT"/>
        </w:rPr>
        <w:t xml:space="preserve"> nurodė internetinius šaltinius, pavyzdžiui, Nacionalinės mokėjimo agentūros bei Europos </w:t>
      </w:r>
      <w:r>
        <w:rPr>
          <w:lang w:val="lt-LT"/>
        </w:rPr>
        <w:t xml:space="preserve">Sąjungos </w:t>
      </w:r>
      <w:r w:rsidR="00950E51" w:rsidRPr="00ED3D25">
        <w:rPr>
          <w:lang w:val="lt-LT"/>
        </w:rPr>
        <w:t>paramos puslapius.</w:t>
      </w:r>
      <w:r w:rsidR="005413C3" w:rsidRPr="00ED3D25">
        <w:rPr>
          <w:lang w:val="lt-LT"/>
        </w:rPr>
        <w:t>.</w:t>
      </w:r>
    </w:p>
    <w:p w:rsidR="005413C3" w:rsidRPr="00ED3D25" w:rsidRDefault="005413C3" w:rsidP="0082488E">
      <w:pPr>
        <w:spacing w:after="0"/>
        <w:ind w:firstLine="851"/>
        <w:rPr>
          <w:lang w:val="lt-LT"/>
        </w:rPr>
      </w:pPr>
      <w:r w:rsidRPr="00ED3D25">
        <w:rPr>
          <w:lang w:val="lt-LT"/>
        </w:rPr>
        <w:t>Taip pat</w:t>
      </w:r>
      <w:r w:rsidR="0082488E">
        <w:rPr>
          <w:lang w:val="lt-LT"/>
        </w:rPr>
        <w:t xml:space="preserve"> respondentų buvo prašoma nurodyti, kuria </w:t>
      </w:r>
      <w:r w:rsidRPr="00ED3D25">
        <w:rPr>
          <w:lang w:val="lt-LT"/>
        </w:rPr>
        <w:t>ES finansinės paramos</w:t>
      </w:r>
      <w:r w:rsidR="0082488E">
        <w:rPr>
          <w:lang w:val="lt-LT"/>
        </w:rPr>
        <w:t xml:space="preserve"> 2007-2013 m. programos priemone jie naudojosi.</w:t>
      </w:r>
      <w:r w:rsidRPr="00ED3D25">
        <w:rPr>
          <w:lang w:val="lt-LT"/>
        </w:rPr>
        <w:t xml:space="preserve"> </w:t>
      </w:r>
      <w:r w:rsidR="0082488E">
        <w:rPr>
          <w:lang w:val="lt-LT"/>
        </w:rPr>
        <w:t>Visi apklaustieji nurodė v</w:t>
      </w:r>
      <w:r w:rsidRPr="00ED3D25">
        <w:rPr>
          <w:lang w:val="lt-LT"/>
        </w:rPr>
        <w:t>erslo kū</w:t>
      </w:r>
      <w:r w:rsidR="00A64AD0" w:rsidRPr="00ED3D25">
        <w:rPr>
          <w:lang w:val="lt-LT"/>
        </w:rPr>
        <w:t>rimą ir plėtrą. Kaip alternatyvą</w:t>
      </w:r>
      <w:r w:rsidRPr="00ED3D25">
        <w:rPr>
          <w:lang w:val="lt-LT"/>
        </w:rPr>
        <w:t xml:space="preserve"> buvo galima pasirinkti kaimo turizmo veiklos skatinimą</w:t>
      </w:r>
      <w:r w:rsidR="002B4A22">
        <w:rPr>
          <w:lang w:val="lt-LT"/>
        </w:rPr>
        <w:t xml:space="preserve"> arba įrašyti savo variantą</w:t>
      </w:r>
      <w:r w:rsidRPr="00ED3D25">
        <w:rPr>
          <w:lang w:val="lt-LT"/>
        </w:rPr>
        <w:t>.</w:t>
      </w:r>
    </w:p>
    <w:p w:rsidR="00A64AD0" w:rsidRDefault="00A64AD0" w:rsidP="005E0A44">
      <w:pPr>
        <w:spacing w:after="0"/>
        <w:ind w:firstLine="851"/>
        <w:rPr>
          <w:lang w:val="lt-LT"/>
        </w:rPr>
      </w:pPr>
      <w:r w:rsidRPr="00ED3D25">
        <w:rPr>
          <w:lang w:val="lt-LT"/>
        </w:rPr>
        <w:t>Daugiausiai apklausoje dalyvavusių respondentų v</w:t>
      </w:r>
      <w:r w:rsidR="005E0A44">
        <w:rPr>
          <w:lang w:val="lt-LT"/>
        </w:rPr>
        <w:t>ykdo veiklą susijusią su gamyba</w:t>
      </w:r>
      <w:r w:rsidRPr="00ED3D25">
        <w:rPr>
          <w:lang w:val="lt-LT"/>
        </w:rPr>
        <w:t xml:space="preserve"> </w:t>
      </w:r>
      <w:r w:rsidR="005E0A44">
        <w:rPr>
          <w:lang w:val="lt-LT"/>
        </w:rPr>
        <w:t>(</w:t>
      </w:r>
      <w:r w:rsidRPr="00ED3D25">
        <w:rPr>
          <w:lang w:val="lt-LT"/>
        </w:rPr>
        <w:t>tai nurodė 49 proc.</w:t>
      </w:r>
      <w:r w:rsidR="005E0A44">
        <w:rPr>
          <w:lang w:val="lt-LT"/>
        </w:rPr>
        <w:t>)</w:t>
      </w:r>
      <w:r w:rsidR="002B4A22">
        <w:rPr>
          <w:lang w:val="lt-LT"/>
        </w:rPr>
        <w:t>,</w:t>
      </w:r>
      <w:r w:rsidR="005E0A44">
        <w:rPr>
          <w:lang w:val="lt-LT"/>
        </w:rPr>
        <w:t xml:space="preserve"> kita dalis apklaustųjų (</w:t>
      </w:r>
      <w:r w:rsidRPr="00ED3D25">
        <w:rPr>
          <w:lang w:val="lt-LT"/>
        </w:rPr>
        <w:t>37,3 proc.</w:t>
      </w:r>
      <w:r w:rsidR="005E0A44">
        <w:rPr>
          <w:lang w:val="lt-LT"/>
        </w:rPr>
        <w:t>)</w:t>
      </w:r>
      <w:r w:rsidRPr="00ED3D25">
        <w:rPr>
          <w:lang w:val="lt-LT"/>
        </w:rPr>
        <w:t xml:space="preserve"> </w:t>
      </w:r>
      <w:r w:rsidR="002B4A22">
        <w:rPr>
          <w:lang w:val="lt-LT"/>
        </w:rPr>
        <w:t>užsiima įvairių paslaugų teikimu</w:t>
      </w:r>
      <w:r w:rsidRPr="00ED3D25">
        <w:rPr>
          <w:lang w:val="lt-LT"/>
        </w:rPr>
        <w:t>. Mažiausiai verslininkų dalyvavusių apklausoje nurod</w:t>
      </w:r>
      <w:r w:rsidR="005E0A44">
        <w:rPr>
          <w:lang w:val="lt-LT"/>
        </w:rPr>
        <w:t>ė užsiimantys mažmenine prekyba.</w:t>
      </w:r>
    </w:p>
    <w:p w:rsidR="00D90546" w:rsidRDefault="00D90546" w:rsidP="008A64BB">
      <w:pPr>
        <w:spacing w:after="0" w:line="276" w:lineRule="auto"/>
        <w:jc w:val="center"/>
        <w:rPr>
          <w:lang w:val="lt-LT"/>
        </w:rPr>
      </w:pPr>
      <w:r w:rsidRPr="00D90546">
        <w:rPr>
          <w:noProof/>
        </w:rPr>
        <w:lastRenderedPageBreak/>
        <w:drawing>
          <wp:inline distT="0" distB="0" distL="0" distR="0">
            <wp:extent cx="5225652" cy="2073349"/>
            <wp:effectExtent l="19050" t="0" r="13098" b="3101"/>
            <wp:docPr id="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A64BB" w:rsidRPr="008A64BB" w:rsidRDefault="008A64BB" w:rsidP="008A64BB">
      <w:pPr>
        <w:spacing w:after="0"/>
        <w:ind w:firstLine="709"/>
        <w:jc w:val="left"/>
        <w:rPr>
          <w:sz w:val="20"/>
          <w:szCs w:val="18"/>
          <w:lang w:val="lt-LT"/>
        </w:rPr>
      </w:pPr>
      <w:r w:rsidRPr="008A64BB">
        <w:rPr>
          <w:sz w:val="20"/>
          <w:szCs w:val="18"/>
          <w:lang w:val="lt-LT"/>
        </w:rPr>
        <w:t>Pastaba: paveikslas sudarytas autorės.</w:t>
      </w:r>
    </w:p>
    <w:p w:rsidR="00A64AD0" w:rsidRPr="00ED3D25" w:rsidRDefault="00A64AD0" w:rsidP="005E0A44">
      <w:pPr>
        <w:spacing w:after="0"/>
        <w:ind w:firstLine="851"/>
        <w:rPr>
          <w:lang w:val="lt-LT"/>
        </w:rPr>
      </w:pPr>
      <w:r w:rsidRPr="00ED3D25">
        <w:rPr>
          <w:lang w:val="lt-LT"/>
        </w:rPr>
        <w:t>Įmonės teikdamos paraiškas nurodo, kam bus panaudojamos lėšos, tad to buvo klausta ir anketoje</w:t>
      </w:r>
      <w:r w:rsidR="002B4A22">
        <w:rPr>
          <w:lang w:val="lt-LT"/>
        </w:rPr>
        <w:t xml:space="preserve"> (žr. 6 pav.)</w:t>
      </w:r>
      <w:r w:rsidRPr="00ED3D25">
        <w:rPr>
          <w:lang w:val="lt-LT"/>
        </w:rPr>
        <w:t>. D</w:t>
      </w:r>
      <w:r w:rsidR="005E0A44">
        <w:rPr>
          <w:lang w:val="lt-LT"/>
        </w:rPr>
        <w:t>idžioji dalis apklausoje dalyvavusių respondentų</w:t>
      </w:r>
      <w:r w:rsidRPr="00ED3D25">
        <w:rPr>
          <w:lang w:val="lt-LT"/>
        </w:rPr>
        <w:t xml:space="preserve"> teikė paraišką dėl lėšų panaudojimo naujos technikos, įrangos, baldų įsigijimo (58,8 proc.). </w:t>
      </w:r>
      <w:r w:rsidR="00141F11" w:rsidRPr="00ED3D25">
        <w:rPr>
          <w:lang w:val="lt-LT"/>
        </w:rPr>
        <w:t xml:space="preserve">Naujų pastatų statybą ar esamų rekonstravimą, pritaikymą </w:t>
      </w:r>
      <w:r w:rsidR="005E0A44">
        <w:rPr>
          <w:lang w:val="lt-LT"/>
        </w:rPr>
        <w:t>vykdomai</w:t>
      </w:r>
      <w:r w:rsidR="00141F11" w:rsidRPr="00ED3D25">
        <w:rPr>
          <w:lang w:val="lt-LT"/>
        </w:rPr>
        <w:t xml:space="preserve"> veiklai planavo</w:t>
      </w:r>
      <w:r w:rsidR="005E0A44">
        <w:rPr>
          <w:lang w:val="lt-LT"/>
        </w:rPr>
        <w:t xml:space="preserve"> tik</w:t>
      </w:r>
      <w:r w:rsidR="00141F11" w:rsidRPr="00ED3D25">
        <w:rPr>
          <w:lang w:val="lt-LT"/>
        </w:rPr>
        <w:t xml:space="preserve"> 21,5 proc. </w:t>
      </w:r>
    </w:p>
    <w:p w:rsidR="00141F11" w:rsidRDefault="00141F11" w:rsidP="0070485E">
      <w:pPr>
        <w:spacing w:after="0"/>
        <w:ind w:firstLine="851"/>
        <w:rPr>
          <w:lang w:val="lt-LT"/>
        </w:rPr>
      </w:pPr>
      <w:r w:rsidRPr="00ED3D25">
        <w:rPr>
          <w:lang w:val="lt-LT"/>
        </w:rPr>
        <w:t xml:space="preserve">Taip pat </w:t>
      </w:r>
      <w:r w:rsidR="005E0A44">
        <w:rPr>
          <w:lang w:val="lt-LT"/>
        </w:rPr>
        <w:t xml:space="preserve">anketinėje apklausoje buvo klausiama, kokie sunkumai </w:t>
      </w:r>
      <w:r w:rsidR="0070485E">
        <w:rPr>
          <w:lang w:val="lt-LT"/>
        </w:rPr>
        <w:t xml:space="preserve">iškilo </w:t>
      </w:r>
      <w:r w:rsidR="005E0A44">
        <w:rPr>
          <w:lang w:val="lt-LT"/>
        </w:rPr>
        <w:t xml:space="preserve">įmonei </w:t>
      </w:r>
      <w:r w:rsidRPr="00ED3D25">
        <w:rPr>
          <w:lang w:val="lt-LT"/>
        </w:rPr>
        <w:t xml:space="preserve">ruošiant </w:t>
      </w:r>
      <w:r w:rsidR="00D52B43" w:rsidRPr="00ED3D25">
        <w:rPr>
          <w:lang w:val="lt-LT"/>
        </w:rPr>
        <w:t xml:space="preserve">paraišką </w:t>
      </w:r>
      <w:r w:rsidR="005E0A44">
        <w:rPr>
          <w:lang w:val="lt-LT"/>
        </w:rPr>
        <w:t>dėl ES finansinės paramos gavimo</w:t>
      </w:r>
      <w:r w:rsidRPr="00ED3D25">
        <w:rPr>
          <w:lang w:val="lt-LT"/>
        </w:rPr>
        <w:t xml:space="preserve">. Didžioji dalis </w:t>
      </w:r>
      <w:r w:rsidR="005E0A44">
        <w:rPr>
          <w:lang w:val="lt-LT"/>
        </w:rPr>
        <w:t>respondentų (</w:t>
      </w:r>
      <w:r w:rsidRPr="00ED3D25">
        <w:rPr>
          <w:lang w:val="lt-LT"/>
        </w:rPr>
        <w:t>66,7 proc.</w:t>
      </w:r>
      <w:r w:rsidR="005E0A44">
        <w:rPr>
          <w:lang w:val="lt-LT"/>
        </w:rPr>
        <w:t>)</w:t>
      </w:r>
      <w:r w:rsidRPr="00ED3D25">
        <w:rPr>
          <w:lang w:val="lt-LT"/>
        </w:rPr>
        <w:t xml:space="preserve"> nurodė, kad didžiausių kliūčių </w:t>
      </w:r>
      <w:r w:rsidR="00D52B43">
        <w:rPr>
          <w:lang w:val="lt-LT"/>
        </w:rPr>
        <w:t>kil</w:t>
      </w:r>
      <w:r w:rsidRPr="00ED3D25">
        <w:rPr>
          <w:lang w:val="lt-LT"/>
        </w:rPr>
        <w:t xml:space="preserve">o surenkant įmonės dokumentus. </w:t>
      </w:r>
      <w:r w:rsidR="00141420">
        <w:rPr>
          <w:lang w:val="lt-LT"/>
        </w:rPr>
        <w:t>Tačiau</w:t>
      </w:r>
      <w:r w:rsidRPr="00ED3D25">
        <w:rPr>
          <w:lang w:val="lt-LT"/>
        </w:rPr>
        <w:t xml:space="preserve"> 25 proc. nurodė, kad jiems trūko laiko </w:t>
      </w:r>
      <w:r w:rsidR="00141420">
        <w:rPr>
          <w:lang w:val="lt-LT"/>
        </w:rPr>
        <w:t>visiems reikalavimams atlikti</w:t>
      </w:r>
      <w:r w:rsidRPr="00ED3D25">
        <w:rPr>
          <w:lang w:val="lt-LT"/>
        </w:rPr>
        <w:t xml:space="preserve">. </w:t>
      </w:r>
      <w:r w:rsidR="00141420">
        <w:rPr>
          <w:lang w:val="lt-LT"/>
        </w:rPr>
        <w:t>2 apklaustieji</w:t>
      </w:r>
      <w:r w:rsidRPr="00ED3D25">
        <w:rPr>
          <w:lang w:val="lt-LT"/>
        </w:rPr>
        <w:t xml:space="preserve"> nurodė kitą varian</w:t>
      </w:r>
      <w:r w:rsidR="00542DC3">
        <w:rPr>
          <w:lang w:val="lt-LT"/>
        </w:rPr>
        <w:t xml:space="preserve">tą, kuriame vienas </w:t>
      </w:r>
      <w:r w:rsidRPr="00ED3D25">
        <w:rPr>
          <w:lang w:val="lt-LT"/>
        </w:rPr>
        <w:t>teigė, kad didžiausia kliūtis buvo rangovų terminų nesilaikymas ir investuotų lėšų pavėluotas susigrąžinimas. Kitas respondentas paaiškino, kad trukdė painios taisyklės</w:t>
      </w:r>
      <w:r w:rsidR="00CC35BC" w:rsidRPr="00ED3D25">
        <w:rPr>
          <w:lang w:val="lt-LT"/>
        </w:rPr>
        <w:t>, kurias aiš</w:t>
      </w:r>
      <w:r w:rsidR="002630D4">
        <w:rPr>
          <w:lang w:val="lt-LT"/>
        </w:rPr>
        <w:t xml:space="preserve">kinantis pradėjo trūkti laiko, </w:t>
      </w:r>
      <w:r w:rsidR="00CC35BC" w:rsidRPr="00ED3D25">
        <w:rPr>
          <w:lang w:val="lt-LT"/>
        </w:rPr>
        <w:t>nes paraiškų patei</w:t>
      </w:r>
      <w:r w:rsidR="00141420">
        <w:rPr>
          <w:lang w:val="lt-LT"/>
        </w:rPr>
        <w:t>kimui numatyti trumpi terminai.</w:t>
      </w:r>
    </w:p>
    <w:p w:rsidR="00342054" w:rsidRDefault="000A3152" w:rsidP="008A64BB">
      <w:pPr>
        <w:spacing w:after="0" w:line="276" w:lineRule="auto"/>
        <w:jc w:val="center"/>
        <w:rPr>
          <w:lang w:val="lt-LT"/>
        </w:rPr>
      </w:pPr>
      <w:r w:rsidRPr="000A3152">
        <w:rPr>
          <w:noProof/>
        </w:rPr>
        <w:drawing>
          <wp:inline distT="0" distB="0" distL="0" distR="0">
            <wp:extent cx="5220000" cy="2062716"/>
            <wp:effectExtent l="19050" t="0" r="18750" b="0"/>
            <wp:docPr id="1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A64BB" w:rsidRPr="008A64BB" w:rsidRDefault="008A64BB" w:rsidP="008A64BB">
      <w:pPr>
        <w:spacing w:after="0"/>
        <w:ind w:firstLine="709"/>
        <w:jc w:val="left"/>
        <w:rPr>
          <w:sz w:val="20"/>
          <w:szCs w:val="18"/>
          <w:lang w:val="lt-LT"/>
        </w:rPr>
      </w:pPr>
      <w:r w:rsidRPr="008A64BB">
        <w:rPr>
          <w:sz w:val="20"/>
          <w:szCs w:val="18"/>
          <w:lang w:val="lt-LT"/>
        </w:rPr>
        <w:t>Pastaba: paveikslas sudarytas autorės.</w:t>
      </w:r>
    </w:p>
    <w:p w:rsidR="00CC35BC" w:rsidRPr="00ED3D25" w:rsidRDefault="00CC35BC" w:rsidP="00141420">
      <w:pPr>
        <w:spacing w:after="0"/>
        <w:ind w:firstLine="851"/>
        <w:rPr>
          <w:lang w:val="lt-LT"/>
        </w:rPr>
      </w:pPr>
      <w:r w:rsidRPr="00ED3D25">
        <w:rPr>
          <w:lang w:val="lt-LT"/>
        </w:rPr>
        <w:t>Klausiant ap</w:t>
      </w:r>
      <w:r w:rsidR="00C72DA9" w:rsidRPr="00ED3D25">
        <w:rPr>
          <w:lang w:val="lt-LT"/>
        </w:rPr>
        <w:t xml:space="preserve">ie verslo finansavimo šaltinius, kurie buvo svarbiausi gaunant ES finansinę paramą </w:t>
      </w:r>
      <w:r w:rsidR="00D52B43">
        <w:rPr>
          <w:lang w:val="lt-LT"/>
        </w:rPr>
        <w:t>didžioji dalis</w:t>
      </w:r>
      <w:r w:rsidR="00C72DA9" w:rsidRPr="00ED3D25">
        <w:rPr>
          <w:lang w:val="lt-LT"/>
        </w:rPr>
        <w:t xml:space="preserve"> pačiu svarbiausiu</w:t>
      </w:r>
      <w:r w:rsidR="00E279BD">
        <w:rPr>
          <w:lang w:val="lt-LT"/>
        </w:rPr>
        <w:t xml:space="preserve"> (Nr. 1)</w:t>
      </w:r>
      <w:r w:rsidR="00C72DA9" w:rsidRPr="00ED3D25">
        <w:rPr>
          <w:lang w:val="lt-LT"/>
        </w:rPr>
        <w:t xml:space="preserve"> nurodė gaunamą pelną (51 proc.), 25,5 proc. išskyrė banko paskolą</w:t>
      </w:r>
      <w:r w:rsidR="00141420">
        <w:rPr>
          <w:lang w:val="lt-LT"/>
        </w:rPr>
        <w:t>.</w:t>
      </w:r>
      <w:r w:rsidR="00C72DA9" w:rsidRPr="00ED3D25">
        <w:rPr>
          <w:lang w:val="lt-LT"/>
        </w:rPr>
        <w:t xml:space="preserve"> Antru svarbiausiu šaltiniu verslininkai įvardijo </w:t>
      </w:r>
      <w:r w:rsidR="00141420">
        <w:rPr>
          <w:lang w:val="lt-LT"/>
        </w:rPr>
        <w:t>banko paskolą ir</w:t>
      </w:r>
      <w:r w:rsidR="00141420" w:rsidRPr="00ED3D25">
        <w:rPr>
          <w:lang w:val="lt-LT"/>
        </w:rPr>
        <w:t xml:space="preserve"> kredito unijos paskolą</w:t>
      </w:r>
      <w:r w:rsidR="00C72DA9" w:rsidRPr="00ED3D25">
        <w:rPr>
          <w:lang w:val="lt-LT"/>
        </w:rPr>
        <w:t xml:space="preserve">. Trečioje vietoje </w:t>
      </w:r>
      <w:r w:rsidR="00141420" w:rsidRPr="00ED3D25">
        <w:rPr>
          <w:lang w:val="lt-LT"/>
        </w:rPr>
        <w:t>49 proc. apklaustųjų.</w:t>
      </w:r>
      <w:r w:rsidR="00141420">
        <w:rPr>
          <w:lang w:val="lt-LT"/>
        </w:rPr>
        <w:t>išskiria kaip pagrindinį variantą – kredito unijų paskolas.</w:t>
      </w:r>
    </w:p>
    <w:p w:rsidR="0070485E" w:rsidRDefault="00C72DA9" w:rsidP="0070485E">
      <w:pPr>
        <w:spacing w:after="0"/>
        <w:ind w:firstLine="851"/>
        <w:rPr>
          <w:lang w:val="lt-LT"/>
        </w:rPr>
      </w:pPr>
      <w:r w:rsidRPr="00ED3D25">
        <w:rPr>
          <w:lang w:val="lt-LT"/>
        </w:rPr>
        <w:lastRenderedPageBreak/>
        <w:t xml:space="preserve">Taip pat buvo </w:t>
      </w:r>
      <w:r w:rsidR="00141420">
        <w:rPr>
          <w:lang w:val="lt-LT"/>
        </w:rPr>
        <w:t>vertinamas laikotarpis, kiek laiko įmonė įsipareigoja teikti</w:t>
      </w:r>
      <w:r w:rsidR="008E3BE7">
        <w:rPr>
          <w:lang w:val="lt-LT"/>
        </w:rPr>
        <w:t xml:space="preserve"> veiklos</w:t>
      </w:r>
      <w:r w:rsidR="00141420">
        <w:rPr>
          <w:lang w:val="lt-LT"/>
        </w:rPr>
        <w:t xml:space="preserve"> </w:t>
      </w:r>
      <w:r w:rsidR="008E3BE7">
        <w:rPr>
          <w:lang w:val="lt-LT"/>
        </w:rPr>
        <w:t>ataskaitas ir</w:t>
      </w:r>
      <w:r w:rsidR="00141420">
        <w:rPr>
          <w:lang w:val="lt-LT"/>
        </w:rPr>
        <w:t xml:space="preserve"> pasiekti tam tikrus finansinius rezultatus.</w:t>
      </w:r>
      <w:r w:rsidRPr="00ED3D25">
        <w:rPr>
          <w:lang w:val="lt-LT"/>
        </w:rPr>
        <w:t xml:space="preserve"> 80,4 proc. </w:t>
      </w:r>
      <w:r w:rsidR="008E3BE7">
        <w:rPr>
          <w:lang w:val="lt-LT"/>
        </w:rPr>
        <w:t>įmonių atstovų</w:t>
      </w:r>
      <w:r w:rsidRPr="00ED3D25">
        <w:rPr>
          <w:lang w:val="lt-LT"/>
        </w:rPr>
        <w:t xml:space="preserve"> nurodė 5 metų laikotarpį, 9,8 proc. nurodė dvejus metus.</w:t>
      </w:r>
      <w:r w:rsidR="008E3BE7">
        <w:rPr>
          <w:lang w:val="lt-LT"/>
        </w:rPr>
        <w:t xml:space="preserve"> Tačiau</w:t>
      </w:r>
      <w:r w:rsidR="00F160C1" w:rsidRPr="00ED3D25">
        <w:rPr>
          <w:lang w:val="lt-LT"/>
        </w:rPr>
        <w:t xml:space="preserve"> vienas respondentas nurodė tik 6 mėnesių laikotarpį.</w:t>
      </w:r>
    </w:p>
    <w:p w:rsidR="00906EEA" w:rsidRDefault="009F4B0D" w:rsidP="004B21BF">
      <w:pPr>
        <w:spacing w:after="0" w:line="276" w:lineRule="auto"/>
        <w:ind w:firstLine="142"/>
        <w:jc w:val="center"/>
        <w:rPr>
          <w:lang w:val="lt-LT"/>
        </w:rPr>
      </w:pPr>
      <w:r w:rsidRPr="009F4B0D">
        <w:rPr>
          <w:noProof/>
        </w:rPr>
        <w:drawing>
          <wp:inline distT="0" distB="0" distL="0" distR="0">
            <wp:extent cx="5220000" cy="2062717"/>
            <wp:effectExtent l="19050" t="0" r="18750" b="0"/>
            <wp:docPr id="1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A64BB" w:rsidRPr="008A64BB" w:rsidRDefault="008A64BB" w:rsidP="0070485E">
      <w:pPr>
        <w:spacing w:after="0"/>
        <w:ind w:firstLine="1134"/>
        <w:rPr>
          <w:sz w:val="20"/>
          <w:szCs w:val="18"/>
          <w:lang w:val="lt-LT"/>
        </w:rPr>
      </w:pPr>
      <w:r w:rsidRPr="008A64BB">
        <w:rPr>
          <w:sz w:val="20"/>
          <w:szCs w:val="18"/>
          <w:lang w:val="lt-LT"/>
        </w:rPr>
        <w:t>Pastaba: paveikslas sudarytas autorės.</w:t>
      </w:r>
    </w:p>
    <w:p w:rsidR="00D62EBD" w:rsidRDefault="00625D9E" w:rsidP="008E3BE7">
      <w:pPr>
        <w:spacing w:after="0"/>
        <w:ind w:firstLine="851"/>
        <w:rPr>
          <w:lang w:val="lt-LT"/>
        </w:rPr>
      </w:pPr>
      <w:r w:rsidRPr="00ED3D25">
        <w:rPr>
          <w:lang w:val="lt-LT"/>
        </w:rPr>
        <w:t>Į klausimą apie didžiausią ir mažiausią naudą po projekto įgyvendinimo didžioji dalis respondent</w:t>
      </w:r>
      <w:r w:rsidR="00B462A7">
        <w:rPr>
          <w:lang w:val="lt-LT"/>
        </w:rPr>
        <w:t>ų pirmiausiai nurodė išaugusį</w:t>
      </w:r>
      <w:r w:rsidRPr="00ED3D25">
        <w:rPr>
          <w:lang w:val="lt-LT"/>
        </w:rPr>
        <w:t xml:space="preserve"> darbo našumą (56,9</w:t>
      </w:r>
      <w:r w:rsidR="00B462A7">
        <w:rPr>
          <w:lang w:val="lt-LT"/>
        </w:rPr>
        <w:t xml:space="preserve"> proc.), kiti 21,6 proc. iškiria</w:t>
      </w:r>
      <w:r w:rsidR="008E3BE7">
        <w:rPr>
          <w:lang w:val="lt-LT"/>
        </w:rPr>
        <w:t xml:space="preserve"> pagerėjusią produkto kokybę</w:t>
      </w:r>
      <w:r w:rsidRPr="00ED3D25">
        <w:rPr>
          <w:lang w:val="lt-LT"/>
        </w:rPr>
        <w:t>. Antroje vietoje pagal naudą rikiuojasi pagerėju</w:t>
      </w:r>
      <w:r w:rsidR="008E3BE7">
        <w:rPr>
          <w:lang w:val="lt-LT"/>
        </w:rPr>
        <w:t>si produkto kokybė (31,4 proc.) ir</w:t>
      </w:r>
      <w:r w:rsidRPr="00ED3D25">
        <w:rPr>
          <w:lang w:val="lt-LT"/>
        </w:rPr>
        <w:t xml:space="preserve"> padidėjęs darbuotojų užimtumas (29,4 proc.). Didžioji dalis respondentų po 29,4 proc. į trečią vietą skirtų tiek padidėjusį darbuotojų užimtumą, tiek pagerėjusią produkto kokybę. 47,1 proc. verslininkų pagal projekto naudą į ketvir</w:t>
      </w:r>
      <w:r w:rsidR="00D62EBD">
        <w:rPr>
          <w:lang w:val="lt-LT"/>
        </w:rPr>
        <w:t>tą vietą skiria išaugusį pelną.</w:t>
      </w:r>
    </w:p>
    <w:p w:rsidR="00906EEA" w:rsidRDefault="00E5642D" w:rsidP="008E3BE7">
      <w:pPr>
        <w:spacing w:after="0" w:line="276" w:lineRule="auto"/>
        <w:ind w:firstLine="851"/>
        <w:rPr>
          <w:lang w:val="lt-LT"/>
        </w:rPr>
      </w:pPr>
      <w:r w:rsidRPr="00E5642D">
        <w:rPr>
          <w:noProof/>
        </w:rPr>
        <w:drawing>
          <wp:inline distT="0" distB="0" distL="0" distR="0">
            <wp:extent cx="5225651" cy="2062800"/>
            <wp:effectExtent l="19050" t="0" r="13099" b="0"/>
            <wp:docPr id="1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A64BB" w:rsidRPr="008A64BB" w:rsidRDefault="008A64BB" w:rsidP="00746E75">
      <w:pPr>
        <w:spacing w:after="0"/>
        <w:ind w:firstLine="993"/>
        <w:jc w:val="left"/>
        <w:rPr>
          <w:sz w:val="20"/>
          <w:szCs w:val="18"/>
          <w:lang w:val="lt-LT"/>
        </w:rPr>
      </w:pPr>
      <w:r w:rsidRPr="008A64BB">
        <w:rPr>
          <w:sz w:val="20"/>
          <w:szCs w:val="18"/>
          <w:lang w:val="lt-LT"/>
        </w:rPr>
        <w:t>Pastaba: paveikslas sudarytas autorės.</w:t>
      </w:r>
    </w:p>
    <w:p w:rsidR="00461266" w:rsidRPr="00ED3D25" w:rsidRDefault="00461266" w:rsidP="004D0BC6">
      <w:pPr>
        <w:spacing w:after="0"/>
        <w:ind w:firstLine="851"/>
        <w:rPr>
          <w:lang w:val="lt-LT"/>
        </w:rPr>
      </w:pPr>
      <w:r w:rsidRPr="00ED3D25">
        <w:rPr>
          <w:lang w:val="lt-LT"/>
        </w:rPr>
        <w:t xml:space="preserve">Paskutinis klausimas buvo susijęs su įmonės rodikliais, kurie pasikeitė labiausiai po ES finansinių lėšų įsisavinimo. Tad net 52,9 proc. </w:t>
      </w:r>
      <w:r w:rsidR="008E3BE7">
        <w:rPr>
          <w:lang w:val="lt-LT"/>
        </w:rPr>
        <w:t xml:space="preserve">apklaustųjų </w:t>
      </w:r>
      <w:r w:rsidRPr="00ED3D25">
        <w:rPr>
          <w:lang w:val="lt-LT"/>
        </w:rPr>
        <w:t>nurodė, kad labiausiai pasikeitė pardavimų (paslaugų) apimtis. Antroje vietoje</w:t>
      </w:r>
      <w:r w:rsidR="008E3BE7">
        <w:rPr>
          <w:lang w:val="lt-LT"/>
        </w:rPr>
        <w:t xml:space="preserve"> </w:t>
      </w:r>
      <w:r w:rsidR="004D0BC6">
        <w:rPr>
          <w:lang w:val="lt-LT"/>
        </w:rPr>
        <w:t>labiausiai pakitusia įvardijama apyvarta (37,3 proc.).</w:t>
      </w:r>
      <w:r w:rsidR="008E66D1" w:rsidRPr="00ED3D25">
        <w:rPr>
          <w:lang w:val="lt-LT"/>
        </w:rPr>
        <w:t xml:space="preserve"> </w:t>
      </w:r>
      <w:r w:rsidR="004D0BC6">
        <w:rPr>
          <w:lang w:val="lt-LT"/>
        </w:rPr>
        <w:t xml:space="preserve">Trečioje vietoje 33,3 proc. </w:t>
      </w:r>
      <w:r w:rsidR="008E66D1" w:rsidRPr="00ED3D25">
        <w:rPr>
          <w:lang w:val="lt-LT"/>
        </w:rPr>
        <w:t>apklaustųjų</w:t>
      </w:r>
      <w:r w:rsidR="004D0BC6">
        <w:rPr>
          <w:lang w:val="lt-LT"/>
        </w:rPr>
        <w:t xml:space="preserve"> nurodė</w:t>
      </w:r>
      <w:r w:rsidR="008E66D1" w:rsidRPr="00ED3D25">
        <w:rPr>
          <w:lang w:val="lt-LT"/>
        </w:rPr>
        <w:t xml:space="preserve"> darbo vietų skaičiaus pokytį. </w:t>
      </w:r>
      <w:r w:rsidR="004D0BC6">
        <w:rPr>
          <w:lang w:val="lt-LT"/>
        </w:rPr>
        <w:t>P</w:t>
      </w:r>
      <w:r w:rsidR="008E66D1" w:rsidRPr="00ED3D25">
        <w:rPr>
          <w:lang w:val="lt-LT"/>
        </w:rPr>
        <w:t xml:space="preserve">elnas </w:t>
      </w:r>
      <w:r w:rsidR="004D0BC6">
        <w:rPr>
          <w:lang w:val="lt-LT"/>
        </w:rPr>
        <w:t>pagal jo pokytį prieš ir po ES paramos gavimo nurodomas ketvirtoje vietoje</w:t>
      </w:r>
      <w:r w:rsidR="004D0BC6" w:rsidRPr="00ED3D25">
        <w:rPr>
          <w:lang w:val="lt-LT"/>
        </w:rPr>
        <w:t xml:space="preserve"> </w:t>
      </w:r>
      <w:r w:rsidR="008E66D1" w:rsidRPr="00ED3D25">
        <w:rPr>
          <w:lang w:val="lt-LT"/>
        </w:rPr>
        <w:t xml:space="preserve">(29,4 </w:t>
      </w:r>
      <w:r w:rsidR="00A71103">
        <w:rPr>
          <w:lang w:val="lt-LT"/>
        </w:rPr>
        <w:t>proc.)</w:t>
      </w:r>
      <w:r w:rsidR="004D0BC6">
        <w:rPr>
          <w:lang w:val="lt-LT"/>
        </w:rPr>
        <w:t>.</w:t>
      </w:r>
      <w:r w:rsidR="00A71103">
        <w:rPr>
          <w:lang w:val="lt-LT"/>
        </w:rPr>
        <w:t xml:space="preserve"> </w:t>
      </w:r>
    </w:p>
    <w:p w:rsidR="00EF1E80" w:rsidRPr="00ED3D25" w:rsidRDefault="008E66D1" w:rsidP="00906EEA">
      <w:pPr>
        <w:spacing w:after="0"/>
        <w:ind w:firstLine="851"/>
        <w:rPr>
          <w:lang w:val="lt-LT"/>
        </w:rPr>
      </w:pPr>
      <w:r w:rsidRPr="00ED3D25">
        <w:rPr>
          <w:lang w:val="lt-LT"/>
        </w:rPr>
        <w:t>Apibendrinant galima teigti, kad įmonės vieną kartą pasinaudojusios ES</w:t>
      </w:r>
      <w:r w:rsidR="00A71103">
        <w:rPr>
          <w:lang w:val="lt-LT"/>
        </w:rPr>
        <w:t xml:space="preserve"> finansine parama yra linkusios</w:t>
      </w:r>
      <w:r w:rsidRPr="00ED3D25">
        <w:rPr>
          <w:lang w:val="lt-LT"/>
        </w:rPr>
        <w:t xml:space="preserve"> vėl teikti paraišką naujam etapui. Tarp finansavimą gavusių įmonių daugiausiai </w:t>
      </w:r>
      <w:r w:rsidRPr="00ED3D25">
        <w:rPr>
          <w:lang w:val="lt-LT"/>
        </w:rPr>
        <w:lastRenderedPageBreak/>
        <w:t>apklaustųjų buvo maisto produktų gamybą vystantys ver</w:t>
      </w:r>
      <w:r w:rsidR="00A71103">
        <w:rPr>
          <w:lang w:val="lt-LT"/>
        </w:rPr>
        <w:t>s</w:t>
      </w:r>
      <w:r w:rsidRPr="00ED3D25">
        <w:rPr>
          <w:lang w:val="lt-LT"/>
        </w:rPr>
        <w:t>lai.</w:t>
      </w:r>
      <w:r w:rsidR="00104C2D" w:rsidRPr="00ED3D25">
        <w:rPr>
          <w:lang w:val="lt-LT"/>
        </w:rPr>
        <w:t xml:space="preserve"> Labiausiai parama padeda padidinti darbo našumą, o po lėšų įsisavinimo pasikeičia pardavimų (paslaugų) apimtis.</w:t>
      </w:r>
      <w:r w:rsidR="0061786A">
        <w:rPr>
          <w:lang w:val="lt-LT"/>
        </w:rPr>
        <w:t xml:space="preserve"> Taip pat anketos atsakymai pateikti 3 priede.</w:t>
      </w:r>
    </w:p>
    <w:p w:rsidR="00827E51" w:rsidRPr="00ED3D25" w:rsidRDefault="00827E51" w:rsidP="00F45AE3">
      <w:pPr>
        <w:pStyle w:val="Heading2"/>
        <w:spacing w:before="0" w:beforeAutospacing="0" w:after="0" w:afterAutospacing="0"/>
        <w:jc w:val="both"/>
        <w:rPr>
          <w:b w:val="0"/>
          <w:bCs w:val="0"/>
          <w:sz w:val="20"/>
          <w:szCs w:val="20"/>
          <w:lang w:val="lt-LT"/>
        </w:rPr>
      </w:pPr>
    </w:p>
    <w:p w:rsidR="00B67A62" w:rsidRPr="006B01BF" w:rsidRDefault="00ED3D25" w:rsidP="006B01BF">
      <w:pPr>
        <w:pStyle w:val="Heading2"/>
        <w:numPr>
          <w:ilvl w:val="1"/>
          <w:numId w:val="20"/>
        </w:numPr>
        <w:spacing w:before="240" w:beforeAutospacing="0" w:after="240" w:afterAutospacing="0" w:line="360" w:lineRule="auto"/>
        <w:rPr>
          <w:sz w:val="24"/>
          <w:szCs w:val="24"/>
          <w:lang w:val="lt-LT"/>
        </w:rPr>
      </w:pPr>
      <w:bookmarkStart w:id="11" w:name="_Toc419534700"/>
      <w:r w:rsidRPr="006B01BF">
        <w:rPr>
          <w:sz w:val="24"/>
          <w:szCs w:val="24"/>
          <w:lang w:val="lt-LT"/>
        </w:rPr>
        <w:t>Panevėžio rajono įmonių gavusių ES finansinę paramą finansinės veiklos</w:t>
      </w:r>
      <w:r w:rsidR="00B67A62" w:rsidRPr="006B01BF">
        <w:rPr>
          <w:sz w:val="24"/>
          <w:szCs w:val="24"/>
          <w:lang w:val="lt-LT"/>
        </w:rPr>
        <w:t xml:space="preserve"> </w:t>
      </w:r>
      <w:r w:rsidRPr="006B01BF">
        <w:rPr>
          <w:sz w:val="24"/>
          <w:szCs w:val="24"/>
          <w:lang w:val="lt-LT"/>
        </w:rPr>
        <w:t>rezultatų vertinimas</w:t>
      </w:r>
      <w:bookmarkEnd w:id="11"/>
    </w:p>
    <w:p w:rsidR="00843D8F" w:rsidRPr="00ED3D25" w:rsidRDefault="00843D8F" w:rsidP="007E6E7D">
      <w:pPr>
        <w:spacing w:after="0"/>
        <w:ind w:firstLine="851"/>
        <w:rPr>
          <w:lang w:val="lt-LT"/>
        </w:rPr>
      </w:pPr>
      <w:r w:rsidRPr="00ED3D25">
        <w:rPr>
          <w:lang w:val="lt-LT"/>
        </w:rPr>
        <w:t>Siekiant įvertinti ES finansinės paramos efektyv</w:t>
      </w:r>
      <w:r w:rsidR="009C46C7">
        <w:rPr>
          <w:lang w:val="lt-LT"/>
        </w:rPr>
        <w:t>um</w:t>
      </w:r>
      <w:r w:rsidRPr="00ED3D25">
        <w:rPr>
          <w:lang w:val="lt-LT"/>
        </w:rPr>
        <w:t>ą, t. y. ar tikrai visoms įmonėms skirta parama pasiteisina, ar ES nustatyta atranka</w:t>
      </w:r>
      <w:r w:rsidR="007E6E7D">
        <w:rPr>
          <w:lang w:val="lt-LT"/>
        </w:rPr>
        <w:t>, kam skirti paramą yra tinkama. Tam b</w:t>
      </w:r>
      <w:r w:rsidRPr="00ED3D25">
        <w:rPr>
          <w:lang w:val="lt-LT"/>
        </w:rPr>
        <w:t>uvo pasirinktos keturios įmonės</w:t>
      </w:r>
      <w:r w:rsidR="007E6E7D">
        <w:rPr>
          <w:lang w:val="lt-LT"/>
        </w:rPr>
        <w:t>, kurios atstova</w:t>
      </w:r>
      <w:r w:rsidR="006F4F7E">
        <w:rPr>
          <w:lang w:val="lt-LT"/>
        </w:rPr>
        <w:t xml:space="preserve">uja </w:t>
      </w:r>
      <w:r w:rsidR="007E6E7D">
        <w:rPr>
          <w:lang w:val="lt-LT"/>
        </w:rPr>
        <w:t>skirtingu</w:t>
      </w:r>
      <w:r w:rsidR="006F4F7E">
        <w:rPr>
          <w:lang w:val="lt-LT"/>
        </w:rPr>
        <w:t>s sektorius, taip pat įsisavino</w:t>
      </w:r>
      <w:r w:rsidR="007E6E7D">
        <w:rPr>
          <w:lang w:val="lt-LT"/>
        </w:rPr>
        <w:t xml:space="preserve"> paramą tiek siekdamos pradėti verslą, tiek jį išplėsti</w:t>
      </w:r>
      <w:r w:rsidRPr="00ED3D25">
        <w:rPr>
          <w:lang w:val="lt-LT"/>
        </w:rPr>
        <w:t xml:space="preserve"> Pane</w:t>
      </w:r>
      <w:r w:rsidR="007E6E7D">
        <w:rPr>
          <w:lang w:val="lt-LT"/>
        </w:rPr>
        <w:t>vėžio rajone</w:t>
      </w:r>
      <w:r w:rsidR="009C46C7">
        <w:rPr>
          <w:szCs w:val="24"/>
          <w:lang w:val="lt-LT"/>
        </w:rPr>
        <w:t>. Buvo s</w:t>
      </w:r>
      <w:r w:rsidRPr="00ED3D25">
        <w:rPr>
          <w:szCs w:val="24"/>
          <w:lang w:val="lt-LT"/>
        </w:rPr>
        <w:t>kaičiuojami įmonių</w:t>
      </w:r>
      <w:r w:rsidR="00B67A62" w:rsidRPr="00ED3D25">
        <w:rPr>
          <w:szCs w:val="24"/>
          <w:lang w:val="lt-LT"/>
        </w:rPr>
        <w:t xml:space="preserve"> finansiniai ro</w:t>
      </w:r>
      <w:r w:rsidRPr="00ED3D25">
        <w:rPr>
          <w:szCs w:val="24"/>
          <w:lang w:val="lt-LT"/>
        </w:rPr>
        <w:t>dikliai ir</w:t>
      </w:r>
      <w:r w:rsidR="00B2076E" w:rsidRPr="00ED3D25">
        <w:rPr>
          <w:szCs w:val="24"/>
          <w:lang w:val="lt-LT"/>
        </w:rPr>
        <w:t xml:space="preserve"> </w:t>
      </w:r>
      <w:r w:rsidR="00BA048D">
        <w:rPr>
          <w:szCs w:val="24"/>
          <w:lang w:val="lt-LT"/>
        </w:rPr>
        <w:t>vertinama,</w:t>
      </w:r>
      <w:r w:rsidR="00C76017" w:rsidRPr="00ED3D25">
        <w:rPr>
          <w:szCs w:val="24"/>
          <w:lang w:val="lt-LT"/>
        </w:rPr>
        <w:t xml:space="preserve"> ar paramos gavimo metu rodiklių reikšmės </w:t>
      </w:r>
      <w:r w:rsidR="009C46C7">
        <w:rPr>
          <w:szCs w:val="24"/>
          <w:lang w:val="lt-LT"/>
        </w:rPr>
        <w:t>pagerėjo ar priešingai, buvo pastebėta</w:t>
      </w:r>
      <w:r w:rsidR="00C76017" w:rsidRPr="00ED3D25">
        <w:rPr>
          <w:szCs w:val="24"/>
          <w:lang w:val="lt-LT"/>
        </w:rPr>
        <w:t xml:space="preserve"> neigiama augimo tendencija. </w:t>
      </w:r>
      <w:r w:rsidR="00BA048D">
        <w:rPr>
          <w:szCs w:val="24"/>
          <w:lang w:val="lt-LT"/>
        </w:rPr>
        <w:t>I</w:t>
      </w:r>
      <w:r w:rsidR="00B2076E" w:rsidRPr="00ED3D25">
        <w:rPr>
          <w:szCs w:val="24"/>
          <w:lang w:val="lt-LT"/>
        </w:rPr>
        <w:t>šanaliz</w:t>
      </w:r>
      <w:r w:rsidR="009C46C7">
        <w:rPr>
          <w:szCs w:val="24"/>
          <w:lang w:val="lt-LT"/>
        </w:rPr>
        <w:t xml:space="preserve">avus visų įmonių </w:t>
      </w:r>
      <w:r w:rsidR="00BA048D">
        <w:rPr>
          <w:szCs w:val="24"/>
          <w:lang w:val="lt-LT"/>
        </w:rPr>
        <w:t xml:space="preserve">finansinius </w:t>
      </w:r>
      <w:r w:rsidR="009C46C7">
        <w:rPr>
          <w:szCs w:val="24"/>
          <w:lang w:val="lt-LT"/>
        </w:rPr>
        <w:t>rodiklius buvo</w:t>
      </w:r>
      <w:r w:rsidR="00B2076E" w:rsidRPr="00ED3D25">
        <w:rPr>
          <w:szCs w:val="24"/>
          <w:lang w:val="lt-LT"/>
        </w:rPr>
        <w:t xml:space="preserve"> daroma išvada</w:t>
      </w:r>
      <w:r w:rsidR="00BA048D">
        <w:rPr>
          <w:szCs w:val="24"/>
          <w:lang w:val="lt-LT"/>
        </w:rPr>
        <w:t>,</w:t>
      </w:r>
      <w:r w:rsidR="00B2076E" w:rsidRPr="00ED3D25">
        <w:rPr>
          <w:szCs w:val="24"/>
          <w:lang w:val="lt-LT"/>
        </w:rPr>
        <w:t xml:space="preserve"> ar finansinė parama buvo </w:t>
      </w:r>
      <w:r w:rsidR="00BA048D" w:rsidRPr="00ED3D25">
        <w:rPr>
          <w:szCs w:val="24"/>
          <w:lang w:val="lt-LT"/>
        </w:rPr>
        <w:t xml:space="preserve">panaudojama </w:t>
      </w:r>
      <w:r w:rsidR="00B2076E" w:rsidRPr="00ED3D25">
        <w:rPr>
          <w:szCs w:val="24"/>
          <w:lang w:val="lt-LT"/>
        </w:rPr>
        <w:t>efektyviai.</w:t>
      </w:r>
      <w:r w:rsidR="00BA048D">
        <w:rPr>
          <w:szCs w:val="24"/>
          <w:lang w:val="lt-LT"/>
        </w:rPr>
        <w:t xml:space="preserve"> </w:t>
      </w:r>
      <w:r w:rsidR="00E02C8C">
        <w:rPr>
          <w:lang w:val="lt-LT"/>
        </w:rPr>
        <w:t xml:space="preserve">Finansinių rodiklių lentelėse paryškintuose langeliuose pateikiami rodikliai ES finansinės paramos </w:t>
      </w:r>
      <w:r w:rsidR="00BA048D">
        <w:rPr>
          <w:lang w:val="lt-LT"/>
        </w:rPr>
        <w:t>įsisavinimo</w:t>
      </w:r>
      <w:r w:rsidR="00E02C8C">
        <w:rPr>
          <w:lang w:val="lt-LT"/>
        </w:rPr>
        <w:t xml:space="preserve"> metu, taip atskiriamas laikotarpis prieš (kai įmonė veikia ilgą laiką), per finansavimo laikotarpį (besisteigiančių įmonių) ir po ES finansinės paramos įsisavinimo.</w:t>
      </w:r>
    </w:p>
    <w:p w:rsidR="00843D8F" w:rsidRPr="00ED3D25" w:rsidRDefault="00843D8F" w:rsidP="004665BD">
      <w:pPr>
        <w:spacing w:after="0"/>
        <w:rPr>
          <w:i/>
          <w:lang w:val="lt-LT"/>
        </w:rPr>
      </w:pPr>
    </w:p>
    <w:p w:rsidR="00843D8F" w:rsidRPr="00ED3D25" w:rsidRDefault="00843D8F" w:rsidP="004665BD">
      <w:pPr>
        <w:spacing w:after="0"/>
        <w:jc w:val="center"/>
        <w:rPr>
          <w:i/>
          <w:lang w:val="lt-LT"/>
        </w:rPr>
      </w:pPr>
      <w:r w:rsidRPr="00ED3D25">
        <w:rPr>
          <w:i/>
          <w:lang w:val="lt-LT"/>
        </w:rPr>
        <w:t>Įmonė A</w:t>
      </w:r>
    </w:p>
    <w:p w:rsidR="00843D8F" w:rsidRPr="00ED3D25" w:rsidRDefault="00843D8F" w:rsidP="00764DBF">
      <w:pPr>
        <w:spacing w:after="0"/>
        <w:ind w:firstLine="851"/>
        <w:rPr>
          <w:lang w:val="lt-LT"/>
        </w:rPr>
      </w:pPr>
      <w:r w:rsidRPr="00ED3D25">
        <w:rPr>
          <w:lang w:val="lt-LT"/>
        </w:rPr>
        <w:t>Įmonė A veikia</w:t>
      </w:r>
      <w:r w:rsidR="00B36302">
        <w:rPr>
          <w:lang w:val="lt-LT"/>
        </w:rPr>
        <w:t xml:space="preserve"> Panevėžio rajono Paviešečių kaime</w:t>
      </w:r>
      <w:r w:rsidRPr="00ED3D25">
        <w:rPr>
          <w:lang w:val="lt-LT"/>
        </w:rPr>
        <w:t xml:space="preserve"> ir užsiima pramoninių aušinimo ir vėdinimo įrenginių </w:t>
      </w:r>
      <w:r w:rsidR="00764DBF">
        <w:rPr>
          <w:lang w:val="lt-LT"/>
        </w:rPr>
        <w:t>projektavimu</w:t>
      </w:r>
      <w:r w:rsidRPr="00ED3D25">
        <w:rPr>
          <w:lang w:val="lt-LT"/>
        </w:rPr>
        <w:t xml:space="preserve">, montavimu bei komplektavimu. Taip pat įmonė </w:t>
      </w:r>
      <w:r w:rsidR="00764DBF">
        <w:rPr>
          <w:lang w:val="lt-LT"/>
        </w:rPr>
        <w:t>konsultuoja</w:t>
      </w:r>
      <w:r w:rsidRPr="00ED3D25">
        <w:rPr>
          <w:lang w:val="lt-LT"/>
        </w:rPr>
        <w:t xml:space="preserve"> įvairius ūkio subjektus visais šaldymo įrangos klausimais. Įmonė yra viena iš stipriausių Šiaurės Lietuvoje ir turi ilgametę darbo patirtį, kuri siekia jau 10 metų.</w:t>
      </w:r>
    </w:p>
    <w:p w:rsidR="00417AFE" w:rsidRDefault="00B76F76" w:rsidP="00417AFE">
      <w:pPr>
        <w:spacing w:after="0"/>
        <w:ind w:firstLine="851"/>
        <w:rPr>
          <w:lang w:val="lt-LT"/>
        </w:rPr>
      </w:pPr>
      <w:r>
        <w:rPr>
          <w:lang w:val="lt-LT"/>
        </w:rPr>
        <w:t>Įmonė A teikė paraišką</w:t>
      </w:r>
      <w:r w:rsidR="00D86AEE">
        <w:rPr>
          <w:lang w:val="lt-LT"/>
        </w:rPr>
        <w:t xml:space="preserve"> (žr. 4 priedą)</w:t>
      </w:r>
      <w:r>
        <w:rPr>
          <w:lang w:val="lt-LT"/>
        </w:rPr>
        <w:t>, kad įsigytų trūkstamos įrangos,</w:t>
      </w:r>
      <w:r w:rsidR="00843D8F" w:rsidRPr="00ED3D25">
        <w:rPr>
          <w:lang w:val="lt-LT"/>
        </w:rPr>
        <w:t xml:space="preserve"> </w:t>
      </w:r>
      <w:r w:rsidR="00542AEA">
        <w:rPr>
          <w:lang w:val="lt-LT"/>
        </w:rPr>
        <w:t>vykdytų</w:t>
      </w:r>
      <w:r w:rsidR="00843D8F" w:rsidRPr="00ED3D25">
        <w:rPr>
          <w:lang w:val="lt-LT"/>
        </w:rPr>
        <w:t xml:space="preserve"> technologinį procesą, taip pa</w:t>
      </w:r>
      <w:r w:rsidR="00542AEA">
        <w:rPr>
          <w:lang w:val="lt-LT"/>
        </w:rPr>
        <w:t>t</w:t>
      </w:r>
      <w:r w:rsidR="00843D8F" w:rsidRPr="00ED3D25">
        <w:rPr>
          <w:lang w:val="lt-LT"/>
        </w:rPr>
        <w:t xml:space="preserve"> transporto priemonę, kad galėtų laiku pristatyti užsakymus pirkėjams. Paraišką teikė pagal supaprastintąsias sąlyga</w:t>
      </w:r>
      <w:r w:rsidR="00542AEA">
        <w:rPr>
          <w:lang w:val="lt-LT"/>
        </w:rPr>
        <w:t>s</w:t>
      </w:r>
      <w:r w:rsidR="00764DBF">
        <w:rPr>
          <w:lang w:val="lt-LT"/>
        </w:rPr>
        <w:t>, tai reiškia, kad nereikėjo parašyti verslo plano planuojamam</w:t>
      </w:r>
      <w:r w:rsidR="00542AEA">
        <w:rPr>
          <w:lang w:val="lt-LT"/>
        </w:rPr>
        <w:t xml:space="preserve"> gamybos modernizavimui. P</w:t>
      </w:r>
      <w:r w:rsidR="00843D8F" w:rsidRPr="00ED3D25">
        <w:rPr>
          <w:lang w:val="lt-LT"/>
        </w:rPr>
        <w:t>rašoma</w:t>
      </w:r>
      <w:r w:rsidR="00542AEA">
        <w:rPr>
          <w:lang w:val="lt-LT"/>
        </w:rPr>
        <w:t xml:space="preserve"> suma siekė 60 181 litą</w:t>
      </w:r>
      <w:r w:rsidR="00843D8F" w:rsidRPr="00ED3D25">
        <w:rPr>
          <w:lang w:val="lt-LT"/>
        </w:rPr>
        <w:t>. Projektą siekė įgyvendinti nuo 2008-05-28 iki 2009-11-30.</w:t>
      </w:r>
      <w:r w:rsidR="00520499" w:rsidRPr="00ED3D25">
        <w:rPr>
          <w:lang w:val="lt-LT"/>
        </w:rPr>
        <w:t xml:space="preserve"> Trumpai supažindinus su įmonės veikla toliau atliekama</w:t>
      </w:r>
      <w:r w:rsidR="003C6587">
        <w:rPr>
          <w:lang w:val="lt-LT"/>
        </w:rPr>
        <w:t xml:space="preserve"> 2007-2013 m. balanso ir pelno</w:t>
      </w:r>
      <w:r w:rsidR="00542AEA">
        <w:rPr>
          <w:lang w:val="lt-LT"/>
        </w:rPr>
        <w:t xml:space="preserve"> </w:t>
      </w:r>
      <w:r w:rsidR="003C6587">
        <w:rPr>
          <w:lang w:val="lt-LT"/>
        </w:rPr>
        <w:t>(nuostolio)</w:t>
      </w:r>
      <w:r w:rsidR="00FE004C">
        <w:rPr>
          <w:lang w:val="lt-LT"/>
        </w:rPr>
        <w:t xml:space="preserve"> ataskaitų (žr. 5 priedą)</w:t>
      </w:r>
      <w:r w:rsidR="00520499" w:rsidRPr="00ED3D25">
        <w:rPr>
          <w:lang w:val="lt-LT"/>
        </w:rPr>
        <w:t xml:space="preserve"> finansinė analizė</w:t>
      </w:r>
      <w:r w:rsidR="00511A62">
        <w:rPr>
          <w:lang w:val="lt-LT"/>
        </w:rPr>
        <w:t xml:space="preserve">, o lentelėse pateikti </w:t>
      </w:r>
      <w:r w:rsidR="00764DBF">
        <w:rPr>
          <w:lang w:val="lt-LT"/>
        </w:rPr>
        <w:t>2008-2009 m.</w:t>
      </w:r>
      <w:r w:rsidR="000D2D78">
        <w:rPr>
          <w:lang w:val="lt-LT"/>
        </w:rPr>
        <w:t xml:space="preserve"> </w:t>
      </w:r>
      <w:r w:rsidR="00764DBF">
        <w:rPr>
          <w:lang w:val="lt-LT"/>
        </w:rPr>
        <w:t>finansiniai rodikliai</w:t>
      </w:r>
      <w:r w:rsidR="00511A62">
        <w:rPr>
          <w:lang w:val="lt-LT"/>
        </w:rPr>
        <w:t xml:space="preserve"> yra paryškinti (žr. 10 lentelę), nes tuo metu įmonė A įgyvendino įmonės modernizavimo darbus</w:t>
      </w:r>
      <w:r w:rsidR="00520499" w:rsidRPr="00ED3D25">
        <w:rPr>
          <w:lang w:val="lt-LT"/>
        </w:rPr>
        <w:t>.</w:t>
      </w:r>
      <w:r w:rsidR="00511A62">
        <w:rPr>
          <w:lang w:val="lt-LT"/>
        </w:rPr>
        <w:t xml:space="preserve"> Tad šis dviejų metų laikotarpis atskiria finansinius rodiklius prieš paramos gavimą ir po jo.</w:t>
      </w:r>
    </w:p>
    <w:p w:rsidR="00B36302" w:rsidRPr="00FE0D46" w:rsidRDefault="00417AFE" w:rsidP="00417AFE">
      <w:pPr>
        <w:spacing w:line="276" w:lineRule="auto"/>
        <w:jc w:val="left"/>
        <w:rPr>
          <w:lang w:val="lt-LT"/>
        </w:rPr>
      </w:pPr>
      <w:r>
        <w:rPr>
          <w:lang w:val="lt-LT"/>
        </w:rPr>
        <w:br w:type="page"/>
      </w:r>
    </w:p>
    <w:p w:rsidR="00B67A62" w:rsidRPr="00ED3D25" w:rsidRDefault="00E22853" w:rsidP="00F45AE3">
      <w:pPr>
        <w:spacing w:after="0"/>
        <w:jc w:val="right"/>
        <w:rPr>
          <w:b/>
          <w:bCs/>
          <w:szCs w:val="24"/>
          <w:lang w:val="lt-LT"/>
        </w:rPr>
      </w:pPr>
      <w:r w:rsidRPr="00ED3D25">
        <w:rPr>
          <w:b/>
          <w:bCs/>
          <w:szCs w:val="24"/>
          <w:lang w:val="lt-LT"/>
        </w:rPr>
        <w:lastRenderedPageBreak/>
        <w:t>10</w:t>
      </w:r>
      <w:r w:rsidR="00B67A62" w:rsidRPr="00ED3D25">
        <w:rPr>
          <w:b/>
          <w:bCs/>
          <w:szCs w:val="24"/>
          <w:lang w:val="lt-LT"/>
        </w:rPr>
        <w:t xml:space="preserve"> lentelė</w:t>
      </w:r>
    </w:p>
    <w:p w:rsidR="00B67A62" w:rsidRPr="00ED3D25" w:rsidRDefault="00757519" w:rsidP="00F45AE3">
      <w:pPr>
        <w:spacing w:after="0" w:line="240" w:lineRule="auto"/>
        <w:jc w:val="center"/>
        <w:rPr>
          <w:b/>
          <w:bCs/>
          <w:sz w:val="22"/>
          <w:lang w:val="lt-LT"/>
        </w:rPr>
      </w:pPr>
      <w:r w:rsidRPr="00ED3D25">
        <w:rPr>
          <w:b/>
          <w:bCs/>
          <w:sz w:val="22"/>
          <w:lang w:val="lt-LT"/>
        </w:rPr>
        <w:t>Įmonės A trumpalaikio turto likvidumo ir finansinio sverto</w:t>
      </w:r>
      <w:r w:rsidR="00B67A62" w:rsidRPr="00ED3D25">
        <w:rPr>
          <w:b/>
          <w:bCs/>
          <w:sz w:val="22"/>
          <w:lang w:val="lt-LT"/>
        </w:rPr>
        <w:t xml:space="preserve"> rodikliai</w:t>
      </w:r>
    </w:p>
    <w:p w:rsidR="00B67A62" w:rsidRPr="00ED3D25" w:rsidRDefault="00B67A62" w:rsidP="00F45AE3">
      <w:pPr>
        <w:spacing w:after="0" w:line="240" w:lineRule="auto"/>
        <w:jc w:val="center"/>
        <w:rPr>
          <w:b/>
          <w:bCs/>
          <w:sz w:val="22"/>
          <w:lang w:val="lt-LT"/>
        </w:rPr>
      </w:pPr>
    </w:p>
    <w:tbl>
      <w:tblPr>
        <w:tblStyle w:val="TableGrid"/>
        <w:tblW w:w="0" w:type="auto"/>
        <w:jc w:val="center"/>
        <w:tblLook w:val="04A0" w:firstRow="1" w:lastRow="0" w:firstColumn="1" w:lastColumn="0" w:noHBand="0" w:noVBand="1"/>
      </w:tblPr>
      <w:tblGrid>
        <w:gridCol w:w="1236"/>
        <w:gridCol w:w="1761"/>
        <w:gridCol w:w="1678"/>
        <w:gridCol w:w="1756"/>
        <w:gridCol w:w="2072"/>
        <w:gridCol w:w="1352"/>
      </w:tblGrid>
      <w:tr w:rsidR="00604392" w:rsidRPr="00ED3D25" w:rsidTr="00FD5C5E">
        <w:trPr>
          <w:jc w:val="center"/>
        </w:trPr>
        <w:tc>
          <w:tcPr>
            <w:tcW w:w="0" w:type="auto"/>
            <w:gridSpan w:val="3"/>
            <w:vAlign w:val="center"/>
          </w:tcPr>
          <w:p w:rsidR="00997E0F" w:rsidRPr="00ED3D25" w:rsidRDefault="00997E0F" w:rsidP="00FD5C5E">
            <w:pPr>
              <w:spacing w:line="240" w:lineRule="auto"/>
              <w:ind w:left="1540"/>
              <w:jc w:val="center"/>
              <w:rPr>
                <w:b/>
                <w:bCs/>
                <w:lang w:val="lt-LT"/>
              </w:rPr>
            </w:pPr>
            <w:r w:rsidRPr="00ED3D25">
              <w:rPr>
                <w:b/>
                <w:bCs/>
                <w:lang w:val="lt-LT"/>
              </w:rPr>
              <w:t>Trumpalaikio turto likvidumo rodikliai</w:t>
            </w:r>
          </w:p>
        </w:tc>
        <w:tc>
          <w:tcPr>
            <w:tcW w:w="0" w:type="auto"/>
            <w:gridSpan w:val="3"/>
            <w:vAlign w:val="center"/>
          </w:tcPr>
          <w:p w:rsidR="00997E0F" w:rsidRPr="00ED3D25" w:rsidRDefault="00997E0F" w:rsidP="00F45AE3">
            <w:pPr>
              <w:spacing w:line="240" w:lineRule="auto"/>
              <w:jc w:val="center"/>
              <w:rPr>
                <w:b/>
                <w:bCs/>
                <w:lang w:val="lt-LT"/>
              </w:rPr>
            </w:pPr>
            <w:r w:rsidRPr="00ED3D25">
              <w:rPr>
                <w:b/>
                <w:bCs/>
                <w:lang w:val="lt-LT"/>
              </w:rPr>
              <w:t>Finansinio sverto rodikliai</w:t>
            </w:r>
          </w:p>
        </w:tc>
      </w:tr>
      <w:tr w:rsidR="00604392" w:rsidRPr="00ED3D25" w:rsidTr="00FD5C5E">
        <w:trPr>
          <w:jc w:val="center"/>
        </w:trPr>
        <w:tc>
          <w:tcPr>
            <w:tcW w:w="1101" w:type="dxa"/>
            <w:tcBorders>
              <w:tl2br w:val="single" w:sz="4" w:space="0" w:color="auto"/>
            </w:tcBorders>
            <w:vAlign w:val="center"/>
          </w:tcPr>
          <w:p w:rsidR="00604392" w:rsidRDefault="00604392" w:rsidP="00604392">
            <w:pPr>
              <w:spacing w:line="240" w:lineRule="auto"/>
              <w:jc w:val="right"/>
              <w:rPr>
                <w:b/>
                <w:bCs/>
                <w:lang w:val="lt-LT"/>
              </w:rPr>
            </w:pPr>
            <w:r w:rsidRPr="00ED3D25">
              <w:rPr>
                <w:b/>
                <w:bCs/>
                <w:lang w:val="lt-LT"/>
              </w:rPr>
              <w:t>Rodiklis</w:t>
            </w:r>
          </w:p>
          <w:p w:rsidR="00604392" w:rsidRDefault="00604392" w:rsidP="00F45AE3">
            <w:pPr>
              <w:spacing w:line="240" w:lineRule="auto"/>
              <w:jc w:val="center"/>
              <w:rPr>
                <w:b/>
                <w:bCs/>
                <w:lang w:val="lt-LT"/>
              </w:rPr>
            </w:pPr>
          </w:p>
          <w:p w:rsidR="00604392" w:rsidRPr="00ED3D25" w:rsidRDefault="00604392" w:rsidP="00604392">
            <w:pPr>
              <w:spacing w:line="240" w:lineRule="auto"/>
              <w:jc w:val="left"/>
              <w:rPr>
                <w:b/>
                <w:bCs/>
                <w:lang w:val="lt-LT"/>
              </w:rPr>
            </w:pPr>
            <w:r>
              <w:rPr>
                <w:b/>
                <w:bCs/>
                <w:lang w:val="lt-LT"/>
              </w:rPr>
              <w:t>Metai</w:t>
            </w:r>
          </w:p>
        </w:tc>
        <w:tc>
          <w:tcPr>
            <w:tcW w:w="1570" w:type="dxa"/>
            <w:vAlign w:val="center"/>
          </w:tcPr>
          <w:p w:rsidR="00604392" w:rsidRPr="00ED3D25" w:rsidRDefault="00604392" w:rsidP="00F45AE3">
            <w:pPr>
              <w:spacing w:line="240" w:lineRule="auto"/>
              <w:jc w:val="center"/>
              <w:rPr>
                <w:b/>
                <w:bCs/>
                <w:lang w:val="lt-LT"/>
              </w:rPr>
            </w:pPr>
            <w:r w:rsidRPr="00ED3D25">
              <w:rPr>
                <w:b/>
                <w:bCs/>
                <w:lang w:val="lt-LT"/>
              </w:rPr>
              <w:t>Einamasis likvidumas</w:t>
            </w:r>
          </w:p>
        </w:tc>
        <w:tc>
          <w:tcPr>
            <w:tcW w:w="0" w:type="auto"/>
            <w:vAlign w:val="center"/>
          </w:tcPr>
          <w:p w:rsidR="00604392" w:rsidRPr="00ED3D25" w:rsidRDefault="00604392" w:rsidP="00F45AE3">
            <w:pPr>
              <w:spacing w:line="240" w:lineRule="auto"/>
              <w:jc w:val="center"/>
              <w:rPr>
                <w:b/>
                <w:bCs/>
                <w:lang w:val="lt-LT"/>
              </w:rPr>
            </w:pPr>
            <w:r w:rsidRPr="00ED3D25">
              <w:rPr>
                <w:b/>
                <w:bCs/>
                <w:lang w:val="lt-LT"/>
              </w:rPr>
              <w:t>Absoliutus likvidumas</w:t>
            </w:r>
          </w:p>
        </w:tc>
        <w:tc>
          <w:tcPr>
            <w:tcW w:w="0" w:type="auto"/>
            <w:vAlign w:val="center"/>
          </w:tcPr>
          <w:p w:rsidR="00604392" w:rsidRPr="00ED3D25" w:rsidRDefault="00604392" w:rsidP="00F45AE3">
            <w:pPr>
              <w:spacing w:line="240" w:lineRule="auto"/>
              <w:jc w:val="center"/>
              <w:rPr>
                <w:b/>
                <w:bCs/>
                <w:lang w:val="lt-LT"/>
              </w:rPr>
            </w:pPr>
            <w:r>
              <w:rPr>
                <w:rFonts w:asciiTheme="majorBidi" w:hAnsiTheme="majorBidi" w:cstheme="majorBidi"/>
                <w:b/>
                <w:bCs/>
                <w:lang w:val="lt-LT"/>
              </w:rPr>
              <w:t>Įsiskolinimo koeficientas</w:t>
            </w:r>
          </w:p>
        </w:tc>
        <w:tc>
          <w:tcPr>
            <w:tcW w:w="0" w:type="auto"/>
            <w:vAlign w:val="center"/>
          </w:tcPr>
          <w:p w:rsidR="00604392" w:rsidRPr="00ED3D25" w:rsidRDefault="00604392" w:rsidP="00F45AE3">
            <w:pPr>
              <w:spacing w:line="240" w:lineRule="auto"/>
              <w:jc w:val="center"/>
              <w:rPr>
                <w:rFonts w:asciiTheme="majorBidi" w:hAnsiTheme="majorBidi" w:cstheme="majorBidi"/>
                <w:b/>
                <w:bCs/>
                <w:lang w:val="lt-LT"/>
              </w:rPr>
            </w:pPr>
            <w:r w:rsidRPr="00ED3D25">
              <w:rPr>
                <w:rFonts w:asciiTheme="majorBidi" w:hAnsiTheme="majorBidi" w:cstheme="majorBidi"/>
                <w:b/>
                <w:bCs/>
                <w:lang w:val="lt-LT"/>
              </w:rPr>
              <w:t>Įsipareigojimų ir NK santykis</w:t>
            </w:r>
          </w:p>
        </w:tc>
        <w:tc>
          <w:tcPr>
            <w:tcW w:w="0" w:type="auto"/>
            <w:vAlign w:val="center"/>
          </w:tcPr>
          <w:p w:rsidR="00604392" w:rsidRPr="00ED3D25" w:rsidRDefault="00604392" w:rsidP="00F45AE3">
            <w:pPr>
              <w:spacing w:line="240" w:lineRule="auto"/>
              <w:jc w:val="center"/>
              <w:rPr>
                <w:rFonts w:asciiTheme="majorBidi" w:hAnsiTheme="majorBidi" w:cstheme="majorBidi"/>
                <w:b/>
                <w:bCs/>
                <w:lang w:val="lt-LT"/>
              </w:rPr>
            </w:pPr>
            <w:r w:rsidRPr="00ED3D25">
              <w:rPr>
                <w:rFonts w:asciiTheme="majorBidi" w:hAnsiTheme="majorBidi" w:cstheme="majorBidi"/>
                <w:b/>
                <w:bCs/>
                <w:lang w:val="lt-LT"/>
              </w:rPr>
              <w:t>Turto ir NK santykis</w:t>
            </w:r>
          </w:p>
        </w:tc>
      </w:tr>
      <w:tr w:rsidR="00604392" w:rsidRPr="00ED3D25" w:rsidTr="00603F6C">
        <w:trPr>
          <w:jc w:val="center"/>
        </w:trPr>
        <w:tc>
          <w:tcPr>
            <w:tcW w:w="1101" w:type="dxa"/>
            <w:vAlign w:val="center"/>
          </w:tcPr>
          <w:p w:rsidR="00604392" w:rsidRPr="00ED3D25" w:rsidRDefault="00604392" w:rsidP="00604392">
            <w:pPr>
              <w:spacing w:line="240" w:lineRule="auto"/>
              <w:jc w:val="left"/>
              <w:rPr>
                <w:b/>
                <w:bCs/>
                <w:lang w:val="lt-LT"/>
              </w:rPr>
            </w:pPr>
            <w:r w:rsidRPr="00ED3D25">
              <w:rPr>
                <w:b/>
                <w:bCs/>
                <w:lang w:val="lt-LT"/>
              </w:rPr>
              <w:t>2007 m.</w:t>
            </w:r>
          </w:p>
        </w:tc>
        <w:tc>
          <w:tcPr>
            <w:tcW w:w="1570" w:type="dxa"/>
            <w:tcBorders>
              <w:bottom w:val="single" w:sz="4" w:space="0" w:color="auto"/>
            </w:tcBorders>
            <w:vAlign w:val="center"/>
          </w:tcPr>
          <w:p w:rsidR="00604392" w:rsidRPr="00ED3D25" w:rsidRDefault="00604392" w:rsidP="00F45AE3">
            <w:pPr>
              <w:spacing w:line="240" w:lineRule="auto"/>
              <w:jc w:val="center"/>
              <w:rPr>
                <w:lang w:val="lt-LT"/>
              </w:rPr>
            </w:pPr>
            <w:r w:rsidRPr="00ED3D25">
              <w:rPr>
                <w:lang w:val="lt-LT"/>
              </w:rPr>
              <w:t>2,7358</w:t>
            </w:r>
          </w:p>
        </w:tc>
        <w:tc>
          <w:tcPr>
            <w:tcW w:w="0" w:type="auto"/>
            <w:tcBorders>
              <w:bottom w:val="single" w:sz="4" w:space="0" w:color="auto"/>
            </w:tcBorders>
            <w:vAlign w:val="center"/>
          </w:tcPr>
          <w:p w:rsidR="00604392" w:rsidRPr="00ED3D25" w:rsidRDefault="00604392" w:rsidP="00F45AE3">
            <w:pPr>
              <w:spacing w:line="240" w:lineRule="auto"/>
              <w:jc w:val="center"/>
              <w:rPr>
                <w:lang w:val="lt-LT"/>
              </w:rPr>
            </w:pPr>
            <w:r w:rsidRPr="00ED3D25">
              <w:rPr>
                <w:lang w:val="lt-LT"/>
              </w:rPr>
              <w:t>1,0789</w:t>
            </w:r>
          </w:p>
        </w:tc>
        <w:tc>
          <w:tcPr>
            <w:tcW w:w="0" w:type="auto"/>
            <w:tcBorders>
              <w:bottom w:val="single" w:sz="4" w:space="0" w:color="auto"/>
            </w:tcBorders>
            <w:vAlign w:val="center"/>
          </w:tcPr>
          <w:p w:rsidR="00604392" w:rsidRPr="006B20C1" w:rsidRDefault="00604392" w:rsidP="00F45AE3">
            <w:pPr>
              <w:spacing w:line="240" w:lineRule="auto"/>
              <w:jc w:val="center"/>
              <w:rPr>
                <w:lang w:val="en-US"/>
              </w:rPr>
            </w:pPr>
            <w:r>
              <w:rPr>
                <w:lang w:val="en-US"/>
              </w:rPr>
              <w:t>0,2471</w:t>
            </w:r>
          </w:p>
        </w:tc>
        <w:tc>
          <w:tcPr>
            <w:tcW w:w="0" w:type="auto"/>
            <w:tcBorders>
              <w:bottom w:val="single" w:sz="4" w:space="0" w:color="auto"/>
            </w:tcBorders>
            <w:vAlign w:val="center"/>
          </w:tcPr>
          <w:p w:rsidR="00604392" w:rsidRPr="00ED3D25" w:rsidRDefault="00604392" w:rsidP="00F45AE3">
            <w:pPr>
              <w:spacing w:line="240" w:lineRule="auto"/>
              <w:jc w:val="center"/>
              <w:rPr>
                <w:lang w:val="lt-LT"/>
              </w:rPr>
            </w:pPr>
            <w:r w:rsidRPr="00ED3D25">
              <w:rPr>
                <w:lang w:val="lt-LT"/>
              </w:rPr>
              <w:t>0,3281</w:t>
            </w:r>
          </w:p>
        </w:tc>
        <w:tc>
          <w:tcPr>
            <w:tcW w:w="0" w:type="auto"/>
            <w:tcBorders>
              <w:bottom w:val="single" w:sz="4" w:space="0" w:color="auto"/>
            </w:tcBorders>
            <w:vAlign w:val="center"/>
          </w:tcPr>
          <w:p w:rsidR="00604392" w:rsidRPr="00ED3D25" w:rsidRDefault="00604392" w:rsidP="00F45AE3">
            <w:pPr>
              <w:spacing w:line="240" w:lineRule="auto"/>
              <w:jc w:val="center"/>
              <w:rPr>
                <w:lang w:val="lt-LT"/>
              </w:rPr>
            </w:pPr>
            <w:r w:rsidRPr="00ED3D25">
              <w:rPr>
                <w:lang w:val="lt-LT"/>
              </w:rPr>
              <w:t>1,3281</w:t>
            </w:r>
          </w:p>
        </w:tc>
      </w:tr>
      <w:tr w:rsidR="00604392" w:rsidRPr="00ED3D25" w:rsidTr="00B36302">
        <w:trPr>
          <w:jc w:val="center"/>
        </w:trPr>
        <w:tc>
          <w:tcPr>
            <w:tcW w:w="1101" w:type="dxa"/>
            <w:vAlign w:val="center"/>
          </w:tcPr>
          <w:p w:rsidR="00604392" w:rsidRPr="00ED3D25" w:rsidRDefault="00604392" w:rsidP="00604392">
            <w:pPr>
              <w:spacing w:line="240" w:lineRule="auto"/>
              <w:jc w:val="left"/>
              <w:rPr>
                <w:b/>
                <w:bCs/>
                <w:lang w:val="lt-LT"/>
              </w:rPr>
            </w:pPr>
            <w:r w:rsidRPr="00ED3D25">
              <w:rPr>
                <w:b/>
                <w:bCs/>
                <w:lang w:val="lt-LT"/>
              </w:rPr>
              <w:t>2008 m.</w:t>
            </w:r>
          </w:p>
        </w:tc>
        <w:tc>
          <w:tcPr>
            <w:tcW w:w="1570" w:type="dxa"/>
            <w:tcBorders>
              <w:top w:val="single" w:sz="4" w:space="0" w:color="auto"/>
            </w:tcBorders>
            <w:shd w:val="clear" w:color="auto" w:fill="BFBFBF" w:themeFill="background1" w:themeFillShade="BF"/>
            <w:vAlign w:val="center"/>
          </w:tcPr>
          <w:p w:rsidR="00604392" w:rsidRPr="00ED3D25" w:rsidRDefault="00604392" w:rsidP="00F45AE3">
            <w:pPr>
              <w:spacing w:line="240" w:lineRule="auto"/>
              <w:jc w:val="center"/>
              <w:rPr>
                <w:lang w:val="lt-LT"/>
              </w:rPr>
            </w:pPr>
            <w:r w:rsidRPr="00ED3D25">
              <w:rPr>
                <w:lang w:val="lt-LT"/>
              </w:rPr>
              <w:t>3,2316</w:t>
            </w:r>
          </w:p>
        </w:tc>
        <w:tc>
          <w:tcPr>
            <w:tcW w:w="0" w:type="auto"/>
            <w:tcBorders>
              <w:top w:val="single" w:sz="4" w:space="0" w:color="auto"/>
            </w:tcBorders>
            <w:shd w:val="clear" w:color="auto" w:fill="BFBFBF" w:themeFill="background1" w:themeFillShade="BF"/>
            <w:vAlign w:val="center"/>
          </w:tcPr>
          <w:p w:rsidR="00604392" w:rsidRPr="00ED3D25" w:rsidRDefault="00604392" w:rsidP="00F45AE3">
            <w:pPr>
              <w:spacing w:line="240" w:lineRule="auto"/>
              <w:jc w:val="center"/>
              <w:rPr>
                <w:lang w:val="lt-LT"/>
              </w:rPr>
            </w:pPr>
            <w:r w:rsidRPr="00ED3D25">
              <w:rPr>
                <w:lang w:val="lt-LT"/>
              </w:rPr>
              <w:t>1,2451</w:t>
            </w:r>
          </w:p>
        </w:tc>
        <w:tc>
          <w:tcPr>
            <w:tcW w:w="0" w:type="auto"/>
            <w:tcBorders>
              <w:top w:val="single" w:sz="4" w:space="0" w:color="auto"/>
            </w:tcBorders>
            <w:shd w:val="clear" w:color="auto" w:fill="BFBFBF" w:themeFill="background1" w:themeFillShade="BF"/>
            <w:vAlign w:val="center"/>
          </w:tcPr>
          <w:p w:rsidR="00604392" w:rsidRPr="00ED3D25" w:rsidRDefault="00604392" w:rsidP="00F45AE3">
            <w:pPr>
              <w:spacing w:line="240" w:lineRule="auto"/>
              <w:jc w:val="center"/>
              <w:rPr>
                <w:lang w:val="lt-LT"/>
              </w:rPr>
            </w:pPr>
            <w:r>
              <w:rPr>
                <w:lang w:val="lt-LT"/>
              </w:rPr>
              <w:t>0,1543</w:t>
            </w:r>
          </w:p>
        </w:tc>
        <w:tc>
          <w:tcPr>
            <w:tcW w:w="0" w:type="auto"/>
            <w:tcBorders>
              <w:top w:val="single" w:sz="4" w:space="0" w:color="auto"/>
            </w:tcBorders>
            <w:shd w:val="clear" w:color="auto" w:fill="BFBFBF" w:themeFill="background1" w:themeFillShade="BF"/>
            <w:vAlign w:val="center"/>
          </w:tcPr>
          <w:p w:rsidR="00604392" w:rsidRPr="00ED3D25" w:rsidRDefault="00604392" w:rsidP="00F45AE3">
            <w:pPr>
              <w:spacing w:line="240" w:lineRule="auto"/>
              <w:jc w:val="center"/>
              <w:rPr>
                <w:lang w:val="lt-LT"/>
              </w:rPr>
            </w:pPr>
            <w:r w:rsidRPr="00ED3D25">
              <w:rPr>
                <w:lang w:val="lt-LT"/>
              </w:rPr>
              <w:t>0,1825</w:t>
            </w:r>
          </w:p>
        </w:tc>
        <w:tc>
          <w:tcPr>
            <w:tcW w:w="0" w:type="auto"/>
            <w:tcBorders>
              <w:top w:val="single" w:sz="4" w:space="0" w:color="auto"/>
            </w:tcBorders>
            <w:shd w:val="clear" w:color="auto" w:fill="BFBFBF" w:themeFill="background1" w:themeFillShade="BF"/>
            <w:vAlign w:val="center"/>
          </w:tcPr>
          <w:p w:rsidR="00604392" w:rsidRPr="00ED3D25" w:rsidRDefault="00604392" w:rsidP="00F45AE3">
            <w:pPr>
              <w:spacing w:line="240" w:lineRule="auto"/>
              <w:jc w:val="center"/>
              <w:rPr>
                <w:lang w:val="lt-LT"/>
              </w:rPr>
            </w:pPr>
            <w:r w:rsidRPr="00ED3D25">
              <w:rPr>
                <w:lang w:val="lt-LT"/>
              </w:rPr>
              <w:t>1,1825</w:t>
            </w:r>
          </w:p>
        </w:tc>
      </w:tr>
      <w:tr w:rsidR="00604392" w:rsidRPr="00ED3D25" w:rsidTr="00B36302">
        <w:trPr>
          <w:jc w:val="center"/>
        </w:trPr>
        <w:tc>
          <w:tcPr>
            <w:tcW w:w="1101" w:type="dxa"/>
            <w:vAlign w:val="center"/>
          </w:tcPr>
          <w:p w:rsidR="00604392" w:rsidRPr="00ED3D25" w:rsidRDefault="00604392" w:rsidP="00604392">
            <w:pPr>
              <w:spacing w:line="240" w:lineRule="auto"/>
              <w:jc w:val="left"/>
              <w:rPr>
                <w:b/>
                <w:bCs/>
                <w:lang w:val="lt-LT"/>
              </w:rPr>
            </w:pPr>
            <w:r w:rsidRPr="00ED3D25">
              <w:rPr>
                <w:b/>
                <w:bCs/>
                <w:lang w:val="lt-LT"/>
              </w:rPr>
              <w:t>2009 m.</w:t>
            </w:r>
          </w:p>
        </w:tc>
        <w:tc>
          <w:tcPr>
            <w:tcW w:w="1570" w:type="dxa"/>
            <w:tcBorders>
              <w:bottom w:val="single" w:sz="4" w:space="0" w:color="auto"/>
            </w:tcBorders>
            <w:shd w:val="clear" w:color="auto" w:fill="BFBFBF" w:themeFill="background1" w:themeFillShade="BF"/>
            <w:vAlign w:val="center"/>
          </w:tcPr>
          <w:p w:rsidR="00604392" w:rsidRPr="00ED3D25" w:rsidRDefault="00604392" w:rsidP="00F45AE3">
            <w:pPr>
              <w:spacing w:line="240" w:lineRule="auto"/>
              <w:jc w:val="center"/>
              <w:rPr>
                <w:lang w:val="lt-LT"/>
              </w:rPr>
            </w:pPr>
            <w:r w:rsidRPr="00ED3D25">
              <w:rPr>
                <w:lang w:val="lt-LT"/>
              </w:rPr>
              <w:t>3,2644</w:t>
            </w:r>
          </w:p>
        </w:tc>
        <w:tc>
          <w:tcPr>
            <w:tcW w:w="0" w:type="auto"/>
            <w:tcBorders>
              <w:bottom w:val="single" w:sz="4" w:space="0" w:color="auto"/>
            </w:tcBorders>
            <w:shd w:val="clear" w:color="auto" w:fill="BFBFBF" w:themeFill="background1" w:themeFillShade="BF"/>
            <w:vAlign w:val="center"/>
          </w:tcPr>
          <w:p w:rsidR="00604392" w:rsidRPr="00ED3D25" w:rsidRDefault="00604392" w:rsidP="00F45AE3">
            <w:pPr>
              <w:spacing w:line="240" w:lineRule="auto"/>
              <w:jc w:val="center"/>
              <w:rPr>
                <w:lang w:val="lt-LT"/>
              </w:rPr>
            </w:pPr>
            <w:r w:rsidRPr="00ED3D25">
              <w:rPr>
                <w:lang w:val="lt-LT"/>
              </w:rPr>
              <w:t>0,4299</w:t>
            </w:r>
          </w:p>
        </w:tc>
        <w:tc>
          <w:tcPr>
            <w:tcW w:w="0" w:type="auto"/>
            <w:tcBorders>
              <w:bottom w:val="single" w:sz="4" w:space="0" w:color="auto"/>
            </w:tcBorders>
            <w:shd w:val="clear" w:color="auto" w:fill="BFBFBF" w:themeFill="background1" w:themeFillShade="BF"/>
            <w:vAlign w:val="center"/>
          </w:tcPr>
          <w:p w:rsidR="00604392" w:rsidRPr="00ED3D25" w:rsidRDefault="00604392" w:rsidP="00F45AE3">
            <w:pPr>
              <w:spacing w:line="240" w:lineRule="auto"/>
              <w:jc w:val="center"/>
              <w:rPr>
                <w:lang w:val="lt-LT"/>
              </w:rPr>
            </w:pPr>
            <w:r>
              <w:rPr>
                <w:lang w:val="lt-LT"/>
              </w:rPr>
              <w:t>0,1232</w:t>
            </w:r>
          </w:p>
        </w:tc>
        <w:tc>
          <w:tcPr>
            <w:tcW w:w="0" w:type="auto"/>
            <w:tcBorders>
              <w:bottom w:val="single" w:sz="4" w:space="0" w:color="auto"/>
            </w:tcBorders>
            <w:shd w:val="clear" w:color="auto" w:fill="BFBFBF" w:themeFill="background1" w:themeFillShade="BF"/>
            <w:vAlign w:val="center"/>
          </w:tcPr>
          <w:p w:rsidR="00604392" w:rsidRPr="00ED3D25" w:rsidRDefault="00604392" w:rsidP="00F45AE3">
            <w:pPr>
              <w:spacing w:line="240" w:lineRule="auto"/>
              <w:jc w:val="center"/>
              <w:rPr>
                <w:lang w:val="lt-LT"/>
              </w:rPr>
            </w:pPr>
            <w:r w:rsidRPr="00ED3D25">
              <w:rPr>
                <w:lang w:val="lt-LT"/>
              </w:rPr>
              <w:t>0,1405</w:t>
            </w:r>
          </w:p>
        </w:tc>
        <w:tc>
          <w:tcPr>
            <w:tcW w:w="0" w:type="auto"/>
            <w:tcBorders>
              <w:bottom w:val="single" w:sz="4" w:space="0" w:color="auto"/>
            </w:tcBorders>
            <w:shd w:val="clear" w:color="auto" w:fill="BFBFBF" w:themeFill="background1" w:themeFillShade="BF"/>
            <w:vAlign w:val="center"/>
          </w:tcPr>
          <w:p w:rsidR="00604392" w:rsidRPr="00ED3D25" w:rsidRDefault="00604392" w:rsidP="00F45AE3">
            <w:pPr>
              <w:spacing w:line="240" w:lineRule="auto"/>
              <w:jc w:val="center"/>
              <w:rPr>
                <w:lang w:val="lt-LT"/>
              </w:rPr>
            </w:pPr>
            <w:r w:rsidRPr="00ED3D25">
              <w:rPr>
                <w:lang w:val="lt-LT"/>
              </w:rPr>
              <w:t>1,1405</w:t>
            </w:r>
          </w:p>
        </w:tc>
      </w:tr>
      <w:tr w:rsidR="00604392" w:rsidRPr="00ED3D25" w:rsidTr="00B36302">
        <w:trPr>
          <w:jc w:val="center"/>
        </w:trPr>
        <w:tc>
          <w:tcPr>
            <w:tcW w:w="1101" w:type="dxa"/>
            <w:vAlign w:val="center"/>
          </w:tcPr>
          <w:p w:rsidR="00604392" w:rsidRPr="00ED3D25" w:rsidRDefault="00604392" w:rsidP="00604392">
            <w:pPr>
              <w:spacing w:line="240" w:lineRule="auto"/>
              <w:jc w:val="left"/>
              <w:rPr>
                <w:b/>
                <w:bCs/>
                <w:lang w:val="lt-LT"/>
              </w:rPr>
            </w:pPr>
            <w:r w:rsidRPr="00ED3D25">
              <w:rPr>
                <w:b/>
                <w:bCs/>
                <w:lang w:val="lt-LT"/>
              </w:rPr>
              <w:t>2010 m.</w:t>
            </w:r>
          </w:p>
        </w:tc>
        <w:tc>
          <w:tcPr>
            <w:tcW w:w="1570" w:type="dxa"/>
            <w:tcBorders>
              <w:top w:val="single" w:sz="4" w:space="0" w:color="auto"/>
            </w:tcBorders>
            <w:vAlign w:val="center"/>
          </w:tcPr>
          <w:p w:rsidR="00604392" w:rsidRPr="00ED3D25" w:rsidRDefault="00604392" w:rsidP="00F45AE3">
            <w:pPr>
              <w:spacing w:line="240" w:lineRule="auto"/>
              <w:jc w:val="center"/>
              <w:rPr>
                <w:lang w:val="lt-LT"/>
              </w:rPr>
            </w:pPr>
            <w:r w:rsidRPr="00ED3D25">
              <w:rPr>
                <w:lang w:val="lt-LT"/>
              </w:rPr>
              <w:t>2,1952</w:t>
            </w:r>
          </w:p>
        </w:tc>
        <w:tc>
          <w:tcPr>
            <w:tcW w:w="0" w:type="auto"/>
            <w:tcBorders>
              <w:top w:val="single" w:sz="4" w:space="0" w:color="auto"/>
            </w:tcBorders>
            <w:vAlign w:val="center"/>
          </w:tcPr>
          <w:p w:rsidR="00604392" w:rsidRPr="00ED3D25" w:rsidRDefault="00604392" w:rsidP="00F45AE3">
            <w:pPr>
              <w:spacing w:line="240" w:lineRule="auto"/>
              <w:jc w:val="center"/>
              <w:rPr>
                <w:lang w:val="lt-LT"/>
              </w:rPr>
            </w:pPr>
            <w:r w:rsidRPr="00ED3D25">
              <w:rPr>
                <w:lang w:val="lt-LT"/>
              </w:rPr>
              <w:t>0,2929</w:t>
            </w:r>
          </w:p>
        </w:tc>
        <w:tc>
          <w:tcPr>
            <w:tcW w:w="0" w:type="auto"/>
            <w:tcBorders>
              <w:top w:val="single" w:sz="4" w:space="0" w:color="auto"/>
            </w:tcBorders>
            <w:vAlign w:val="center"/>
          </w:tcPr>
          <w:p w:rsidR="00604392" w:rsidRPr="00ED3D25" w:rsidRDefault="00604392" w:rsidP="00F45AE3">
            <w:pPr>
              <w:spacing w:line="240" w:lineRule="auto"/>
              <w:jc w:val="center"/>
              <w:rPr>
                <w:lang w:val="lt-LT"/>
              </w:rPr>
            </w:pPr>
            <w:r>
              <w:rPr>
                <w:lang w:val="lt-LT"/>
              </w:rPr>
              <w:t>0,2458</w:t>
            </w:r>
          </w:p>
        </w:tc>
        <w:tc>
          <w:tcPr>
            <w:tcW w:w="0" w:type="auto"/>
            <w:tcBorders>
              <w:top w:val="single" w:sz="4" w:space="0" w:color="auto"/>
            </w:tcBorders>
            <w:vAlign w:val="center"/>
          </w:tcPr>
          <w:p w:rsidR="00604392" w:rsidRPr="00ED3D25" w:rsidRDefault="00604392" w:rsidP="00F45AE3">
            <w:pPr>
              <w:spacing w:line="240" w:lineRule="auto"/>
              <w:jc w:val="center"/>
              <w:rPr>
                <w:lang w:val="lt-LT"/>
              </w:rPr>
            </w:pPr>
            <w:r w:rsidRPr="00ED3D25">
              <w:rPr>
                <w:lang w:val="lt-LT"/>
              </w:rPr>
              <w:t>0,3575</w:t>
            </w:r>
          </w:p>
        </w:tc>
        <w:tc>
          <w:tcPr>
            <w:tcW w:w="0" w:type="auto"/>
            <w:tcBorders>
              <w:top w:val="single" w:sz="4" w:space="0" w:color="auto"/>
            </w:tcBorders>
            <w:vAlign w:val="center"/>
          </w:tcPr>
          <w:p w:rsidR="00604392" w:rsidRPr="00ED3D25" w:rsidRDefault="00604392" w:rsidP="00F45AE3">
            <w:pPr>
              <w:spacing w:line="240" w:lineRule="auto"/>
              <w:jc w:val="center"/>
              <w:rPr>
                <w:lang w:val="lt-LT"/>
              </w:rPr>
            </w:pPr>
            <w:r w:rsidRPr="00ED3D25">
              <w:rPr>
                <w:lang w:val="lt-LT"/>
              </w:rPr>
              <w:t>1,3575</w:t>
            </w:r>
          </w:p>
        </w:tc>
      </w:tr>
      <w:tr w:rsidR="00604392" w:rsidRPr="00ED3D25" w:rsidTr="00FD5C5E">
        <w:trPr>
          <w:jc w:val="center"/>
        </w:trPr>
        <w:tc>
          <w:tcPr>
            <w:tcW w:w="1101" w:type="dxa"/>
            <w:vAlign w:val="center"/>
          </w:tcPr>
          <w:p w:rsidR="00604392" w:rsidRPr="00ED3D25" w:rsidRDefault="00604392" w:rsidP="00604392">
            <w:pPr>
              <w:spacing w:line="240" w:lineRule="auto"/>
              <w:jc w:val="left"/>
              <w:rPr>
                <w:b/>
                <w:bCs/>
                <w:lang w:val="lt-LT"/>
              </w:rPr>
            </w:pPr>
            <w:r w:rsidRPr="00ED3D25">
              <w:rPr>
                <w:b/>
                <w:bCs/>
                <w:lang w:val="lt-LT"/>
              </w:rPr>
              <w:t>2011 m.</w:t>
            </w:r>
          </w:p>
        </w:tc>
        <w:tc>
          <w:tcPr>
            <w:tcW w:w="1570" w:type="dxa"/>
            <w:vAlign w:val="center"/>
          </w:tcPr>
          <w:p w:rsidR="00604392" w:rsidRPr="00ED3D25" w:rsidRDefault="00604392" w:rsidP="00F45AE3">
            <w:pPr>
              <w:spacing w:line="240" w:lineRule="auto"/>
              <w:jc w:val="center"/>
              <w:rPr>
                <w:lang w:val="lt-LT"/>
              </w:rPr>
            </w:pPr>
            <w:r w:rsidRPr="00ED3D25">
              <w:rPr>
                <w:lang w:val="lt-LT"/>
              </w:rPr>
              <w:t>0,9446</w:t>
            </w:r>
          </w:p>
        </w:tc>
        <w:tc>
          <w:tcPr>
            <w:tcW w:w="0" w:type="auto"/>
            <w:vAlign w:val="center"/>
          </w:tcPr>
          <w:p w:rsidR="00604392" w:rsidRPr="00ED3D25" w:rsidRDefault="00604392" w:rsidP="00F45AE3">
            <w:pPr>
              <w:spacing w:line="240" w:lineRule="auto"/>
              <w:jc w:val="center"/>
              <w:rPr>
                <w:lang w:val="lt-LT"/>
              </w:rPr>
            </w:pPr>
            <w:r w:rsidRPr="00ED3D25">
              <w:rPr>
                <w:lang w:val="lt-LT"/>
              </w:rPr>
              <w:t>0,2642</w:t>
            </w:r>
          </w:p>
        </w:tc>
        <w:tc>
          <w:tcPr>
            <w:tcW w:w="0" w:type="auto"/>
            <w:vAlign w:val="center"/>
          </w:tcPr>
          <w:p w:rsidR="00604392" w:rsidRPr="00ED3D25" w:rsidRDefault="00604392" w:rsidP="00F45AE3">
            <w:pPr>
              <w:spacing w:line="240" w:lineRule="auto"/>
              <w:jc w:val="center"/>
              <w:rPr>
                <w:lang w:val="lt-LT"/>
              </w:rPr>
            </w:pPr>
            <w:r>
              <w:rPr>
                <w:lang w:val="lt-LT"/>
              </w:rPr>
              <w:t>0,4595</w:t>
            </w:r>
          </w:p>
        </w:tc>
        <w:tc>
          <w:tcPr>
            <w:tcW w:w="0" w:type="auto"/>
            <w:vAlign w:val="center"/>
          </w:tcPr>
          <w:p w:rsidR="00604392" w:rsidRPr="00ED3D25" w:rsidRDefault="00C75ADF" w:rsidP="00F45AE3">
            <w:pPr>
              <w:spacing w:line="240" w:lineRule="auto"/>
              <w:jc w:val="center"/>
              <w:rPr>
                <w:lang w:val="lt-LT"/>
              </w:rPr>
            </w:pPr>
            <w:r>
              <w:rPr>
                <w:lang w:val="lt-LT"/>
              </w:rPr>
              <w:t>1,7539</w:t>
            </w:r>
          </w:p>
        </w:tc>
        <w:tc>
          <w:tcPr>
            <w:tcW w:w="0" w:type="auto"/>
            <w:vAlign w:val="center"/>
          </w:tcPr>
          <w:p w:rsidR="00604392" w:rsidRPr="00ED3D25" w:rsidRDefault="00604392" w:rsidP="00F45AE3">
            <w:pPr>
              <w:spacing w:line="240" w:lineRule="auto"/>
              <w:jc w:val="center"/>
              <w:rPr>
                <w:lang w:val="lt-LT"/>
              </w:rPr>
            </w:pPr>
            <w:r w:rsidRPr="00ED3D25">
              <w:rPr>
                <w:lang w:val="lt-LT"/>
              </w:rPr>
              <w:t>3,8172</w:t>
            </w:r>
          </w:p>
        </w:tc>
      </w:tr>
      <w:tr w:rsidR="00604392" w:rsidRPr="00ED3D25" w:rsidTr="00FD5C5E">
        <w:trPr>
          <w:jc w:val="center"/>
        </w:trPr>
        <w:tc>
          <w:tcPr>
            <w:tcW w:w="1101" w:type="dxa"/>
            <w:vAlign w:val="center"/>
          </w:tcPr>
          <w:p w:rsidR="00604392" w:rsidRPr="00ED3D25" w:rsidRDefault="00604392" w:rsidP="00604392">
            <w:pPr>
              <w:spacing w:line="240" w:lineRule="auto"/>
              <w:jc w:val="left"/>
              <w:rPr>
                <w:b/>
                <w:bCs/>
                <w:lang w:val="lt-LT"/>
              </w:rPr>
            </w:pPr>
            <w:r w:rsidRPr="00ED3D25">
              <w:rPr>
                <w:b/>
                <w:bCs/>
                <w:lang w:val="lt-LT"/>
              </w:rPr>
              <w:t>2012 m.</w:t>
            </w:r>
          </w:p>
        </w:tc>
        <w:tc>
          <w:tcPr>
            <w:tcW w:w="1570" w:type="dxa"/>
            <w:vAlign w:val="center"/>
          </w:tcPr>
          <w:p w:rsidR="00604392" w:rsidRPr="00ED3D25" w:rsidRDefault="00604392" w:rsidP="00F45AE3">
            <w:pPr>
              <w:spacing w:line="240" w:lineRule="auto"/>
              <w:jc w:val="center"/>
              <w:rPr>
                <w:lang w:val="lt-LT"/>
              </w:rPr>
            </w:pPr>
            <w:r w:rsidRPr="00ED3D25">
              <w:rPr>
                <w:lang w:val="lt-LT"/>
              </w:rPr>
              <w:t>1,3038</w:t>
            </w:r>
          </w:p>
        </w:tc>
        <w:tc>
          <w:tcPr>
            <w:tcW w:w="0" w:type="auto"/>
            <w:vAlign w:val="center"/>
          </w:tcPr>
          <w:p w:rsidR="00604392" w:rsidRPr="00ED3D25" w:rsidRDefault="00604392" w:rsidP="00F45AE3">
            <w:pPr>
              <w:spacing w:line="240" w:lineRule="auto"/>
              <w:jc w:val="center"/>
              <w:rPr>
                <w:lang w:val="lt-LT"/>
              </w:rPr>
            </w:pPr>
            <w:r w:rsidRPr="00ED3D25">
              <w:rPr>
                <w:lang w:val="lt-LT"/>
              </w:rPr>
              <w:t>0,3111</w:t>
            </w:r>
          </w:p>
        </w:tc>
        <w:tc>
          <w:tcPr>
            <w:tcW w:w="0" w:type="auto"/>
            <w:vAlign w:val="center"/>
          </w:tcPr>
          <w:p w:rsidR="00604392" w:rsidRPr="00ED3D25" w:rsidRDefault="00604392" w:rsidP="00F45AE3">
            <w:pPr>
              <w:spacing w:line="240" w:lineRule="auto"/>
              <w:jc w:val="center"/>
              <w:rPr>
                <w:lang w:val="lt-LT"/>
              </w:rPr>
            </w:pPr>
            <w:r>
              <w:rPr>
                <w:lang w:val="lt-LT"/>
              </w:rPr>
              <w:t>0,3807</w:t>
            </w:r>
          </w:p>
        </w:tc>
        <w:tc>
          <w:tcPr>
            <w:tcW w:w="0" w:type="auto"/>
            <w:vAlign w:val="center"/>
          </w:tcPr>
          <w:p w:rsidR="00604392" w:rsidRPr="00ED3D25" w:rsidRDefault="00C75ADF" w:rsidP="00F45AE3">
            <w:pPr>
              <w:spacing w:line="240" w:lineRule="auto"/>
              <w:jc w:val="center"/>
              <w:rPr>
                <w:lang w:val="lt-LT"/>
              </w:rPr>
            </w:pPr>
            <w:r>
              <w:rPr>
                <w:lang w:val="lt-LT"/>
              </w:rPr>
              <w:t>1,4689</w:t>
            </w:r>
          </w:p>
        </w:tc>
        <w:tc>
          <w:tcPr>
            <w:tcW w:w="0" w:type="auto"/>
            <w:vAlign w:val="center"/>
          </w:tcPr>
          <w:p w:rsidR="00604392" w:rsidRPr="00ED3D25" w:rsidRDefault="00604392" w:rsidP="00F45AE3">
            <w:pPr>
              <w:spacing w:line="240" w:lineRule="auto"/>
              <w:jc w:val="center"/>
              <w:rPr>
                <w:lang w:val="lt-LT"/>
              </w:rPr>
            </w:pPr>
            <w:r w:rsidRPr="00ED3D25">
              <w:rPr>
                <w:lang w:val="lt-LT"/>
              </w:rPr>
              <w:t>3,8584</w:t>
            </w:r>
          </w:p>
        </w:tc>
      </w:tr>
      <w:tr w:rsidR="00604392" w:rsidRPr="00ED3D25" w:rsidTr="00FD5C5E">
        <w:trPr>
          <w:jc w:val="center"/>
        </w:trPr>
        <w:tc>
          <w:tcPr>
            <w:tcW w:w="1101" w:type="dxa"/>
            <w:vAlign w:val="center"/>
          </w:tcPr>
          <w:p w:rsidR="00604392" w:rsidRPr="00ED3D25" w:rsidRDefault="00604392" w:rsidP="00604392">
            <w:pPr>
              <w:spacing w:line="240" w:lineRule="auto"/>
              <w:jc w:val="left"/>
              <w:rPr>
                <w:b/>
                <w:bCs/>
                <w:lang w:val="lt-LT"/>
              </w:rPr>
            </w:pPr>
            <w:r w:rsidRPr="00ED3D25">
              <w:rPr>
                <w:b/>
                <w:bCs/>
                <w:lang w:val="lt-LT"/>
              </w:rPr>
              <w:t>2013 m.</w:t>
            </w:r>
          </w:p>
        </w:tc>
        <w:tc>
          <w:tcPr>
            <w:tcW w:w="1570" w:type="dxa"/>
            <w:vAlign w:val="center"/>
          </w:tcPr>
          <w:p w:rsidR="00604392" w:rsidRPr="00ED3D25" w:rsidRDefault="00604392" w:rsidP="00F45AE3">
            <w:pPr>
              <w:spacing w:line="240" w:lineRule="auto"/>
              <w:jc w:val="center"/>
              <w:rPr>
                <w:lang w:val="lt-LT"/>
              </w:rPr>
            </w:pPr>
            <w:r w:rsidRPr="00ED3D25">
              <w:rPr>
                <w:lang w:val="lt-LT"/>
              </w:rPr>
              <w:t>1,3053</w:t>
            </w:r>
          </w:p>
        </w:tc>
        <w:tc>
          <w:tcPr>
            <w:tcW w:w="0" w:type="auto"/>
            <w:vAlign w:val="center"/>
          </w:tcPr>
          <w:p w:rsidR="00604392" w:rsidRPr="00ED3D25" w:rsidRDefault="00604392" w:rsidP="00F45AE3">
            <w:pPr>
              <w:spacing w:line="240" w:lineRule="auto"/>
              <w:jc w:val="center"/>
              <w:rPr>
                <w:lang w:val="lt-LT"/>
              </w:rPr>
            </w:pPr>
            <w:r w:rsidRPr="00ED3D25">
              <w:rPr>
                <w:lang w:val="lt-LT"/>
              </w:rPr>
              <w:t>0,0214</w:t>
            </w:r>
          </w:p>
        </w:tc>
        <w:tc>
          <w:tcPr>
            <w:tcW w:w="0" w:type="auto"/>
            <w:vAlign w:val="center"/>
          </w:tcPr>
          <w:p w:rsidR="00604392" w:rsidRPr="00ED3D25" w:rsidRDefault="00604392" w:rsidP="00F45AE3">
            <w:pPr>
              <w:spacing w:line="240" w:lineRule="auto"/>
              <w:jc w:val="center"/>
              <w:rPr>
                <w:lang w:val="lt-LT"/>
              </w:rPr>
            </w:pPr>
            <w:r>
              <w:rPr>
                <w:lang w:val="lt-LT"/>
              </w:rPr>
              <w:t>0,3566</w:t>
            </w:r>
          </w:p>
        </w:tc>
        <w:tc>
          <w:tcPr>
            <w:tcW w:w="0" w:type="auto"/>
            <w:vAlign w:val="center"/>
          </w:tcPr>
          <w:p w:rsidR="00604392" w:rsidRPr="00ED3D25" w:rsidRDefault="00C75ADF" w:rsidP="00F45AE3">
            <w:pPr>
              <w:spacing w:line="240" w:lineRule="auto"/>
              <w:jc w:val="center"/>
              <w:rPr>
                <w:lang w:val="lt-LT"/>
              </w:rPr>
            </w:pPr>
            <w:r>
              <w:rPr>
                <w:lang w:val="lt-LT"/>
              </w:rPr>
              <w:t>1,2492</w:t>
            </w:r>
          </w:p>
        </w:tc>
        <w:tc>
          <w:tcPr>
            <w:tcW w:w="0" w:type="auto"/>
            <w:vAlign w:val="center"/>
          </w:tcPr>
          <w:p w:rsidR="00604392" w:rsidRPr="00ED3D25" w:rsidRDefault="00604392" w:rsidP="00F45AE3">
            <w:pPr>
              <w:spacing w:line="240" w:lineRule="auto"/>
              <w:jc w:val="center"/>
              <w:rPr>
                <w:lang w:val="lt-LT"/>
              </w:rPr>
            </w:pPr>
            <w:r w:rsidRPr="00ED3D25">
              <w:rPr>
                <w:lang w:val="lt-LT"/>
              </w:rPr>
              <w:t>3,5027</w:t>
            </w:r>
          </w:p>
        </w:tc>
      </w:tr>
    </w:tbl>
    <w:p w:rsidR="009B5268" w:rsidRPr="00ED3D25" w:rsidRDefault="009B5268" w:rsidP="00B36302">
      <w:pPr>
        <w:tabs>
          <w:tab w:val="left" w:pos="8456"/>
        </w:tabs>
        <w:spacing w:after="0" w:line="240" w:lineRule="auto"/>
        <w:rPr>
          <w:sz w:val="20"/>
          <w:szCs w:val="20"/>
          <w:lang w:val="lt-LT"/>
        </w:rPr>
      </w:pPr>
      <w:r w:rsidRPr="00ED3D25">
        <w:rPr>
          <w:sz w:val="20"/>
          <w:szCs w:val="20"/>
          <w:lang w:val="lt-LT"/>
        </w:rPr>
        <w:t>Pastaba:</w:t>
      </w:r>
      <w:r w:rsidR="00B36302">
        <w:rPr>
          <w:sz w:val="20"/>
          <w:szCs w:val="20"/>
          <w:lang w:val="lt-LT"/>
        </w:rPr>
        <w:t xml:space="preserve"> L</w:t>
      </w:r>
      <w:r w:rsidRPr="00ED3D25">
        <w:rPr>
          <w:sz w:val="20"/>
          <w:szCs w:val="20"/>
          <w:lang w:val="lt-LT"/>
        </w:rPr>
        <w:t>entelė sudaryta autorės, remiantis įmonės A 2007-2013 m. balanso finansiniais duomenimis</w:t>
      </w:r>
      <w:r w:rsidR="00FE004C">
        <w:rPr>
          <w:sz w:val="20"/>
          <w:szCs w:val="20"/>
          <w:lang w:val="lt-LT"/>
        </w:rPr>
        <w:t xml:space="preserve"> (žr. 5 priedą)</w:t>
      </w:r>
      <w:r w:rsidR="00B36302">
        <w:rPr>
          <w:sz w:val="20"/>
          <w:szCs w:val="20"/>
          <w:lang w:val="lt-LT"/>
        </w:rPr>
        <w:t xml:space="preserve">, taip pat </w:t>
      </w:r>
      <w:r w:rsidR="00B36302" w:rsidRPr="00B36302">
        <w:rPr>
          <w:sz w:val="20"/>
          <w:szCs w:val="20"/>
          <w:lang w:val="lt-LT"/>
        </w:rPr>
        <w:t xml:space="preserve"> </w:t>
      </w:r>
      <w:r w:rsidR="00B36302">
        <w:rPr>
          <w:sz w:val="20"/>
          <w:szCs w:val="20"/>
          <w:lang w:val="lt-LT"/>
        </w:rPr>
        <w:t>paryškintas laikotarpis, kada įmonė gavo paramą.</w:t>
      </w:r>
    </w:p>
    <w:p w:rsidR="009B5268" w:rsidRPr="00FE0D46" w:rsidRDefault="00926182" w:rsidP="00F45AE3">
      <w:pPr>
        <w:spacing w:after="0" w:line="240" w:lineRule="auto"/>
        <w:rPr>
          <w:b/>
          <w:bCs/>
          <w:sz w:val="14"/>
          <w:szCs w:val="14"/>
          <w:lang w:val="lt-LT"/>
        </w:rPr>
      </w:pPr>
      <w:r w:rsidRPr="00ED3D25">
        <w:rPr>
          <w:b/>
          <w:bCs/>
          <w:szCs w:val="24"/>
          <w:lang w:val="lt-LT"/>
        </w:rPr>
        <w:tab/>
      </w:r>
    </w:p>
    <w:p w:rsidR="00870DE6" w:rsidRPr="00ED3D25" w:rsidRDefault="00057FA7" w:rsidP="009C1AE3">
      <w:pPr>
        <w:spacing w:after="0"/>
        <w:ind w:firstLine="851"/>
        <w:rPr>
          <w:szCs w:val="24"/>
          <w:lang w:val="lt-LT"/>
        </w:rPr>
      </w:pPr>
      <w:r w:rsidRPr="00ED3D25">
        <w:rPr>
          <w:szCs w:val="24"/>
          <w:lang w:val="lt-LT"/>
        </w:rPr>
        <w:t xml:space="preserve">Analizuojant įmonės A likvidumo rodiklius (žr. </w:t>
      </w:r>
      <w:r w:rsidR="004A5728">
        <w:rPr>
          <w:szCs w:val="24"/>
          <w:lang w:val="lt-LT"/>
        </w:rPr>
        <w:t>10</w:t>
      </w:r>
      <w:r w:rsidRPr="00ED3D25">
        <w:rPr>
          <w:szCs w:val="24"/>
          <w:lang w:val="lt-LT"/>
        </w:rPr>
        <w:t xml:space="preserve"> lentelę) didžiausia reikšmė skiriama einamajam likvidum</w:t>
      </w:r>
      <w:r w:rsidR="00655EAE" w:rsidRPr="00ED3D25">
        <w:rPr>
          <w:szCs w:val="24"/>
          <w:lang w:val="lt-LT"/>
        </w:rPr>
        <w:t>ui, kuris 2007-2009 m. didėjo</w:t>
      </w:r>
      <w:r w:rsidRPr="00ED3D25">
        <w:rPr>
          <w:szCs w:val="24"/>
          <w:lang w:val="lt-LT"/>
        </w:rPr>
        <w:t xml:space="preserve"> ir visu laikotarpiu</w:t>
      </w:r>
      <w:r w:rsidR="00863AF0">
        <w:rPr>
          <w:szCs w:val="24"/>
          <w:lang w:val="lt-LT"/>
        </w:rPr>
        <w:t xml:space="preserve"> atitinkamai siekė apie 2,7</w:t>
      </w:r>
      <w:r w:rsidRPr="00ED3D25">
        <w:rPr>
          <w:szCs w:val="24"/>
          <w:lang w:val="lt-LT"/>
        </w:rPr>
        <w:t xml:space="preserve"> ir 3</w:t>
      </w:r>
      <w:r w:rsidR="00863AF0">
        <w:rPr>
          <w:szCs w:val="24"/>
          <w:lang w:val="lt-LT"/>
        </w:rPr>
        <w:t>,26</w:t>
      </w:r>
      <w:r w:rsidRPr="00ED3D25">
        <w:rPr>
          <w:szCs w:val="24"/>
          <w:lang w:val="lt-LT"/>
        </w:rPr>
        <w:t>. T</w:t>
      </w:r>
      <w:r w:rsidR="00655EAE" w:rsidRPr="00ED3D25">
        <w:rPr>
          <w:szCs w:val="24"/>
          <w:lang w:val="lt-LT"/>
        </w:rPr>
        <w:t>ai reiškia, kad visą tą laiką</w:t>
      </w:r>
      <w:r w:rsidRPr="00ED3D25">
        <w:rPr>
          <w:szCs w:val="24"/>
          <w:lang w:val="lt-LT"/>
        </w:rPr>
        <w:t xml:space="preserve"> reikšmė viršijo</w:t>
      </w:r>
      <w:r w:rsidR="00603F6C">
        <w:rPr>
          <w:szCs w:val="24"/>
          <w:lang w:val="lt-LT"/>
        </w:rPr>
        <w:t xml:space="preserve"> rekomenduotinąją (žr. 5 lentelę</w:t>
      </w:r>
      <w:r w:rsidRPr="00ED3D25">
        <w:rPr>
          <w:szCs w:val="24"/>
          <w:lang w:val="lt-LT"/>
        </w:rPr>
        <w:t xml:space="preserve">), tad įmonės A </w:t>
      </w:r>
      <w:r w:rsidR="00195662" w:rsidRPr="00ED3D25">
        <w:rPr>
          <w:szCs w:val="24"/>
          <w:lang w:val="lt-LT"/>
        </w:rPr>
        <w:t xml:space="preserve">trumpalaikis </w:t>
      </w:r>
      <w:r w:rsidR="006B20C1">
        <w:rPr>
          <w:szCs w:val="24"/>
          <w:lang w:val="lt-LT"/>
        </w:rPr>
        <w:t>turtas buvo</w:t>
      </w:r>
      <w:r w:rsidRPr="00ED3D25">
        <w:rPr>
          <w:szCs w:val="24"/>
          <w:lang w:val="lt-LT"/>
        </w:rPr>
        <w:t xml:space="preserve"> valdomas neefektyviai.</w:t>
      </w:r>
      <w:r w:rsidR="00195662" w:rsidRPr="00ED3D25">
        <w:rPr>
          <w:szCs w:val="24"/>
          <w:lang w:val="lt-LT"/>
        </w:rPr>
        <w:t xml:space="preserve"> Tai atskleidžia</w:t>
      </w:r>
      <w:r w:rsidR="002B1678" w:rsidRPr="00ED3D25">
        <w:rPr>
          <w:szCs w:val="24"/>
          <w:lang w:val="lt-LT"/>
        </w:rPr>
        <w:t xml:space="preserve"> </w:t>
      </w:r>
      <w:r w:rsidR="00655EAE" w:rsidRPr="00ED3D25">
        <w:rPr>
          <w:szCs w:val="24"/>
          <w:lang w:val="lt-LT"/>
        </w:rPr>
        <w:t>nestabilūs</w:t>
      </w:r>
      <w:r w:rsidR="00195662" w:rsidRPr="00ED3D25">
        <w:rPr>
          <w:szCs w:val="24"/>
          <w:lang w:val="lt-LT"/>
        </w:rPr>
        <w:t xml:space="preserve"> trumpalaikio turto pokyčiai šiuo laikotarpiu. Tik 2010 m. rodiklis nukrenta iki 2,2, </w:t>
      </w:r>
      <w:r w:rsidR="00726F91" w:rsidRPr="00ED3D25">
        <w:rPr>
          <w:szCs w:val="24"/>
          <w:lang w:val="lt-LT"/>
        </w:rPr>
        <w:t>tad</w:t>
      </w:r>
      <w:r w:rsidR="00195662" w:rsidRPr="00ED3D25">
        <w:rPr>
          <w:szCs w:val="24"/>
          <w:lang w:val="lt-LT"/>
        </w:rPr>
        <w:t xml:space="preserve"> vyksta teigiami pasikeitimai, kurie</w:t>
      </w:r>
      <w:r w:rsidR="00655EAE" w:rsidRPr="00ED3D25">
        <w:rPr>
          <w:szCs w:val="24"/>
          <w:lang w:val="lt-LT"/>
        </w:rPr>
        <w:t xml:space="preserve"> mažina neefektyvų turto panaud</w:t>
      </w:r>
      <w:r w:rsidR="00195662" w:rsidRPr="00ED3D25">
        <w:rPr>
          <w:szCs w:val="24"/>
          <w:lang w:val="lt-LT"/>
        </w:rPr>
        <w:t xml:space="preserve">ojimą, </w:t>
      </w:r>
      <w:r w:rsidR="002B1678" w:rsidRPr="00ED3D25">
        <w:rPr>
          <w:szCs w:val="24"/>
          <w:lang w:val="lt-LT"/>
        </w:rPr>
        <w:t xml:space="preserve">o 2012-2013 m. rodiklis </w:t>
      </w:r>
      <w:r w:rsidR="001A733D" w:rsidRPr="00ED3D25">
        <w:rPr>
          <w:szCs w:val="24"/>
          <w:lang w:val="lt-LT"/>
        </w:rPr>
        <w:t>suvaldytas ir siekia apie 1,3 reikšmę</w:t>
      </w:r>
      <w:r w:rsidR="00195662" w:rsidRPr="00ED3D25">
        <w:rPr>
          <w:szCs w:val="24"/>
          <w:lang w:val="lt-LT"/>
        </w:rPr>
        <w:t xml:space="preserve">. </w:t>
      </w:r>
      <w:r w:rsidR="00863AF0">
        <w:rPr>
          <w:szCs w:val="24"/>
          <w:lang w:val="lt-LT"/>
        </w:rPr>
        <w:t>Tad</w:t>
      </w:r>
      <w:r w:rsidR="006B20C1">
        <w:rPr>
          <w:szCs w:val="24"/>
          <w:lang w:val="lt-LT"/>
        </w:rPr>
        <w:t xml:space="preserve"> po ES finansinės paramos gavimo ir įsisavinimo įmonė</w:t>
      </w:r>
      <w:r w:rsidR="00863AF0">
        <w:rPr>
          <w:szCs w:val="24"/>
          <w:lang w:val="lt-LT"/>
        </w:rPr>
        <w:t xml:space="preserve"> A efektyviau valdo trumpalaikį turtą, ir gali iškart</w:t>
      </w:r>
      <w:r w:rsidR="007C28A7">
        <w:rPr>
          <w:szCs w:val="24"/>
          <w:lang w:val="lt-LT"/>
        </w:rPr>
        <w:t xml:space="preserve"> padengti savus įsipareigojimus</w:t>
      </w:r>
      <w:r w:rsidR="00863AF0">
        <w:rPr>
          <w:szCs w:val="24"/>
          <w:lang w:val="lt-LT"/>
        </w:rPr>
        <w:t xml:space="preserve">. </w:t>
      </w:r>
      <w:r w:rsidR="00870DE6" w:rsidRPr="00ED3D25">
        <w:rPr>
          <w:szCs w:val="24"/>
          <w:lang w:val="lt-LT"/>
        </w:rPr>
        <w:t>Kitas rodiklis – absoliutus likvidumas, kur</w:t>
      </w:r>
      <w:r w:rsidR="00863AF0">
        <w:rPr>
          <w:szCs w:val="24"/>
          <w:lang w:val="lt-LT"/>
        </w:rPr>
        <w:t>is parodo, kad įmonė A 2007-2008</w:t>
      </w:r>
      <w:r w:rsidR="00870DE6" w:rsidRPr="00ED3D25">
        <w:rPr>
          <w:szCs w:val="24"/>
          <w:lang w:val="lt-LT"/>
        </w:rPr>
        <w:t xml:space="preserve"> m. laikotarpiu vykdė konservatyvesnę p</w:t>
      </w:r>
      <w:r w:rsidR="00375665" w:rsidRPr="00ED3D25">
        <w:rPr>
          <w:szCs w:val="24"/>
          <w:lang w:val="lt-LT"/>
        </w:rPr>
        <w:t>inigų politiką, nes rodiklis buvo</w:t>
      </w:r>
      <w:r w:rsidR="00870DE6" w:rsidRPr="00ED3D25">
        <w:rPr>
          <w:szCs w:val="24"/>
          <w:lang w:val="lt-LT"/>
        </w:rPr>
        <w:t xml:space="preserve"> didesnis už 1, tai reiškia, kad įmonė turėjo pakankamai grynųjų p</w:t>
      </w:r>
      <w:r w:rsidR="00B76F76">
        <w:rPr>
          <w:szCs w:val="24"/>
          <w:lang w:val="lt-LT"/>
        </w:rPr>
        <w:t>i</w:t>
      </w:r>
      <w:r w:rsidR="00870DE6" w:rsidRPr="00ED3D25">
        <w:rPr>
          <w:szCs w:val="24"/>
          <w:lang w:val="lt-LT"/>
        </w:rPr>
        <w:t xml:space="preserve">nigų </w:t>
      </w:r>
      <w:r w:rsidR="00ED4210" w:rsidRPr="00ED3D25">
        <w:rPr>
          <w:szCs w:val="24"/>
          <w:lang w:val="lt-LT"/>
        </w:rPr>
        <w:t>ir jų ekvivalentų, kad jeigu būtų prašoma,</w:t>
      </w:r>
      <w:r w:rsidR="00870DE6" w:rsidRPr="00ED3D25">
        <w:rPr>
          <w:szCs w:val="24"/>
          <w:lang w:val="lt-LT"/>
        </w:rPr>
        <w:t xml:space="preserve"> galėtų skubiai padengti savo trum</w:t>
      </w:r>
      <w:r w:rsidR="00863AF0">
        <w:rPr>
          <w:szCs w:val="24"/>
          <w:lang w:val="lt-LT"/>
        </w:rPr>
        <w:t>palaikius įsipareigojimus.</w:t>
      </w:r>
      <w:r w:rsidR="00870DE6" w:rsidRPr="00ED3D25">
        <w:rPr>
          <w:szCs w:val="24"/>
          <w:lang w:val="lt-LT"/>
        </w:rPr>
        <w:t xml:space="preserve"> 200</w:t>
      </w:r>
      <w:r w:rsidR="00146840" w:rsidRPr="00ED3D25">
        <w:rPr>
          <w:szCs w:val="24"/>
          <w:lang w:val="lt-LT"/>
        </w:rPr>
        <w:t>9</w:t>
      </w:r>
      <w:r w:rsidR="00870DE6" w:rsidRPr="00ED3D25">
        <w:rPr>
          <w:szCs w:val="24"/>
          <w:lang w:val="lt-LT"/>
        </w:rPr>
        <w:t xml:space="preserve"> m.</w:t>
      </w:r>
      <w:r w:rsidR="00146840" w:rsidRPr="00ED3D25">
        <w:rPr>
          <w:szCs w:val="24"/>
          <w:lang w:val="lt-LT"/>
        </w:rPr>
        <w:t xml:space="preserve"> situacija pakito, nes rodiklis tapo žemesnis už 1 ir nei 50 proc.</w:t>
      </w:r>
      <w:r w:rsidR="00ED4210" w:rsidRPr="00ED3D25">
        <w:rPr>
          <w:szCs w:val="24"/>
          <w:lang w:val="lt-LT"/>
        </w:rPr>
        <w:t xml:space="preserve"> turimų trumpalaikių</w:t>
      </w:r>
      <w:r w:rsidR="00146840" w:rsidRPr="00ED3D25">
        <w:rPr>
          <w:szCs w:val="24"/>
          <w:lang w:val="lt-LT"/>
        </w:rPr>
        <w:t xml:space="preserve"> įsipareigojimų nebuvo įmanoma padengti grynaisiais pinigais.</w:t>
      </w:r>
      <w:r w:rsidR="00863AF0">
        <w:rPr>
          <w:szCs w:val="24"/>
          <w:lang w:val="lt-LT"/>
        </w:rPr>
        <w:t xml:space="preserve"> Galima teigti, kad grynieji pinigai ir jų ekvivalentai buvo panaudoti įmonės modernizavimui, kol nebuvo išmokėta ES finansinė parama. Po minėtos finansinės paramos įsisavinimo</w:t>
      </w:r>
      <w:r w:rsidR="00ED4210" w:rsidRPr="00ED3D25">
        <w:rPr>
          <w:szCs w:val="24"/>
          <w:lang w:val="lt-LT"/>
        </w:rPr>
        <w:t xml:space="preserve"> </w:t>
      </w:r>
      <w:r w:rsidR="00863AF0">
        <w:rPr>
          <w:szCs w:val="24"/>
          <w:lang w:val="lt-LT"/>
        </w:rPr>
        <w:t>absoliutus likvidumas iki 2012 m. augo</w:t>
      </w:r>
      <w:r w:rsidR="00EB3615">
        <w:rPr>
          <w:szCs w:val="24"/>
          <w:lang w:val="lt-LT"/>
        </w:rPr>
        <w:t xml:space="preserve">, tačiau paskutiniais metais nukrito beveik iki 0. Tad įmonė nebuvo pajėgi </w:t>
      </w:r>
      <w:r w:rsidR="009C1AE3">
        <w:rPr>
          <w:szCs w:val="24"/>
          <w:lang w:val="lt-LT"/>
        </w:rPr>
        <w:t xml:space="preserve">greitai </w:t>
      </w:r>
      <w:r w:rsidR="00EB3615">
        <w:rPr>
          <w:szCs w:val="24"/>
          <w:lang w:val="lt-LT"/>
        </w:rPr>
        <w:t xml:space="preserve">įvykdyti </w:t>
      </w:r>
      <w:r w:rsidR="009C1AE3">
        <w:rPr>
          <w:szCs w:val="24"/>
          <w:lang w:val="lt-LT"/>
        </w:rPr>
        <w:t>prisiimtų įsipareigojimų</w:t>
      </w:r>
      <w:r w:rsidR="00EB3615">
        <w:rPr>
          <w:szCs w:val="24"/>
          <w:lang w:val="lt-LT"/>
        </w:rPr>
        <w:t xml:space="preserve">. </w:t>
      </w:r>
      <w:r w:rsidR="00603F6C">
        <w:rPr>
          <w:szCs w:val="24"/>
          <w:lang w:val="lt-LT"/>
        </w:rPr>
        <w:t xml:space="preserve"> Ž</w:t>
      </w:r>
      <w:r w:rsidR="00ED4210" w:rsidRPr="00ED3D25">
        <w:rPr>
          <w:szCs w:val="24"/>
          <w:lang w:val="lt-LT"/>
        </w:rPr>
        <w:t>velgiant iš kitos pusės matyti, kad</w:t>
      </w:r>
      <w:r w:rsidR="00EB3615">
        <w:rPr>
          <w:szCs w:val="24"/>
          <w:lang w:val="lt-LT"/>
        </w:rPr>
        <w:t xml:space="preserve"> visi įmonės A</w:t>
      </w:r>
      <w:r w:rsidR="00ED4210" w:rsidRPr="00ED3D25">
        <w:rPr>
          <w:szCs w:val="24"/>
          <w:lang w:val="lt-LT"/>
        </w:rPr>
        <w:t xml:space="preserve"> laisvi pinigai buvo įdarbinti</w:t>
      </w:r>
      <w:r w:rsidR="00375665" w:rsidRPr="00ED3D25">
        <w:rPr>
          <w:szCs w:val="24"/>
          <w:lang w:val="lt-LT"/>
        </w:rPr>
        <w:t>.</w:t>
      </w:r>
    </w:p>
    <w:p w:rsidR="004A1FD7" w:rsidRPr="0018575A" w:rsidRDefault="00ED4210" w:rsidP="0018575A">
      <w:pPr>
        <w:spacing w:after="0"/>
        <w:ind w:firstLine="851"/>
        <w:rPr>
          <w:szCs w:val="24"/>
          <w:lang w:val="lt-LT"/>
        </w:rPr>
      </w:pPr>
      <w:r w:rsidRPr="00ED3D25">
        <w:rPr>
          <w:szCs w:val="24"/>
          <w:lang w:val="lt-LT"/>
        </w:rPr>
        <w:t xml:space="preserve">Toliau apžvelgiami finansinio sverto rodikliai (žr. </w:t>
      </w:r>
      <w:r w:rsidR="004A5728">
        <w:rPr>
          <w:szCs w:val="24"/>
          <w:lang w:val="lt-LT"/>
        </w:rPr>
        <w:t>10</w:t>
      </w:r>
      <w:r w:rsidRPr="00ED3D25">
        <w:rPr>
          <w:szCs w:val="24"/>
          <w:lang w:val="lt-LT"/>
        </w:rPr>
        <w:t xml:space="preserve"> lentelę), iš kurių pirmasis įsiskolinimo koeficientas. Gauta reikmė atskleidžia, kad</w:t>
      </w:r>
      <w:r w:rsidR="00EB3615">
        <w:rPr>
          <w:szCs w:val="24"/>
          <w:lang w:val="lt-LT"/>
        </w:rPr>
        <w:t xml:space="preserve"> iki ES finansinės paramos gavimo, t. y.</w:t>
      </w:r>
      <w:r w:rsidRPr="00ED3D25">
        <w:rPr>
          <w:szCs w:val="24"/>
          <w:lang w:val="lt-LT"/>
        </w:rPr>
        <w:t xml:space="preserve"> </w:t>
      </w:r>
      <w:r w:rsidR="00D21366" w:rsidRPr="00ED3D25">
        <w:rPr>
          <w:szCs w:val="24"/>
          <w:lang w:val="lt-LT"/>
        </w:rPr>
        <w:t>2007 m.</w:t>
      </w:r>
      <w:r w:rsidR="00EB3615">
        <w:rPr>
          <w:szCs w:val="24"/>
          <w:lang w:val="lt-LT"/>
        </w:rPr>
        <w:t>,</w:t>
      </w:r>
      <w:r w:rsidR="00D21366" w:rsidRPr="00ED3D25">
        <w:rPr>
          <w:szCs w:val="24"/>
          <w:lang w:val="lt-LT"/>
        </w:rPr>
        <w:t xml:space="preserve"> tik apie 25 proc. įmonės nuosavybės buvo finansuojama skolintomis lėšomis</w:t>
      </w:r>
      <w:r w:rsidR="00375665" w:rsidRPr="00ED3D25">
        <w:rPr>
          <w:szCs w:val="24"/>
          <w:lang w:val="lt-LT"/>
        </w:rPr>
        <w:t>, ši reikšmė vis mažėjo iki 2011</w:t>
      </w:r>
      <w:r w:rsidR="00D21366" w:rsidRPr="00ED3D25">
        <w:rPr>
          <w:szCs w:val="24"/>
          <w:lang w:val="lt-LT"/>
        </w:rPr>
        <w:t xml:space="preserve"> m., nes šiais metais įmonė A turėjo daugiau įsipareigojimų, kuriuos nulėmė išankstiniai apmokėjimai</w:t>
      </w:r>
      <w:r w:rsidR="005C70C1" w:rsidRPr="00ED3D25">
        <w:rPr>
          <w:szCs w:val="24"/>
          <w:lang w:val="lt-LT"/>
        </w:rPr>
        <w:t xml:space="preserve"> (152</w:t>
      </w:r>
      <w:r w:rsidR="00603F6C">
        <w:rPr>
          <w:szCs w:val="24"/>
          <w:lang w:val="lt-LT"/>
        </w:rPr>
        <w:t xml:space="preserve"> </w:t>
      </w:r>
      <w:r w:rsidR="005C70C1" w:rsidRPr="00ED3D25">
        <w:rPr>
          <w:szCs w:val="24"/>
          <w:lang w:val="lt-LT"/>
        </w:rPr>
        <w:t>538</w:t>
      </w:r>
      <w:r w:rsidR="004D1042" w:rsidRPr="00ED3D25">
        <w:rPr>
          <w:szCs w:val="24"/>
          <w:lang w:val="lt-LT"/>
        </w:rPr>
        <w:t xml:space="preserve"> </w:t>
      </w:r>
      <w:r w:rsidR="00A40E6E">
        <w:rPr>
          <w:szCs w:val="24"/>
          <w:lang w:val="lt-LT"/>
        </w:rPr>
        <w:t>Lt.</w:t>
      </w:r>
      <w:r w:rsidR="004D1042" w:rsidRPr="00ED3D25">
        <w:rPr>
          <w:szCs w:val="24"/>
          <w:lang w:val="lt-LT"/>
        </w:rPr>
        <w:t>) bei ilgalaikių įsipareigojimų padidėjimas</w:t>
      </w:r>
      <w:r w:rsidR="00D21366" w:rsidRPr="00ED3D25">
        <w:rPr>
          <w:szCs w:val="24"/>
          <w:lang w:val="lt-LT"/>
        </w:rPr>
        <w:t>, siekianti</w:t>
      </w:r>
      <w:r w:rsidR="004D1042" w:rsidRPr="00ED3D25">
        <w:rPr>
          <w:szCs w:val="24"/>
          <w:lang w:val="lt-LT"/>
        </w:rPr>
        <w:t>s</w:t>
      </w:r>
      <w:r w:rsidR="005C70C1" w:rsidRPr="00ED3D25">
        <w:rPr>
          <w:szCs w:val="24"/>
          <w:lang w:val="lt-LT"/>
        </w:rPr>
        <w:t xml:space="preserve"> 889</w:t>
      </w:r>
      <w:r w:rsidR="00603F6C">
        <w:rPr>
          <w:szCs w:val="24"/>
          <w:lang w:val="lt-LT"/>
        </w:rPr>
        <w:t xml:space="preserve"> </w:t>
      </w:r>
      <w:r w:rsidR="005C70C1" w:rsidRPr="00ED3D25">
        <w:rPr>
          <w:szCs w:val="24"/>
          <w:lang w:val="lt-LT"/>
        </w:rPr>
        <w:t>382</w:t>
      </w:r>
      <w:r w:rsidR="00D21366" w:rsidRPr="00ED3D25">
        <w:rPr>
          <w:szCs w:val="24"/>
          <w:lang w:val="lt-LT"/>
        </w:rPr>
        <w:t xml:space="preserve"> </w:t>
      </w:r>
      <w:r w:rsidR="00A40E6E">
        <w:rPr>
          <w:szCs w:val="24"/>
          <w:lang w:val="lt-LT"/>
        </w:rPr>
        <w:lastRenderedPageBreak/>
        <w:t>Lt.</w:t>
      </w:r>
      <w:r w:rsidR="0093176C" w:rsidRPr="00ED3D25">
        <w:rPr>
          <w:szCs w:val="24"/>
          <w:lang w:val="lt-LT"/>
        </w:rPr>
        <w:t xml:space="preserve"> Galiausiai 2013 m. </w:t>
      </w:r>
      <w:r w:rsidR="00EB3615">
        <w:rPr>
          <w:szCs w:val="24"/>
          <w:lang w:val="lt-LT"/>
        </w:rPr>
        <w:t>apie 36</w:t>
      </w:r>
      <w:r w:rsidR="0093176C" w:rsidRPr="00ED3D25">
        <w:rPr>
          <w:szCs w:val="24"/>
          <w:lang w:val="lt-LT"/>
        </w:rPr>
        <w:t xml:space="preserve"> proc.</w:t>
      </w:r>
      <w:r w:rsidR="00EB3615">
        <w:rPr>
          <w:szCs w:val="24"/>
          <w:lang w:val="lt-LT"/>
        </w:rPr>
        <w:t xml:space="preserve"> turto</w:t>
      </w:r>
      <w:r w:rsidR="0093176C" w:rsidRPr="00ED3D25">
        <w:rPr>
          <w:szCs w:val="24"/>
          <w:lang w:val="lt-LT"/>
        </w:rPr>
        <w:t xml:space="preserve"> buvo finansuota įsipareigojimais.</w:t>
      </w:r>
      <w:r w:rsidR="00EB3615">
        <w:rPr>
          <w:szCs w:val="24"/>
          <w:lang w:val="lt-LT"/>
        </w:rPr>
        <w:t xml:space="preserve"> Tad po ES lėšų įsisavinimo įsiskolinimo koeficientas buvo suvaldytas.</w:t>
      </w:r>
      <w:r w:rsidR="00896E35" w:rsidRPr="00ED3D25">
        <w:rPr>
          <w:szCs w:val="24"/>
          <w:lang w:val="lt-LT"/>
        </w:rPr>
        <w:t xml:space="preserve"> Įsipareigojimų ir nuosavo kapitalo santykio reikšmės 2007-2010 m. </w:t>
      </w:r>
      <w:r w:rsidR="00C75ADF">
        <w:rPr>
          <w:szCs w:val="24"/>
          <w:lang w:val="lt-LT"/>
        </w:rPr>
        <w:t xml:space="preserve">nukrito nuo </w:t>
      </w:r>
      <w:r w:rsidR="00896E35" w:rsidRPr="00ED3D25">
        <w:rPr>
          <w:szCs w:val="24"/>
          <w:lang w:val="lt-LT"/>
        </w:rPr>
        <w:t>33 proc.</w:t>
      </w:r>
      <w:r w:rsidR="00C75ADF">
        <w:rPr>
          <w:szCs w:val="24"/>
          <w:lang w:val="lt-LT"/>
        </w:rPr>
        <w:t xml:space="preserve"> iki 14 proc.</w:t>
      </w:r>
      <w:r w:rsidR="00896E35" w:rsidRPr="00ED3D25">
        <w:rPr>
          <w:szCs w:val="24"/>
          <w:lang w:val="lt-LT"/>
        </w:rPr>
        <w:t>, tai reiškia, kad vienam nuosavo</w:t>
      </w:r>
      <w:r w:rsidR="00C75ADF">
        <w:rPr>
          <w:szCs w:val="24"/>
          <w:lang w:val="lt-LT"/>
        </w:rPr>
        <w:t xml:space="preserve"> kapitalo litu</w:t>
      </w:r>
      <w:r w:rsidR="00FA7B27" w:rsidRPr="00ED3D25">
        <w:rPr>
          <w:szCs w:val="24"/>
          <w:lang w:val="lt-LT"/>
        </w:rPr>
        <w:t>i skolintų lėšų</w:t>
      </w:r>
      <w:r w:rsidR="00C75ADF">
        <w:rPr>
          <w:szCs w:val="24"/>
          <w:lang w:val="lt-LT"/>
        </w:rPr>
        <w:t xml:space="preserve"> kiekis nukrito iki 14 centų</w:t>
      </w:r>
      <w:r w:rsidR="00FA7B27" w:rsidRPr="00ED3D25">
        <w:rPr>
          <w:szCs w:val="24"/>
          <w:lang w:val="lt-LT"/>
        </w:rPr>
        <w:t>.</w:t>
      </w:r>
      <w:r w:rsidR="00C75ADF">
        <w:rPr>
          <w:szCs w:val="24"/>
          <w:lang w:val="lt-LT"/>
        </w:rPr>
        <w:t xml:space="preserve"> Nors tuo metu vyko įmonės modernizavimo darbai ir įsipareigojimų kiekis galėjo augti. Vis dėlto</w:t>
      </w:r>
      <w:r w:rsidR="00FA7B27" w:rsidRPr="00ED3D25">
        <w:rPr>
          <w:szCs w:val="24"/>
          <w:lang w:val="lt-LT"/>
        </w:rPr>
        <w:t xml:space="preserve"> </w:t>
      </w:r>
      <w:r w:rsidR="00BB1B3B">
        <w:rPr>
          <w:szCs w:val="24"/>
          <w:lang w:val="lt-LT"/>
        </w:rPr>
        <w:t>2011 m. rodiklis išauga iki 1,75,</w:t>
      </w:r>
      <w:r w:rsidR="00A842DD" w:rsidRPr="00ED3D25">
        <w:rPr>
          <w:szCs w:val="24"/>
          <w:lang w:val="lt-LT"/>
        </w:rPr>
        <w:t xml:space="preserve"> tai reiškia, kad palyginus su įsipareigojimais</w:t>
      </w:r>
      <w:r w:rsidR="00C75ADF">
        <w:rPr>
          <w:szCs w:val="24"/>
          <w:lang w:val="lt-LT"/>
        </w:rPr>
        <w:t>,</w:t>
      </w:r>
      <w:r w:rsidR="00D8299B" w:rsidRPr="00ED3D25">
        <w:rPr>
          <w:szCs w:val="24"/>
          <w:lang w:val="lt-LT"/>
        </w:rPr>
        <w:t xml:space="preserve"> </w:t>
      </w:r>
      <w:r w:rsidR="0058287E">
        <w:rPr>
          <w:szCs w:val="24"/>
          <w:lang w:val="lt-LT"/>
        </w:rPr>
        <w:t>įmonės nuosavas kapitalas</w:t>
      </w:r>
      <w:r w:rsidR="00A842DD" w:rsidRPr="00ED3D25">
        <w:rPr>
          <w:szCs w:val="24"/>
          <w:lang w:val="lt-LT"/>
        </w:rPr>
        <w:t xml:space="preserve"> </w:t>
      </w:r>
      <w:r w:rsidR="00BB1B3B">
        <w:rPr>
          <w:szCs w:val="24"/>
          <w:lang w:val="lt-LT"/>
        </w:rPr>
        <w:t>beveik dvigubai mažesnis</w:t>
      </w:r>
      <w:r w:rsidR="00A842DD" w:rsidRPr="00ED3D25">
        <w:rPr>
          <w:szCs w:val="24"/>
          <w:lang w:val="lt-LT"/>
        </w:rPr>
        <w:t>.</w:t>
      </w:r>
      <w:r w:rsidR="00BB1B3B">
        <w:rPr>
          <w:szCs w:val="24"/>
          <w:lang w:val="lt-LT"/>
        </w:rPr>
        <w:t xml:space="preserve"> Iš balanse išaugusių po vienerių metų mokėtinų sumų galima daryti išvadą, kad tolesnis įmonės modernizavimas tęsėsi pasitelkus skolintas lėšas</w:t>
      </w:r>
      <w:r w:rsidR="00A842DD" w:rsidRPr="00ED3D25">
        <w:rPr>
          <w:szCs w:val="24"/>
          <w:lang w:val="lt-LT"/>
        </w:rPr>
        <w:t>.</w:t>
      </w:r>
      <w:r w:rsidR="00BB1B3B">
        <w:rPr>
          <w:szCs w:val="24"/>
          <w:lang w:val="lt-LT"/>
        </w:rPr>
        <w:t xml:space="preserve"> Tad ES finansinė parama buvo tik pradžia siekiant verslo plėtros</w:t>
      </w:r>
      <w:r w:rsidR="004A1FD7">
        <w:rPr>
          <w:szCs w:val="24"/>
          <w:lang w:val="lt-LT"/>
        </w:rPr>
        <w:t xml:space="preserve"> ir modernizavimo</w:t>
      </w:r>
      <w:r w:rsidR="00BB1B3B">
        <w:rPr>
          <w:szCs w:val="24"/>
          <w:lang w:val="lt-LT"/>
        </w:rPr>
        <w:t>, o 2013 m. fiksu</w:t>
      </w:r>
      <w:r w:rsidR="004A1FD7">
        <w:rPr>
          <w:szCs w:val="24"/>
          <w:lang w:val="lt-LT"/>
        </w:rPr>
        <w:t>o</w:t>
      </w:r>
      <w:r w:rsidR="00BB1B3B">
        <w:rPr>
          <w:szCs w:val="24"/>
          <w:lang w:val="lt-LT"/>
        </w:rPr>
        <w:t>tas jau mažėjantis įsipare</w:t>
      </w:r>
      <w:r w:rsidR="004A1FD7">
        <w:rPr>
          <w:szCs w:val="24"/>
          <w:lang w:val="lt-LT"/>
        </w:rPr>
        <w:t>igojimų ir nuosavo kapitalo san</w:t>
      </w:r>
      <w:r w:rsidR="00BB1B3B">
        <w:rPr>
          <w:szCs w:val="24"/>
          <w:lang w:val="lt-LT"/>
        </w:rPr>
        <w:t>tykis, reiškiantis, kad mažinami prisiimti įsipareigojimai po ES finansinės paramos panaudojimo.</w:t>
      </w:r>
      <w:r w:rsidR="00D7191C" w:rsidRPr="00ED3D25">
        <w:rPr>
          <w:szCs w:val="24"/>
          <w:lang w:val="lt-LT"/>
        </w:rPr>
        <w:t xml:space="preserve"> </w:t>
      </w:r>
      <w:r w:rsidR="00FA7B27" w:rsidRPr="00ED3D25">
        <w:rPr>
          <w:szCs w:val="24"/>
          <w:lang w:val="lt-LT"/>
        </w:rPr>
        <w:t xml:space="preserve">Apskaičiuotas turto ir nuosavo kapitalo santykis parodo, kad įmonės A nuosavas kapitalas uždirba daugiau turto, nei buvo į jį investuota, </w:t>
      </w:r>
      <w:r w:rsidR="004A1FD7">
        <w:rPr>
          <w:szCs w:val="24"/>
          <w:lang w:val="lt-LT"/>
        </w:rPr>
        <w:t xml:space="preserve"> nuo 2007 m.</w:t>
      </w:r>
      <w:r w:rsidR="005E419B">
        <w:rPr>
          <w:szCs w:val="24"/>
          <w:lang w:val="lt-LT"/>
        </w:rPr>
        <w:t xml:space="preserve"> iki 2009</w:t>
      </w:r>
      <w:r w:rsidR="00FA7B27" w:rsidRPr="00ED3D25">
        <w:rPr>
          <w:szCs w:val="24"/>
          <w:lang w:val="lt-LT"/>
        </w:rPr>
        <w:t xml:space="preserve"> m.</w:t>
      </w:r>
      <w:r w:rsidR="005E419B">
        <w:rPr>
          <w:szCs w:val="24"/>
          <w:lang w:val="lt-LT"/>
        </w:rPr>
        <w:t xml:space="preserve"> pabaigos, kol buvo vykdoma įmonės plėtra rodiklis nukrito nuo 1,33 iki 1,14, tačiau 2010-2013 m.</w:t>
      </w:r>
      <w:r w:rsidR="00FA7B27" w:rsidRPr="00ED3D25">
        <w:rPr>
          <w:szCs w:val="24"/>
          <w:lang w:val="lt-LT"/>
        </w:rPr>
        <w:t xml:space="preserve"> laikotarpiu</w:t>
      </w:r>
      <w:r w:rsidR="005E419B">
        <w:rPr>
          <w:szCs w:val="24"/>
          <w:lang w:val="lt-LT"/>
        </w:rPr>
        <w:t xml:space="preserve"> reikšmė </w:t>
      </w:r>
      <w:r w:rsidR="00F85F53">
        <w:rPr>
          <w:szCs w:val="24"/>
          <w:lang w:val="lt-LT"/>
        </w:rPr>
        <w:t xml:space="preserve">greitai </w:t>
      </w:r>
      <w:r w:rsidR="00FA7B27" w:rsidRPr="00ED3D25">
        <w:rPr>
          <w:szCs w:val="24"/>
          <w:lang w:val="lt-LT"/>
        </w:rPr>
        <w:t xml:space="preserve">išaugo iki </w:t>
      </w:r>
      <w:r w:rsidR="00A842DD" w:rsidRPr="00ED3D25">
        <w:rPr>
          <w:szCs w:val="24"/>
          <w:lang w:val="lt-LT"/>
        </w:rPr>
        <w:t>3,5</w:t>
      </w:r>
      <w:r w:rsidR="00FA7B27" w:rsidRPr="00ED3D25">
        <w:rPr>
          <w:szCs w:val="24"/>
          <w:lang w:val="lt-LT"/>
        </w:rPr>
        <w:t xml:space="preserve">. </w:t>
      </w:r>
      <w:r w:rsidR="005E419B">
        <w:rPr>
          <w:szCs w:val="24"/>
          <w:lang w:val="lt-LT"/>
        </w:rPr>
        <w:t>Tad įmon</w:t>
      </w:r>
      <w:r w:rsidR="00B76F76">
        <w:rPr>
          <w:szCs w:val="24"/>
          <w:lang w:val="lt-LT"/>
        </w:rPr>
        <w:t>ės A modernizavimas panaudojant</w:t>
      </w:r>
      <w:r w:rsidR="005E419B">
        <w:rPr>
          <w:szCs w:val="24"/>
          <w:lang w:val="lt-LT"/>
        </w:rPr>
        <w:t xml:space="preserve"> ES finansinę paramą turėjo teigiamos reikšmės.</w:t>
      </w:r>
    </w:p>
    <w:p w:rsidR="009B5268" w:rsidRPr="00FD5C5E" w:rsidRDefault="00E22853" w:rsidP="00FD5C5E">
      <w:pPr>
        <w:spacing w:line="276" w:lineRule="auto"/>
        <w:jc w:val="right"/>
        <w:rPr>
          <w:b/>
          <w:bCs/>
          <w:szCs w:val="24"/>
          <w:lang w:val="lt-LT"/>
        </w:rPr>
      </w:pPr>
      <w:r w:rsidRPr="00ED3D25">
        <w:rPr>
          <w:b/>
          <w:bCs/>
          <w:szCs w:val="24"/>
          <w:lang w:val="lt-LT"/>
        </w:rPr>
        <w:t>11</w:t>
      </w:r>
      <w:r w:rsidR="009B5268" w:rsidRPr="00ED3D25">
        <w:rPr>
          <w:b/>
          <w:bCs/>
          <w:szCs w:val="24"/>
          <w:lang w:val="lt-LT"/>
        </w:rPr>
        <w:t xml:space="preserve"> lentelė</w:t>
      </w:r>
    </w:p>
    <w:p w:rsidR="009B5268" w:rsidRPr="00ED3D25" w:rsidRDefault="009B5268" w:rsidP="00F45AE3">
      <w:pPr>
        <w:spacing w:after="0" w:line="240" w:lineRule="auto"/>
        <w:jc w:val="center"/>
        <w:rPr>
          <w:b/>
          <w:bCs/>
          <w:sz w:val="22"/>
          <w:lang w:val="lt-LT"/>
        </w:rPr>
      </w:pPr>
      <w:r w:rsidRPr="00ED3D25">
        <w:rPr>
          <w:b/>
          <w:bCs/>
          <w:sz w:val="22"/>
          <w:lang w:val="lt-LT"/>
        </w:rPr>
        <w:t xml:space="preserve">Įmonės A </w:t>
      </w:r>
      <w:r w:rsidR="00757519" w:rsidRPr="00ED3D25">
        <w:rPr>
          <w:b/>
          <w:bCs/>
          <w:sz w:val="22"/>
          <w:lang w:val="lt-LT"/>
        </w:rPr>
        <w:t>pelningumo</w:t>
      </w:r>
      <w:r w:rsidRPr="00ED3D25">
        <w:rPr>
          <w:b/>
          <w:bCs/>
          <w:sz w:val="22"/>
          <w:lang w:val="lt-LT"/>
        </w:rPr>
        <w:t xml:space="preserve"> rodik</w:t>
      </w:r>
      <w:r w:rsidR="00757519" w:rsidRPr="00ED3D25">
        <w:rPr>
          <w:b/>
          <w:bCs/>
          <w:sz w:val="22"/>
          <w:lang w:val="lt-LT"/>
        </w:rPr>
        <w:t>liai</w:t>
      </w:r>
    </w:p>
    <w:p w:rsidR="009B5268" w:rsidRPr="00ED3D25" w:rsidRDefault="009B5268" w:rsidP="00F45AE3">
      <w:pPr>
        <w:spacing w:after="0" w:line="240" w:lineRule="auto"/>
        <w:rPr>
          <w:sz w:val="22"/>
          <w:lang w:val="lt-LT"/>
        </w:rPr>
      </w:pPr>
    </w:p>
    <w:tbl>
      <w:tblPr>
        <w:tblStyle w:val="TableGrid"/>
        <w:tblW w:w="5000" w:type="pct"/>
        <w:jc w:val="center"/>
        <w:tblLook w:val="04A0" w:firstRow="1" w:lastRow="0" w:firstColumn="1" w:lastColumn="0" w:noHBand="0" w:noVBand="1"/>
      </w:tblPr>
      <w:tblGrid>
        <w:gridCol w:w="1595"/>
        <w:gridCol w:w="1652"/>
        <w:gridCol w:w="1652"/>
        <w:gridCol w:w="1652"/>
        <w:gridCol w:w="1652"/>
        <w:gridCol w:w="1652"/>
      </w:tblGrid>
      <w:tr w:rsidR="00291548" w:rsidRPr="00ED3D25" w:rsidTr="00FD5C5E">
        <w:trPr>
          <w:jc w:val="center"/>
        </w:trPr>
        <w:tc>
          <w:tcPr>
            <w:tcW w:w="809" w:type="pct"/>
            <w:tcBorders>
              <w:tl2br w:val="single" w:sz="4" w:space="0" w:color="auto"/>
            </w:tcBorders>
            <w:vAlign w:val="bottom"/>
          </w:tcPr>
          <w:p w:rsidR="00291548" w:rsidRDefault="00291548" w:rsidP="00EB7E62">
            <w:pPr>
              <w:spacing w:line="240" w:lineRule="auto"/>
              <w:jc w:val="right"/>
              <w:rPr>
                <w:b/>
                <w:bCs/>
                <w:lang w:val="lt-LT"/>
              </w:rPr>
            </w:pPr>
            <w:r w:rsidRPr="00ED3D25">
              <w:rPr>
                <w:b/>
                <w:bCs/>
                <w:lang w:val="lt-LT"/>
              </w:rPr>
              <w:t>Rodiklis</w:t>
            </w:r>
          </w:p>
          <w:p w:rsidR="00291548" w:rsidRPr="00ED3D25" w:rsidRDefault="00291548" w:rsidP="00FD5C5E">
            <w:pPr>
              <w:spacing w:line="240" w:lineRule="auto"/>
              <w:jc w:val="left"/>
              <w:rPr>
                <w:b/>
                <w:bCs/>
                <w:lang w:val="lt-LT"/>
              </w:rPr>
            </w:pPr>
            <w:r>
              <w:rPr>
                <w:b/>
                <w:bCs/>
                <w:lang w:val="lt-LT"/>
              </w:rPr>
              <w:t>Metai</w:t>
            </w:r>
          </w:p>
        </w:tc>
        <w:tc>
          <w:tcPr>
            <w:tcW w:w="838" w:type="pct"/>
            <w:vAlign w:val="center"/>
          </w:tcPr>
          <w:p w:rsidR="00291548" w:rsidRPr="00ED3D25" w:rsidRDefault="00291548" w:rsidP="00F45AE3">
            <w:pPr>
              <w:spacing w:line="240" w:lineRule="auto"/>
              <w:jc w:val="center"/>
              <w:rPr>
                <w:b/>
                <w:bCs/>
                <w:lang w:val="lt-LT"/>
              </w:rPr>
            </w:pPr>
            <w:r w:rsidRPr="00ED3D25">
              <w:rPr>
                <w:rFonts w:asciiTheme="majorBidi" w:hAnsiTheme="majorBidi" w:cstheme="majorBidi"/>
                <w:b/>
                <w:bCs/>
                <w:lang w:val="lt-LT"/>
              </w:rPr>
              <w:t>Grynasis pelningumas</w:t>
            </w:r>
          </w:p>
        </w:tc>
        <w:tc>
          <w:tcPr>
            <w:tcW w:w="838" w:type="pct"/>
            <w:vAlign w:val="center"/>
          </w:tcPr>
          <w:p w:rsidR="00291548" w:rsidRPr="00ED3D25" w:rsidRDefault="00291548" w:rsidP="00F45AE3">
            <w:pPr>
              <w:spacing w:line="240" w:lineRule="auto"/>
              <w:jc w:val="center"/>
              <w:rPr>
                <w:rFonts w:asciiTheme="majorBidi" w:hAnsiTheme="majorBidi" w:cstheme="majorBidi"/>
                <w:b/>
                <w:bCs/>
                <w:lang w:val="lt-LT"/>
              </w:rPr>
            </w:pPr>
            <w:r w:rsidRPr="00ED3D25">
              <w:rPr>
                <w:rFonts w:asciiTheme="majorBidi" w:hAnsiTheme="majorBidi" w:cstheme="majorBidi"/>
                <w:b/>
                <w:bCs/>
                <w:lang w:val="lt-LT"/>
              </w:rPr>
              <w:t>Bendrasis pelningumas</w:t>
            </w:r>
          </w:p>
        </w:tc>
        <w:tc>
          <w:tcPr>
            <w:tcW w:w="838" w:type="pct"/>
            <w:vAlign w:val="center"/>
          </w:tcPr>
          <w:p w:rsidR="00291548" w:rsidRPr="00ED3D25" w:rsidRDefault="00291548" w:rsidP="00F45AE3">
            <w:pPr>
              <w:spacing w:line="240" w:lineRule="auto"/>
              <w:jc w:val="center"/>
              <w:rPr>
                <w:b/>
                <w:bCs/>
                <w:lang w:val="lt-LT"/>
              </w:rPr>
            </w:pPr>
            <w:r w:rsidRPr="00ED3D25">
              <w:rPr>
                <w:rFonts w:asciiTheme="majorBidi" w:hAnsiTheme="majorBidi" w:cstheme="majorBidi"/>
                <w:b/>
                <w:bCs/>
                <w:lang w:val="lt-LT"/>
              </w:rPr>
              <w:t>EBIT</w:t>
            </w:r>
          </w:p>
        </w:tc>
        <w:tc>
          <w:tcPr>
            <w:tcW w:w="838" w:type="pct"/>
            <w:vAlign w:val="center"/>
          </w:tcPr>
          <w:p w:rsidR="00291548" w:rsidRPr="00ED3D25" w:rsidRDefault="00291548" w:rsidP="00F45AE3">
            <w:pPr>
              <w:spacing w:line="240" w:lineRule="auto"/>
              <w:jc w:val="center"/>
              <w:rPr>
                <w:b/>
                <w:bCs/>
                <w:lang w:val="lt-LT"/>
              </w:rPr>
            </w:pPr>
            <w:r w:rsidRPr="00ED3D25">
              <w:rPr>
                <w:rFonts w:asciiTheme="majorBidi" w:hAnsiTheme="majorBidi" w:cstheme="majorBidi"/>
                <w:b/>
                <w:bCs/>
                <w:lang w:val="lt-LT"/>
              </w:rPr>
              <w:t>ROA</w:t>
            </w:r>
          </w:p>
        </w:tc>
        <w:tc>
          <w:tcPr>
            <w:tcW w:w="838" w:type="pct"/>
            <w:vAlign w:val="center"/>
          </w:tcPr>
          <w:p w:rsidR="00291548" w:rsidRPr="00ED3D25" w:rsidRDefault="00291548" w:rsidP="007920A8">
            <w:pPr>
              <w:spacing w:line="240" w:lineRule="auto"/>
              <w:jc w:val="center"/>
              <w:rPr>
                <w:b/>
                <w:bCs/>
                <w:lang w:val="lt-LT"/>
              </w:rPr>
            </w:pPr>
            <w:r>
              <w:rPr>
                <w:rFonts w:asciiTheme="majorBidi" w:hAnsiTheme="majorBidi" w:cstheme="majorBidi"/>
                <w:b/>
                <w:bCs/>
                <w:lang w:val="lt-LT"/>
              </w:rPr>
              <w:t>ROE</w:t>
            </w:r>
          </w:p>
        </w:tc>
      </w:tr>
      <w:tr w:rsidR="00FD5C5E" w:rsidRPr="00ED3D25" w:rsidTr="00B36302">
        <w:trPr>
          <w:jc w:val="center"/>
        </w:trPr>
        <w:tc>
          <w:tcPr>
            <w:tcW w:w="809" w:type="pct"/>
            <w:vAlign w:val="center"/>
          </w:tcPr>
          <w:p w:rsidR="009A6BBF" w:rsidRPr="00ED3D25" w:rsidRDefault="009A6BBF" w:rsidP="00FD5C5E">
            <w:pPr>
              <w:spacing w:line="240" w:lineRule="auto"/>
              <w:jc w:val="left"/>
              <w:rPr>
                <w:b/>
                <w:bCs/>
                <w:lang w:val="lt-LT"/>
              </w:rPr>
            </w:pPr>
            <w:r w:rsidRPr="00ED3D25">
              <w:rPr>
                <w:b/>
                <w:bCs/>
                <w:lang w:val="lt-LT"/>
              </w:rPr>
              <w:t>2007 m.</w:t>
            </w:r>
          </w:p>
        </w:tc>
        <w:tc>
          <w:tcPr>
            <w:tcW w:w="838" w:type="pct"/>
            <w:tcBorders>
              <w:bottom w:val="single" w:sz="4" w:space="0" w:color="auto"/>
            </w:tcBorders>
            <w:vAlign w:val="center"/>
          </w:tcPr>
          <w:p w:rsidR="009A6BBF" w:rsidRPr="00ED3D25" w:rsidRDefault="009A6BBF" w:rsidP="00F45AE3">
            <w:pPr>
              <w:spacing w:line="240" w:lineRule="auto"/>
              <w:jc w:val="center"/>
              <w:rPr>
                <w:lang w:val="lt-LT"/>
              </w:rPr>
            </w:pPr>
            <w:r w:rsidRPr="00ED3D25">
              <w:rPr>
                <w:lang w:val="lt-LT"/>
              </w:rPr>
              <w:t>0,1232</w:t>
            </w:r>
          </w:p>
        </w:tc>
        <w:tc>
          <w:tcPr>
            <w:tcW w:w="838" w:type="pct"/>
            <w:tcBorders>
              <w:bottom w:val="single" w:sz="4" w:space="0" w:color="auto"/>
            </w:tcBorders>
            <w:vAlign w:val="center"/>
          </w:tcPr>
          <w:p w:rsidR="009A6BBF" w:rsidRPr="00ED3D25" w:rsidRDefault="009A6BBF" w:rsidP="00F45AE3">
            <w:pPr>
              <w:spacing w:line="240" w:lineRule="auto"/>
              <w:jc w:val="center"/>
              <w:rPr>
                <w:lang w:val="lt-LT"/>
              </w:rPr>
            </w:pPr>
            <w:r w:rsidRPr="00ED3D25">
              <w:rPr>
                <w:lang w:val="lt-LT"/>
              </w:rPr>
              <w:t>0,452</w:t>
            </w:r>
          </w:p>
        </w:tc>
        <w:tc>
          <w:tcPr>
            <w:tcW w:w="838" w:type="pct"/>
            <w:tcBorders>
              <w:bottom w:val="single" w:sz="4" w:space="0" w:color="auto"/>
            </w:tcBorders>
            <w:vAlign w:val="center"/>
          </w:tcPr>
          <w:p w:rsidR="009A6BBF" w:rsidRPr="00ED3D25" w:rsidRDefault="009A6BBF" w:rsidP="00F45AE3">
            <w:pPr>
              <w:spacing w:line="240" w:lineRule="auto"/>
              <w:jc w:val="center"/>
              <w:rPr>
                <w:lang w:val="lt-LT"/>
              </w:rPr>
            </w:pPr>
            <w:r w:rsidRPr="00ED3D25">
              <w:rPr>
                <w:lang w:val="lt-LT"/>
              </w:rPr>
              <w:t>0,1504</w:t>
            </w:r>
          </w:p>
        </w:tc>
        <w:tc>
          <w:tcPr>
            <w:tcW w:w="838" w:type="pct"/>
            <w:tcBorders>
              <w:bottom w:val="single" w:sz="4" w:space="0" w:color="auto"/>
            </w:tcBorders>
            <w:vAlign w:val="center"/>
          </w:tcPr>
          <w:p w:rsidR="009A6BBF" w:rsidRPr="00ED3D25" w:rsidRDefault="009A6BBF" w:rsidP="00F45AE3">
            <w:pPr>
              <w:spacing w:line="240" w:lineRule="auto"/>
              <w:jc w:val="center"/>
              <w:rPr>
                <w:lang w:val="lt-LT"/>
              </w:rPr>
            </w:pPr>
            <w:r w:rsidRPr="00ED3D25">
              <w:rPr>
                <w:lang w:val="lt-LT"/>
              </w:rPr>
              <w:t>-</w:t>
            </w:r>
          </w:p>
        </w:tc>
        <w:tc>
          <w:tcPr>
            <w:tcW w:w="838" w:type="pct"/>
            <w:tcBorders>
              <w:bottom w:val="single" w:sz="4" w:space="0" w:color="auto"/>
            </w:tcBorders>
            <w:vAlign w:val="center"/>
          </w:tcPr>
          <w:p w:rsidR="009A6BBF" w:rsidRPr="00ED3D25" w:rsidRDefault="009A6BBF" w:rsidP="00F45AE3">
            <w:pPr>
              <w:spacing w:line="240" w:lineRule="auto"/>
              <w:jc w:val="center"/>
              <w:rPr>
                <w:lang w:val="lt-LT"/>
              </w:rPr>
            </w:pPr>
            <w:r w:rsidRPr="00ED3D25">
              <w:rPr>
                <w:lang w:val="lt-LT"/>
              </w:rPr>
              <w:t>-</w:t>
            </w:r>
          </w:p>
        </w:tc>
      </w:tr>
      <w:tr w:rsidR="00FD5C5E" w:rsidRPr="00ED3D25" w:rsidTr="00B36302">
        <w:trPr>
          <w:jc w:val="center"/>
        </w:trPr>
        <w:tc>
          <w:tcPr>
            <w:tcW w:w="809" w:type="pct"/>
            <w:vAlign w:val="center"/>
          </w:tcPr>
          <w:p w:rsidR="009A6BBF" w:rsidRPr="00ED3D25" w:rsidRDefault="009A6BBF" w:rsidP="00FD5C5E">
            <w:pPr>
              <w:spacing w:line="240" w:lineRule="auto"/>
              <w:jc w:val="left"/>
              <w:rPr>
                <w:b/>
                <w:bCs/>
                <w:lang w:val="lt-LT"/>
              </w:rPr>
            </w:pPr>
            <w:r w:rsidRPr="00ED3D25">
              <w:rPr>
                <w:b/>
                <w:bCs/>
                <w:lang w:val="lt-LT"/>
              </w:rPr>
              <w:t>2008 m.</w:t>
            </w:r>
          </w:p>
        </w:tc>
        <w:tc>
          <w:tcPr>
            <w:tcW w:w="838" w:type="pct"/>
            <w:tcBorders>
              <w:top w:val="single" w:sz="4" w:space="0" w:color="auto"/>
            </w:tcBorders>
            <w:shd w:val="clear" w:color="auto" w:fill="BFBFBF" w:themeFill="background1" w:themeFillShade="BF"/>
            <w:vAlign w:val="center"/>
          </w:tcPr>
          <w:p w:rsidR="009A6BBF" w:rsidRPr="00ED3D25" w:rsidRDefault="009A6BBF" w:rsidP="00F45AE3">
            <w:pPr>
              <w:spacing w:line="240" w:lineRule="auto"/>
              <w:jc w:val="center"/>
              <w:rPr>
                <w:lang w:val="lt-LT"/>
              </w:rPr>
            </w:pPr>
            <w:r w:rsidRPr="00ED3D25">
              <w:rPr>
                <w:lang w:val="lt-LT"/>
              </w:rPr>
              <w:t>0,1854</w:t>
            </w:r>
          </w:p>
        </w:tc>
        <w:tc>
          <w:tcPr>
            <w:tcW w:w="838" w:type="pct"/>
            <w:tcBorders>
              <w:top w:val="single" w:sz="4" w:space="0" w:color="auto"/>
            </w:tcBorders>
            <w:shd w:val="clear" w:color="auto" w:fill="BFBFBF" w:themeFill="background1" w:themeFillShade="BF"/>
            <w:vAlign w:val="center"/>
          </w:tcPr>
          <w:p w:rsidR="009A6BBF" w:rsidRPr="00ED3D25" w:rsidRDefault="009A6BBF" w:rsidP="00F45AE3">
            <w:pPr>
              <w:spacing w:line="240" w:lineRule="auto"/>
              <w:jc w:val="center"/>
              <w:rPr>
                <w:lang w:val="lt-LT"/>
              </w:rPr>
            </w:pPr>
            <w:r w:rsidRPr="00ED3D25">
              <w:rPr>
                <w:lang w:val="lt-LT"/>
              </w:rPr>
              <w:t>0,6391</w:t>
            </w:r>
          </w:p>
        </w:tc>
        <w:tc>
          <w:tcPr>
            <w:tcW w:w="838" w:type="pct"/>
            <w:tcBorders>
              <w:top w:val="single" w:sz="4" w:space="0" w:color="auto"/>
            </w:tcBorders>
            <w:shd w:val="clear" w:color="auto" w:fill="BFBFBF" w:themeFill="background1" w:themeFillShade="BF"/>
            <w:vAlign w:val="center"/>
          </w:tcPr>
          <w:p w:rsidR="009A6BBF" w:rsidRPr="00ED3D25" w:rsidRDefault="009A6BBF" w:rsidP="00F45AE3">
            <w:pPr>
              <w:spacing w:line="240" w:lineRule="auto"/>
              <w:jc w:val="center"/>
              <w:rPr>
                <w:lang w:val="lt-LT"/>
              </w:rPr>
            </w:pPr>
            <w:r w:rsidRPr="00ED3D25">
              <w:rPr>
                <w:lang w:val="lt-LT"/>
              </w:rPr>
              <w:t>0,2183</w:t>
            </w:r>
          </w:p>
        </w:tc>
        <w:tc>
          <w:tcPr>
            <w:tcW w:w="838" w:type="pct"/>
            <w:tcBorders>
              <w:top w:val="single" w:sz="4" w:space="0" w:color="auto"/>
            </w:tcBorders>
            <w:shd w:val="clear" w:color="auto" w:fill="BFBFBF" w:themeFill="background1" w:themeFillShade="BF"/>
            <w:vAlign w:val="center"/>
          </w:tcPr>
          <w:p w:rsidR="009A6BBF" w:rsidRPr="00ED3D25" w:rsidRDefault="009A6BBF" w:rsidP="00F45AE3">
            <w:pPr>
              <w:spacing w:line="240" w:lineRule="auto"/>
              <w:jc w:val="center"/>
              <w:rPr>
                <w:lang w:val="lt-LT"/>
              </w:rPr>
            </w:pPr>
            <w:r w:rsidRPr="00ED3D25">
              <w:rPr>
                <w:lang w:val="lt-LT"/>
              </w:rPr>
              <w:t>0,3231</w:t>
            </w:r>
          </w:p>
        </w:tc>
        <w:tc>
          <w:tcPr>
            <w:tcW w:w="838" w:type="pct"/>
            <w:tcBorders>
              <w:top w:val="single" w:sz="4" w:space="0" w:color="auto"/>
            </w:tcBorders>
            <w:shd w:val="clear" w:color="auto" w:fill="BFBFBF" w:themeFill="background1" w:themeFillShade="BF"/>
            <w:vAlign w:val="center"/>
          </w:tcPr>
          <w:p w:rsidR="009A6BBF" w:rsidRPr="00ED3D25" w:rsidRDefault="009A6BBF" w:rsidP="00F45AE3">
            <w:pPr>
              <w:spacing w:line="240" w:lineRule="auto"/>
              <w:jc w:val="center"/>
              <w:rPr>
                <w:lang w:val="lt-LT"/>
              </w:rPr>
            </w:pPr>
            <w:r w:rsidRPr="00ED3D25">
              <w:rPr>
                <w:lang w:val="lt-LT"/>
              </w:rPr>
              <w:t>0,4024</w:t>
            </w:r>
          </w:p>
        </w:tc>
      </w:tr>
      <w:tr w:rsidR="00FD5C5E" w:rsidRPr="00ED3D25" w:rsidTr="00B36302">
        <w:trPr>
          <w:jc w:val="center"/>
        </w:trPr>
        <w:tc>
          <w:tcPr>
            <w:tcW w:w="809" w:type="pct"/>
            <w:vAlign w:val="center"/>
          </w:tcPr>
          <w:p w:rsidR="009A6BBF" w:rsidRPr="00ED3D25" w:rsidRDefault="009A6BBF" w:rsidP="00FD5C5E">
            <w:pPr>
              <w:spacing w:line="240" w:lineRule="auto"/>
              <w:jc w:val="left"/>
              <w:rPr>
                <w:b/>
                <w:bCs/>
                <w:lang w:val="lt-LT"/>
              </w:rPr>
            </w:pPr>
            <w:r w:rsidRPr="00ED3D25">
              <w:rPr>
                <w:b/>
                <w:bCs/>
                <w:lang w:val="lt-LT"/>
              </w:rPr>
              <w:t>2009 m.</w:t>
            </w:r>
          </w:p>
        </w:tc>
        <w:tc>
          <w:tcPr>
            <w:tcW w:w="838" w:type="pct"/>
            <w:tcBorders>
              <w:bottom w:val="single" w:sz="4" w:space="0" w:color="auto"/>
            </w:tcBorders>
            <w:shd w:val="clear" w:color="auto" w:fill="BFBFBF" w:themeFill="background1" w:themeFillShade="BF"/>
            <w:vAlign w:val="center"/>
          </w:tcPr>
          <w:p w:rsidR="009A6BBF" w:rsidRPr="00ED3D25" w:rsidRDefault="009A6BBF" w:rsidP="00F45AE3">
            <w:pPr>
              <w:spacing w:line="240" w:lineRule="auto"/>
              <w:jc w:val="center"/>
              <w:rPr>
                <w:lang w:val="lt-LT"/>
              </w:rPr>
            </w:pPr>
            <w:r w:rsidRPr="00ED3D25">
              <w:rPr>
                <w:lang w:val="lt-LT"/>
              </w:rPr>
              <w:t>0,0258</w:t>
            </w:r>
          </w:p>
        </w:tc>
        <w:tc>
          <w:tcPr>
            <w:tcW w:w="838" w:type="pct"/>
            <w:tcBorders>
              <w:bottom w:val="single" w:sz="4" w:space="0" w:color="auto"/>
            </w:tcBorders>
            <w:shd w:val="clear" w:color="auto" w:fill="BFBFBF" w:themeFill="background1" w:themeFillShade="BF"/>
            <w:vAlign w:val="center"/>
          </w:tcPr>
          <w:p w:rsidR="009A6BBF" w:rsidRPr="00ED3D25" w:rsidRDefault="009A6BBF" w:rsidP="00F45AE3">
            <w:pPr>
              <w:spacing w:line="240" w:lineRule="auto"/>
              <w:jc w:val="center"/>
              <w:rPr>
                <w:lang w:val="lt-LT"/>
              </w:rPr>
            </w:pPr>
            <w:r w:rsidRPr="00ED3D25">
              <w:rPr>
                <w:lang w:val="lt-LT"/>
              </w:rPr>
              <w:t>0,7917</w:t>
            </w:r>
          </w:p>
        </w:tc>
        <w:tc>
          <w:tcPr>
            <w:tcW w:w="838" w:type="pct"/>
            <w:tcBorders>
              <w:bottom w:val="single" w:sz="4" w:space="0" w:color="auto"/>
            </w:tcBorders>
            <w:shd w:val="clear" w:color="auto" w:fill="BFBFBF" w:themeFill="background1" w:themeFillShade="BF"/>
            <w:vAlign w:val="center"/>
          </w:tcPr>
          <w:p w:rsidR="009A6BBF" w:rsidRPr="00ED3D25" w:rsidRDefault="009A6BBF" w:rsidP="00F45AE3">
            <w:pPr>
              <w:spacing w:line="240" w:lineRule="auto"/>
              <w:jc w:val="center"/>
              <w:rPr>
                <w:lang w:val="lt-LT"/>
              </w:rPr>
            </w:pPr>
            <w:r w:rsidRPr="00ED3D25">
              <w:rPr>
                <w:lang w:val="lt-LT"/>
              </w:rPr>
              <w:t>0,0370</w:t>
            </w:r>
          </w:p>
        </w:tc>
        <w:tc>
          <w:tcPr>
            <w:tcW w:w="838" w:type="pct"/>
            <w:tcBorders>
              <w:bottom w:val="single" w:sz="4" w:space="0" w:color="auto"/>
            </w:tcBorders>
            <w:shd w:val="clear" w:color="auto" w:fill="BFBFBF" w:themeFill="background1" w:themeFillShade="BF"/>
            <w:vAlign w:val="center"/>
          </w:tcPr>
          <w:p w:rsidR="009A6BBF" w:rsidRPr="00ED3D25" w:rsidRDefault="009A6BBF" w:rsidP="00F45AE3">
            <w:pPr>
              <w:spacing w:line="240" w:lineRule="auto"/>
              <w:jc w:val="center"/>
              <w:rPr>
                <w:lang w:val="lt-LT"/>
              </w:rPr>
            </w:pPr>
            <w:r w:rsidRPr="00ED3D25">
              <w:rPr>
                <w:lang w:val="lt-LT"/>
              </w:rPr>
              <w:t>0,0196</w:t>
            </w:r>
          </w:p>
        </w:tc>
        <w:tc>
          <w:tcPr>
            <w:tcW w:w="838" w:type="pct"/>
            <w:tcBorders>
              <w:bottom w:val="single" w:sz="4" w:space="0" w:color="auto"/>
            </w:tcBorders>
            <w:shd w:val="clear" w:color="auto" w:fill="BFBFBF" w:themeFill="background1" w:themeFillShade="BF"/>
            <w:vAlign w:val="center"/>
          </w:tcPr>
          <w:p w:rsidR="009A6BBF" w:rsidRPr="00ED3D25" w:rsidRDefault="009A6BBF" w:rsidP="00F45AE3">
            <w:pPr>
              <w:spacing w:line="240" w:lineRule="auto"/>
              <w:jc w:val="center"/>
              <w:rPr>
                <w:lang w:val="lt-LT"/>
              </w:rPr>
            </w:pPr>
            <w:r w:rsidRPr="00ED3D25">
              <w:rPr>
                <w:lang w:val="lt-LT"/>
              </w:rPr>
              <w:t>0,0256</w:t>
            </w:r>
          </w:p>
        </w:tc>
      </w:tr>
      <w:tr w:rsidR="00FD5C5E" w:rsidRPr="00ED3D25" w:rsidTr="00B36302">
        <w:trPr>
          <w:jc w:val="center"/>
        </w:trPr>
        <w:tc>
          <w:tcPr>
            <w:tcW w:w="809" w:type="pct"/>
            <w:vAlign w:val="center"/>
          </w:tcPr>
          <w:p w:rsidR="009A6BBF" w:rsidRPr="00ED3D25" w:rsidRDefault="009A6BBF" w:rsidP="00FD5C5E">
            <w:pPr>
              <w:spacing w:line="240" w:lineRule="auto"/>
              <w:jc w:val="left"/>
              <w:rPr>
                <w:b/>
                <w:bCs/>
                <w:lang w:val="lt-LT"/>
              </w:rPr>
            </w:pPr>
            <w:r w:rsidRPr="00ED3D25">
              <w:rPr>
                <w:b/>
                <w:bCs/>
                <w:lang w:val="lt-LT"/>
              </w:rPr>
              <w:t>2010 m.</w:t>
            </w:r>
          </w:p>
        </w:tc>
        <w:tc>
          <w:tcPr>
            <w:tcW w:w="838" w:type="pct"/>
            <w:tcBorders>
              <w:top w:val="single" w:sz="4" w:space="0" w:color="auto"/>
            </w:tcBorders>
            <w:vAlign w:val="center"/>
          </w:tcPr>
          <w:p w:rsidR="009A6BBF" w:rsidRPr="00ED3D25" w:rsidRDefault="009A6BBF" w:rsidP="00F45AE3">
            <w:pPr>
              <w:spacing w:line="240" w:lineRule="auto"/>
              <w:jc w:val="center"/>
              <w:rPr>
                <w:lang w:val="lt-LT"/>
              </w:rPr>
            </w:pPr>
            <w:r w:rsidRPr="00ED3D25">
              <w:rPr>
                <w:lang w:val="lt-LT"/>
              </w:rPr>
              <w:t>0,0393</w:t>
            </w:r>
          </w:p>
        </w:tc>
        <w:tc>
          <w:tcPr>
            <w:tcW w:w="838" w:type="pct"/>
            <w:tcBorders>
              <w:top w:val="single" w:sz="4" w:space="0" w:color="auto"/>
            </w:tcBorders>
            <w:vAlign w:val="center"/>
          </w:tcPr>
          <w:p w:rsidR="009A6BBF" w:rsidRPr="00ED3D25" w:rsidRDefault="009A6BBF" w:rsidP="00F45AE3">
            <w:pPr>
              <w:spacing w:line="240" w:lineRule="auto"/>
              <w:jc w:val="center"/>
              <w:rPr>
                <w:lang w:val="lt-LT"/>
              </w:rPr>
            </w:pPr>
            <w:r w:rsidRPr="00ED3D25">
              <w:rPr>
                <w:lang w:val="lt-LT"/>
              </w:rPr>
              <w:t>0,6176</w:t>
            </w:r>
          </w:p>
        </w:tc>
        <w:tc>
          <w:tcPr>
            <w:tcW w:w="838" w:type="pct"/>
            <w:tcBorders>
              <w:top w:val="single" w:sz="4" w:space="0" w:color="auto"/>
            </w:tcBorders>
            <w:vAlign w:val="center"/>
          </w:tcPr>
          <w:p w:rsidR="009A6BBF" w:rsidRPr="00ED3D25" w:rsidRDefault="009A6BBF" w:rsidP="00F45AE3">
            <w:pPr>
              <w:spacing w:line="240" w:lineRule="auto"/>
              <w:jc w:val="center"/>
              <w:rPr>
                <w:lang w:val="lt-LT"/>
              </w:rPr>
            </w:pPr>
            <w:r w:rsidRPr="00ED3D25">
              <w:rPr>
                <w:lang w:val="lt-LT"/>
              </w:rPr>
              <w:t>0,0504</w:t>
            </w:r>
          </w:p>
        </w:tc>
        <w:tc>
          <w:tcPr>
            <w:tcW w:w="838" w:type="pct"/>
            <w:tcBorders>
              <w:top w:val="single" w:sz="4" w:space="0" w:color="auto"/>
            </w:tcBorders>
            <w:vAlign w:val="center"/>
          </w:tcPr>
          <w:p w:rsidR="009A6BBF" w:rsidRPr="00ED3D25" w:rsidRDefault="009A6BBF" w:rsidP="00F45AE3">
            <w:pPr>
              <w:spacing w:line="240" w:lineRule="auto"/>
              <w:jc w:val="center"/>
              <w:rPr>
                <w:lang w:val="lt-LT"/>
              </w:rPr>
            </w:pPr>
            <w:r w:rsidRPr="00ED3D25">
              <w:rPr>
                <w:lang w:val="lt-LT"/>
              </w:rPr>
              <w:t>0,0268</w:t>
            </w:r>
          </w:p>
        </w:tc>
        <w:tc>
          <w:tcPr>
            <w:tcW w:w="838" w:type="pct"/>
            <w:tcBorders>
              <w:top w:val="single" w:sz="4" w:space="0" w:color="auto"/>
            </w:tcBorders>
            <w:vAlign w:val="center"/>
          </w:tcPr>
          <w:p w:rsidR="009A6BBF" w:rsidRPr="00ED3D25" w:rsidRDefault="009A6BBF" w:rsidP="00F45AE3">
            <w:pPr>
              <w:spacing w:line="240" w:lineRule="auto"/>
              <w:jc w:val="center"/>
              <w:rPr>
                <w:lang w:val="lt-LT"/>
              </w:rPr>
            </w:pPr>
            <w:r w:rsidRPr="00ED3D25">
              <w:rPr>
                <w:lang w:val="lt-LT"/>
              </w:rPr>
              <w:t>0,0335</w:t>
            </w:r>
          </w:p>
        </w:tc>
      </w:tr>
      <w:tr w:rsidR="00FD5C5E" w:rsidRPr="00ED3D25" w:rsidTr="00FD5C5E">
        <w:trPr>
          <w:jc w:val="center"/>
        </w:trPr>
        <w:tc>
          <w:tcPr>
            <w:tcW w:w="809" w:type="pct"/>
            <w:vAlign w:val="center"/>
          </w:tcPr>
          <w:p w:rsidR="009A6BBF" w:rsidRPr="00ED3D25" w:rsidRDefault="009A6BBF" w:rsidP="00FD5C5E">
            <w:pPr>
              <w:spacing w:line="240" w:lineRule="auto"/>
              <w:jc w:val="left"/>
              <w:rPr>
                <w:b/>
                <w:bCs/>
                <w:lang w:val="lt-LT"/>
              </w:rPr>
            </w:pPr>
            <w:r w:rsidRPr="00ED3D25">
              <w:rPr>
                <w:b/>
                <w:bCs/>
                <w:lang w:val="lt-LT"/>
              </w:rPr>
              <w:t>2011 m.</w:t>
            </w:r>
          </w:p>
        </w:tc>
        <w:tc>
          <w:tcPr>
            <w:tcW w:w="838" w:type="pct"/>
            <w:vAlign w:val="center"/>
          </w:tcPr>
          <w:p w:rsidR="009A6BBF" w:rsidRPr="00ED3D25" w:rsidRDefault="00A842DD" w:rsidP="00F45AE3">
            <w:pPr>
              <w:spacing w:line="240" w:lineRule="auto"/>
              <w:jc w:val="center"/>
              <w:rPr>
                <w:lang w:val="lt-LT"/>
              </w:rPr>
            </w:pPr>
            <w:r w:rsidRPr="00ED3D25">
              <w:rPr>
                <w:lang w:val="lt-LT"/>
              </w:rPr>
              <w:t>0,0211</w:t>
            </w:r>
          </w:p>
        </w:tc>
        <w:tc>
          <w:tcPr>
            <w:tcW w:w="838" w:type="pct"/>
            <w:vAlign w:val="center"/>
          </w:tcPr>
          <w:p w:rsidR="009A6BBF" w:rsidRPr="00ED3D25" w:rsidRDefault="00A842DD" w:rsidP="00F45AE3">
            <w:pPr>
              <w:spacing w:line="240" w:lineRule="auto"/>
              <w:jc w:val="center"/>
              <w:rPr>
                <w:lang w:val="lt-LT"/>
              </w:rPr>
            </w:pPr>
            <w:r w:rsidRPr="00ED3D25">
              <w:rPr>
                <w:lang w:val="lt-LT"/>
              </w:rPr>
              <w:t>0,3505</w:t>
            </w:r>
          </w:p>
        </w:tc>
        <w:tc>
          <w:tcPr>
            <w:tcW w:w="838" w:type="pct"/>
            <w:vAlign w:val="center"/>
          </w:tcPr>
          <w:p w:rsidR="009A6BBF" w:rsidRPr="00ED3D25" w:rsidRDefault="006C3181" w:rsidP="00F45AE3">
            <w:pPr>
              <w:spacing w:line="240" w:lineRule="auto"/>
              <w:jc w:val="center"/>
              <w:rPr>
                <w:lang w:val="lt-LT"/>
              </w:rPr>
            </w:pPr>
            <w:r w:rsidRPr="00ED3D25">
              <w:rPr>
                <w:lang w:val="lt-LT"/>
              </w:rPr>
              <w:t>0,0279</w:t>
            </w:r>
          </w:p>
        </w:tc>
        <w:tc>
          <w:tcPr>
            <w:tcW w:w="838" w:type="pct"/>
            <w:vAlign w:val="center"/>
          </w:tcPr>
          <w:p w:rsidR="009A6BBF" w:rsidRPr="00ED3D25" w:rsidRDefault="006C3181" w:rsidP="00F45AE3">
            <w:pPr>
              <w:spacing w:line="240" w:lineRule="auto"/>
              <w:jc w:val="center"/>
              <w:rPr>
                <w:lang w:val="lt-LT"/>
              </w:rPr>
            </w:pPr>
            <w:r w:rsidRPr="00ED3D25">
              <w:rPr>
                <w:lang w:val="lt-LT"/>
              </w:rPr>
              <w:t>0,0142</w:t>
            </w:r>
          </w:p>
        </w:tc>
        <w:tc>
          <w:tcPr>
            <w:tcW w:w="838" w:type="pct"/>
            <w:vAlign w:val="center"/>
          </w:tcPr>
          <w:p w:rsidR="009A6BBF" w:rsidRPr="00ED3D25" w:rsidRDefault="00052DA9" w:rsidP="00F45AE3">
            <w:pPr>
              <w:spacing w:line="240" w:lineRule="auto"/>
              <w:jc w:val="center"/>
              <w:rPr>
                <w:lang w:val="lt-LT"/>
              </w:rPr>
            </w:pPr>
            <w:r w:rsidRPr="00ED3D25">
              <w:rPr>
                <w:lang w:val="lt-LT"/>
              </w:rPr>
              <w:t>0,0371</w:t>
            </w:r>
          </w:p>
        </w:tc>
      </w:tr>
      <w:tr w:rsidR="00FD5C5E" w:rsidRPr="00ED3D25" w:rsidTr="00FD5C5E">
        <w:trPr>
          <w:jc w:val="center"/>
        </w:trPr>
        <w:tc>
          <w:tcPr>
            <w:tcW w:w="809" w:type="pct"/>
            <w:vAlign w:val="center"/>
          </w:tcPr>
          <w:p w:rsidR="009A6BBF" w:rsidRPr="00ED3D25" w:rsidRDefault="009A6BBF" w:rsidP="00FD5C5E">
            <w:pPr>
              <w:spacing w:line="240" w:lineRule="auto"/>
              <w:jc w:val="left"/>
              <w:rPr>
                <w:b/>
                <w:bCs/>
                <w:lang w:val="lt-LT"/>
              </w:rPr>
            </w:pPr>
            <w:r w:rsidRPr="00ED3D25">
              <w:rPr>
                <w:b/>
                <w:bCs/>
                <w:lang w:val="lt-LT"/>
              </w:rPr>
              <w:t>2012 m.</w:t>
            </w:r>
          </w:p>
        </w:tc>
        <w:tc>
          <w:tcPr>
            <w:tcW w:w="838" w:type="pct"/>
            <w:vAlign w:val="center"/>
          </w:tcPr>
          <w:p w:rsidR="009A6BBF" w:rsidRPr="00ED3D25" w:rsidRDefault="00A842DD" w:rsidP="00F45AE3">
            <w:pPr>
              <w:spacing w:line="240" w:lineRule="auto"/>
              <w:jc w:val="center"/>
              <w:rPr>
                <w:lang w:val="lt-LT"/>
              </w:rPr>
            </w:pPr>
            <w:r w:rsidRPr="00ED3D25">
              <w:rPr>
                <w:lang w:val="lt-LT"/>
              </w:rPr>
              <w:t>0,0203</w:t>
            </w:r>
          </w:p>
        </w:tc>
        <w:tc>
          <w:tcPr>
            <w:tcW w:w="838" w:type="pct"/>
            <w:vAlign w:val="center"/>
          </w:tcPr>
          <w:p w:rsidR="009A6BBF" w:rsidRPr="00ED3D25" w:rsidRDefault="00A842DD" w:rsidP="00F45AE3">
            <w:pPr>
              <w:spacing w:line="240" w:lineRule="auto"/>
              <w:jc w:val="center"/>
              <w:rPr>
                <w:lang w:val="lt-LT"/>
              </w:rPr>
            </w:pPr>
            <w:r w:rsidRPr="00ED3D25">
              <w:rPr>
                <w:lang w:val="lt-LT"/>
              </w:rPr>
              <w:t>0,4293</w:t>
            </w:r>
          </w:p>
        </w:tc>
        <w:tc>
          <w:tcPr>
            <w:tcW w:w="838" w:type="pct"/>
            <w:vAlign w:val="center"/>
          </w:tcPr>
          <w:p w:rsidR="009A6BBF" w:rsidRPr="00ED3D25" w:rsidRDefault="006C3181" w:rsidP="00F45AE3">
            <w:pPr>
              <w:spacing w:line="240" w:lineRule="auto"/>
              <w:jc w:val="center"/>
              <w:rPr>
                <w:lang w:val="lt-LT"/>
              </w:rPr>
            </w:pPr>
            <w:r w:rsidRPr="00ED3D25">
              <w:rPr>
                <w:lang w:val="lt-LT"/>
              </w:rPr>
              <w:t>0,05</w:t>
            </w:r>
          </w:p>
        </w:tc>
        <w:tc>
          <w:tcPr>
            <w:tcW w:w="838" w:type="pct"/>
            <w:vAlign w:val="center"/>
          </w:tcPr>
          <w:p w:rsidR="009A6BBF" w:rsidRPr="00ED3D25" w:rsidRDefault="00052DA9" w:rsidP="00F45AE3">
            <w:pPr>
              <w:spacing w:line="240" w:lineRule="auto"/>
              <w:jc w:val="center"/>
              <w:rPr>
                <w:lang w:val="lt-LT"/>
              </w:rPr>
            </w:pPr>
            <w:r w:rsidRPr="00ED3D25">
              <w:rPr>
                <w:lang w:val="lt-LT"/>
              </w:rPr>
              <w:t>0,0109</w:t>
            </w:r>
          </w:p>
        </w:tc>
        <w:tc>
          <w:tcPr>
            <w:tcW w:w="838" w:type="pct"/>
            <w:vAlign w:val="center"/>
          </w:tcPr>
          <w:p w:rsidR="009A6BBF" w:rsidRPr="00ED3D25" w:rsidRDefault="00052DA9" w:rsidP="00F45AE3">
            <w:pPr>
              <w:spacing w:line="240" w:lineRule="auto"/>
              <w:jc w:val="center"/>
              <w:rPr>
                <w:lang w:val="lt-LT"/>
              </w:rPr>
            </w:pPr>
            <w:r w:rsidRPr="00ED3D25">
              <w:rPr>
                <w:lang w:val="lt-LT"/>
              </w:rPr>
              <w:t>0,0419</w:t>
            </w:r>
          </w:p>
        </w:tc>
      </w:tr>
      <w:tr w:rsidR="00FD5C5E" w:rsidRPr="00ED3D25" w:rsidTr="00FD5C5E">
        <w:trPr>
          <w:jc w:val="center"/>
        </w:trPr>
        <w:tc>
          <w:tcPr>
            <w:tcW w:w="809" w:type="pct"/>
            <w:vAlign w:val="center"/>
          </w:tcPr>
          <w:p w:rsidR="009A6BBF" w:rsidRPr="00ED3D25" w:rsidRDefault="009A6BBF" w:rsidP="00FD5C5E">
            <w:pPr>
              <w:spacing w:line="240" w:lineRule="auto"/>
              <w:jc w:val="left"/>
              <w:rPr>
                <w:b/>
                <w:bCs/>
                <w:lang w:val="lt-LT"/>
              </w:rPr>
            </w:pPr>
            <w:r w:rsidRPr="00ED3D25">
              <w:rPr>
                <w:b/>
                <w:bCs/>
                <w:lang w:val="lt-LT"/>
              </w:rPr>
              <w:t>2013 m.</w:t>
            </w:r>
          </w:p>
        </w:tc>
        <w:tc>
          <w:tcPr>
            <w:tcW w:w="838" w:type="pct"/>
            <w:vAlign w:val="center"/>
          </w:tcPr>
          <w:p w:rsidR="009A6BBF" w:rsidRPr="00ED3D25" w:rsidRDefault="00A842DD" w:rsidP="00F45AE3">
            <w:pPr>
              <w:spacing w:line="240" w:lineRule="auto"/>
              <w:jc w:val="center"/>
              <w:rPr>
                <w:lang w:val="lt-LT"/>
              </w:rPr>
            </w:pPr>
            <w:r w:rsidRPr="00ED3D25">
              <w:rPr>
                <w:lang w:val="lt-LT"/>
              </w:rPr>
              <w:t>0,0279</w:t>
            </w:r>
          </w:p>
        </w:tc>
        <w:tc>
          <w:tcPr>
            <w:tcW w:w="838" w:type="pct"/>
            <w:vAlign w:val="center"/>
          </w:tcPr>
          <w:p w:rsidR="009A6BBF" w:rsidRPr="00ED3D25" w:rsidRDefault="00A842DD" w:rsidP="00F45AE3">
            <w:pPr>
              <w:spacing w:line="240" w:lineRule="auto"/>
              <w:jc w:val="center"/>
              <w:rPr>
                <w:lang w:val="lt-LT"/>
              </w:rPr>
            </w:pPr>
            <w:r w:rsidRPr="00ED3D25">
              <w:rPr>
                <w:lang w:val="lt-LT"/>
              </w:rPr>
              <w:t>0,5044</w:t>
            </w:r>
          </w:p>
        </w:tc>
        <w:tc>
          <w:tcPr>
            <w:tcW w:w="838" w:type="pct"/>
            <w:vAlign w:val="center"/>
          </w:tcPr>
          <w:p w:rsidR="009A6BBF" w:rsidRPr="00ED3D25" w:rsidRDefault="006C3181" w:rsidP="00F45AE3">
            <w:pPr>
              <w:spacing w:line="240" w:lineRule="auto"/>
              <w:jc w:val="center"/>
              <w:rPr>
                <w:lang w:val="lt-LT"/>
              </w:rPr>
            </w:pPr>
            <w:r w:rsidRPr="00ED3D25">
              <w:rPr>
                <w:lang w:val="lt-LT"/>
              </w:rPr>
              <w:t>0,0435</w:t>
            </w:r>
          </w:p>
        </w:tc>
        <w:tc>
          <w:tcPr>
            <w:tcW w:w="838" w:type="pct"/>
            <w:vAlign w:val="center"/>
          </w:tcPr>
          <w:p w:rsidR="009A6BBF" w:rsidRPr="00ED3D25" w:rsidRDefault="00052DA9" w:rsidP="00F45AE3">
            <w:pPr>
              <w:spacing w:line="240" w:lineRule="auto"/>
              <w:jc w:val="center"/>
              <w:rPr>
                <w:lang w:val="lt-LT"/>
              </w:rPr>
            </w:pPr>
            <w:r w:rsidRPr="00ED3D25">
              <w:rPr>
                <w:lang w:val="lt-LT"/>
              </w:rPr>
              <w:t>0,0132</w:t>
            </w:r>
          </w:p>
        </w:tc>
        <w:tc>
          <w:tcPr>
            <w:tcW w:w="838" w:type="pct"/>
            <w:vAlign w:val="center"/>
          </w:tcPr>
          <w:p w:rsidR="009A6BBF" w:rsidRPr="00ED3D25" w:rsidRDefault="006C2E70" w:rsidP="00F45AE3">
            <w:pPr>
              <w:spacing w:line="240" w:lineRule="auto"/>
              <w:jc w:val="center"/>
              <w:rPr>
                <w:lang w:val="lt-LT"/>
              </w:rPr>
            </w:pPr>
            <w:r w:rsidRPr="00ED3D25">
              <w:rPr>
                <w:lang w:val="lt-LT"/>
              </w:rPr>
              <w:t>0,0484</w:t>
            </w:r>
          </w:p>
        </w:tc>
      </w:tr>
    </w:tbl>
    <w:p w:rsidR="00926182" w:rsidRPr="00ED3D25" w:rsidRDefault="00926182" w:rsidP="00FE0D46">
      <w:pPr>
        <w:tabs>
          <w:tab w:val="left" w:pos="8456"/>
        </w:tabs>
        <w:spacing w:after="0" w:line="240" w:lineRule="auto"/>
        <w:rPr>
          <w:sz w:val="20"/>
          <w:szCs w:val="20"/>
          <w:lang w:val="lt-LT"/>
        </w:rPr>
      </w:pPr>
      <w:r w:rsidRPr="00ED3D25">
        <w:rPr>
          <w:sz w:val="20"/>
          <w:szCs w:val="20"/>
          <w:lang w:val="lt-LT"/>
        </w:rPr>
        <w:t>Pastaba: lentelė sudaryta autorės, remiantis įmonės A</w:t>
      </w:r>
      <w:r w:rsidR="005A4CF0" w:rsidRPr="00ED3D25">
        <w:rPr>
          <w:sz w:val="20"/>
          <w:szCs w:val="20"/>
          <w:lang w:val="lt-LT"/>
        </w:rPr>
        <w:t xml:space="preserve"> 2007-2013 m. pelno (nuostolio) ataskaitos</w:t>
      </w:r>
      <w:r w:rsidR="006C2E70" w:rsidRPr="00ED3D25">
        <w:rPr>
          <w:sz w:val="20"/>
          <w:szCs w:val="20"/>
          <w:lang w:val="lt-LT"/>
        </w:rPr>
        <w:t xml:space="preserve"> ir balanso</w:t>
      </w:r>
      <w:r w:rsidR="00FE0D46">
        <w:rPr>
          <w:sz w:val="20"/>
          <w:szCs w:val="20"/>
          <w:lang w:val="lt-LT"/>
        </w:rPr>
        <w:t xml:space="preserve"> finansiniais duomenimis, taip pat </w:t>
      </w:r>
      <w:r w:rsidR="00FE0D46" w:rsidRPr="00B36302">
        <w:rPr>
          <w:sz w:val="20"/>
          <w:szCs w:val="20"/>
          <w:lang w:val="lt-LT"/>
        </w:rPr>
        <w:t xml:space="preserve"> </w:t>
      </w:r>
      <w:r w:rsidR="00FE0D46">
        <w:rPr>
          <w:sz w:val="20"/>
          <w:szCs w:val="20"/>
          <w:lang w:val="lt-LT"/>
        </w:rPr>
        <w:t>paryškintas laikotarpis, kada įmonė gavo paramą.</w:t>
      </w:r>
    </w:p>
    <w:p w:rsidR="00FA7B27" w:rsidRPr="00FE0D46" w:rsidRDefault="00FA7B27" w:rsidP="00F45AE3">
      <w:pPr>
        <w:spacing w:after="0" w:line="240" w:lineRule="auto"/>
        <w:rPr>
          <w:sz w:val="14"/>
          <w:szCs w:val="14"/>
          <w:lang w:val="lt-LT"/>
        </w:rPr>
      </w:pPr>
    </w:p>
    <w:p w:rsidR="00520499" w:rsidRPr="001D46AA" w:rsidRDefault="00757519" w:rsidP="001D46AA">
      <w:pPr>
        <w:spacing w:after="0"/>
        <w:ind w:firstLine="851"/>
        <w:rPr>
          <w:szCs w:val="24"/>
          <w:lang w:val="lt-LT"/>
        </w:rPr>
      </w:pPr>
      <w:r w:rsidRPr="00ED3D25">
        <w:rPr>
          <w:szCs w:val="24"/>
          <w:lang w:val="lt-LT"/>
        </w:rPr>
        <w:t xml:space="preserve">Analizuojant įmonės A pelningumą (žr. </w:t>
      </w:r>
      <w:r w:rsidR="00540F35">
        <w:rPr>
          <w:szCs w:val="24"/>
          <w:lang w:val="lt-LT"/>
        </w:rPr>
        <w:t>1</w:t>
      </w:r>
      <w:r w:rsidR="004A5728">
        <w:rPr>
          <w:szCs w:val="24"/>
          <w:lang w:val="lt-LT"/>
        </w:rPr>
        <w:t>1</w:t>
      </w:r>
      <w:r w:rsidR="00540F35">
        <w:rPr>
          <w:szCs w:val="24"/>
          <w:lang w:val="lt-LT"/>
        </w:rPr>
        <w:t xml:space="preserve"> lentelę) buvo skaičiuoti penki</w:t>
      </w:r>
      <w:r w:rsidRPr="00ED3D25">
        <w:rPr>
          <w:szCs w:val="24"/>
          <w:lang w:val="lt-LT"/>
        </w:rPr>
        <w:t xml:space="preserve"> rodikliai, kurie padeda geriau suprasti įmonės veiklos padėtį. Pirmasis buvo apskaičiuotas </w:t>
      </w:r>
      <w:r w:rsidR="00CE1200" w:rsidRPr="00ED3D25">
        <w:rPr>
          <w:szCs w:val="24"/>
          <w:lang w:val="lt-LT"/>
        </w:rPr>
        <w:t xml:space="preserve">– </w:t>
      </w:r>
      <w:r w:rsidRPr="00ED3D25">
        <w:rPr>
          <w:szCs w:val="24"/>
          <w:lang w:val="lt-LT"/>
        </w:rPr>
        <w:t>grynasis pelningumas, kuris parodė</w:t>
      </w:r>
      <w:r w:rsidR="00540F35">
        <w:rPr>
          <w:szCs w:val="24"/>
          <w:lang w:val="lt-LT"/>
        </w:rPr>
        <w:t xml:space="preserve"> 2007-2009</w:t>
      </w:r>
      <w:r w:rsidR="006C2E70" w:rsidRPr="00ED3D25">
        <w:rPr>
          <w:szCs w:val="24"/>
          <w:lang w:val="lt-LT"/>
        </w:rPr>
        <w:t xml:space="preserve"> m. žymų svyravimą, o tik vėliau reikšmė nusistovėjo apie 0,02-0,03</w:t>
      </w:r>
      <w:r w:rsidR="00540F35">
        <w:rPr>
          <w:szCs w:val="24"/>
          <w:lang w:val="lt-LT"/>
        </w:rPr>
        <w:t xml:space="preserve"> (2013 m.</w:t>
      </w:r>
      <w:r w:rsidR="00B76F76">
        <w:rPr>
          <w:szCs w:val="24"/>
          <w:lang w:val="lt-LT"/>
        </w:rPr>
        <w:t>).</w:t>
      </w:r>
      <w:r w:rsidR="00CE1200" w:rsidRPr="00ED3D25">
        <w:rPr>
          <w:szCs w:val="24"/>
          <w:lang w:val="lt-LT"/>
        </w:rPr>
        <w:t xml:space="preserve"> Daugiausiai pelno buvo uždirbta 2008 m., kai rodiklis siekė 18,5 proc., tačiau nuo 2009 m. sm</w:t>
      </w:r>
      <w:r w:rsidR="00FD6F85" w:rsidRPr="00ED3D25">
        <w:rPr>
          <w:szCs w:val="24"/>
          <w:lang w:val="lt-LT"/>
        </w:rPr>
        <w:t>arkiai nukrito ir tesiekė 2-3</w:t>
      </w:r>
      <w:r w:rsidR="00CE1200" w:rsidRPr="00ED3D25">
        <w:rPr>
          <w:szCs w:val="24"/>
          <w:lang w:val="lt-LT"/>
        </w:rPr>
        <w:t xml:space="preserve"> proc.</w:t>
      </w:r>
      <w:r w:rsidR="001C72F4">
        <w:rPr>
          <w:szCs w:val="24"/>
          <w:lang w:val="lt-LT"/>
        </w:rPr>
        <w:t xml:space="preserve"> Grynojo pelningumo rodiklis po ES finanasinės paramos gavimo nepadidėjo, nes įmonė ir toliau daug lėšų skyrė investicijoms į įmonės veiklos plėtrą.</w:t>
      </w:r>
      <w:r w:rsidR="00CE1200" w:rsidRPr="00ED3D25">
        <w:rPr>
          <w:szCs w:val="24"/>
          <w:lang w:val="lt-LT"/>
        </w:rPr>
        <w:t xml:space="preserve"> Tam įtakos turėjo </w:t>
      </w:r>
      <w:r w:rsidR="00FD6F85" w:rsidRPr="00ED3D25">
        <w:rPr>
          <w:szCs w:val="24"/>
          <w:lang w:val="lt-LT"/>
        </w:rPr>
        <w:t>finansinės veiklos sąnaudos</w:t>
      </w:r>
      <w:r w:rsidR="00CE1200" w:rsidRPr="00ED3D25">
        <w:rPr>
          <w:szCs w:val="24"/>
          <w:lang w:val="lt-LT"/>
        </w:rPr>
        <w:t xml:space="preserve">, nes buvo vykdomi įmonės plėtros darbai, </w:t>
      </w:r>
      <w:r w:rsidR="00FD6F85" w:rsidRPr="00ED3D25">
        <w:rPr>
          <w:szCs w:val="24"/>
          <w:lang w:val="lt-LT"/>
        </w:rPr>
        <w:t>tad dalis pelno nukeliaudavo į investicijas</w:t>
      </w:r>
      <w:r w:rsidR="00CE1200" w:rsidRPr="00ED3D25">
        <w:rPr>
          <w:szCs w:val="24"/>
          <w:lang w:val="lt-LT"/>
        </w:rPr>
        <w:t xml:space="preserve">. Bendrojo pelningumo rodiklis daug didesnis lyginant su pirmuoju. </w:t>
      </w:r>
      <w:r w:rsidR="00CE1200" w:rsidRPr="00ED3D25">
        <w:rPr>
          <w:szCs w:val="24"/>
          <w:lang w:val="lt-LT"/>
        </w:rPr>
        <w:lastRenderedPageBreak/>
        <w:t xml:space="preserve">Efektyviausias rodiklis siekia 0,79, tai reiškia, kad 1 </w:t>
      </w:r>
      <w:r w:rsidR="00935D0E">
        <w:rPr>
          <w:szCs w:val="24"/>
          <w:lang w:val="lt-LT"/>
        </w:rPr>
        <w:t>pardavimo litas uždirbo 0,79 L</w:t>
      </w:r>
      <w:r w:rsidR="001C72F4">
        <w:rPr>
          <w:szCs w:val="24"/>
          <w:lang w:val="lt-LT"/>
        </w:rPr>
        <w:t>t, t</w:t>
      </w:r>
      <w:r w:rsidR="00935D0E">
        <w:rPr>
          <w:szCs w:val="24"/>
          <w:lang w:val="lt-LT"/>
        </w:rPr>
        <w:t>a</w:t>
      </w:r>
      <w:r w:rsidR="001C72F4">
        <w:rPr>
          <w:szCs w:val="24"/>
          <w:lang w:val="lt-LT"/>
        </w:rPr>
        <w:t xml:space="preserve">i buvo </w:t>
      </w:r>
      <w:r w:rsidR="00935D0E">
        <w:rPr>
          <w:szCs w:val="24"/>
          <w:lang w:val="lt-LT"/>
        </w:rPr>
        <w:t>į</w:t>
      </w:r>
      <w:r w:rsidR="001C72F4">
        <w:rPr>
          <w:szCs w:val="24"/>
          <w:lang w:val="lt-LT"/>
        </w:rPr>
        <w:t>monės modernizavimo pabaigoje.</w:t>
      </w:r>
      <w:r w:rsidR="00CE1200" w:rsidRPr="00ED3D25">
        <w:rPr>
          <w:szCs w:val="24"/>
          <w:lang w:val="lt-LT"/>
        </w:rPr>
        <w:t xml:space="preserve"> </w:t>
      </w:r>
      <w:r w:rsidR="001C72F4">
        <w:rPr>
          <w:szCs w:val="24"/>
          <w:lang w:val="lt-LT"/>
        </w:rPr>
        <w:t>Lygianant bendrąjį pelningumą prieš ES finansinės paramos panaudojimą matyti, kad rodiklis 2013 m. buvo nežymiai didesnis, nei 2007</w:t>
      </w:r>
      <w:r w:rsidR="00935D0E">
        <w:rPr>
          <w:szCs w:val="24"/>
          <w:lang w:val="lt-LT"/>
        </w:rPr>
        <w:t xml:space="preserve"> m.</w:t>
      </w:r>
      <w:r w:rsidR="001C72F4">
        <w:rPr>
          <w:szCs w:val="24"/>
          <w:lang w:val="lt-LT"/>
        </w:rPr>
        <w:t>, fiksuojamas 0,05 teigiamas pokytis.</w:t>
      </w:r>
      <w:r w:rsidR="00CE1200" w:rsidRPr="00ED3D25">
        <w:rPr>
          <w:szCs w:val="24"/>
          <w:lang w:val="lt-LT"/>
        </w:rPr>
        <w:t xml:space="preserve"> </w:t>
      </w:r>
      <w:r w:rsidR="00AA3521" w:rsidRPr="00ED3D25">
        <w:rPr>
          <w:szCs w:val="24"/>
          <w:lang w:val="lt-LT"/>
        </w:rPr>
        <w:t>Suskaičiuotas EBIT rodiklis parodo</w:t>
      </w:r>
      <w:r w:rsidR="00FD6F85" w:rsidRPr="00ED3D25">
        <w:rPr>
          <w:szCs w:val="24"/>
          <w:lang w:val="lt-LT"/>
        </w:rPr>
        <w:t>, kad pelnas būtų vidutiniškai 2</w:t>
      </w:r>
      <w:r w:rsidR="00AA3521" w:rsidRPr="00ED3D25">
        <w:rPr>
          <w:szCs w:val="24"/>
          <w:lang w:val="lt-LT"/>
        </w:rPr>
        <w:t xml:space="preserve"> proc. didesnis, nei buvo apskaičiuotas atskaičius mokesčius. Tačiau </w:t>
      </w:r>
      <w:r w:rsidR="001C72F4">
        <w:rPr>
          <w:szCs w:val="24"/>
          <w:lang w:val="lt-LT"/>
        </w:rPr>
        <w:t xml:space="preserve">po ES fiansinės paramos įsisavinimo rodiklio reikšmė vidutiniškai svyravo apie 4 proc. Didžiausia EBIT reikšmė buvo fiksuota pradėjus įmonės modernizavimo darbus – 2008 m., kai siekė 0,21. </w:t>
      </w:r>
      <w:r w:rsidR="001F6DD7" w:rsidRPr="00ED3D25">
        <w:rPr>
          <w:szCs w:val="24"/>
          <w:lang w:val="lt-LT"/>
        </w:rPr>
        <w:t>Turto pelningumo rodiklis</w:t>
      </w:r>
      <w:r w:rsidR="00712DB7" w:rsidRPr="00ED3D25">
        <w:rPr>
          <w:szCs w:val="24"/>
          <w:lang w:val="lt-LT"/>
        </w:rPr>
        <w:t xml:space="preserve"> (ROA)</w:t>
      </w:r>
      <w:r w:rsidR="001F6DD7" w:rsidRPr="00ED3D25">
        <w:rPr>
          <w:szCs w:val="24"/>
          <w:lang w:val="lt-LT"/>
        </w:rPr>
        <w:t xml:space="preserve"> skaičiuojamas nuo 2008 m., </w:t>
      </w:r>
      <w:r w:rsidR="00FD6F85" w:rsidRPr="00ED3D25">
        <w:rPr>
          <w:szCs w:val="24"/>
          <w:lang w:val="lt-LT"/>
        </w:rPr>
        <w:t>nes imamas vidutinis turtas,</w:t>
      </w:r>
      <w:r w:rsidR="001F6DD7" w:rsidRPr="00ED3D25">
        <w:rPr>
          <w:szCs w:val="24"/>
          <w:lang w:val="lt-LT"/>
        </w:rPr>
        <w:t xml:space="preserve"> pagal tai 2008 m. turtas buvo panaudojamas efektyviausiai, nes reikšmė didžiausia, sekančiais metais reikšmė nesiekė mažiausios rekomenduojamos ribos, kadangi turtas sparčiai augo, būtent dėl šios priežasties </w:t>
      </w:r>
      <w:r w:rsidR="00FD6F85" w:rsidRPr="00ED3D25">
        <w:rPr>
          <w:szCs w:val="24"/>
          <w:lang w:val="lt-LT"/>
        </w:rPr>
        <w:t>vėlesnės rodiklio reikšmės rodė neefektyvumą, nes grynojo pelno buvo gaunama daug mažiau, nei kaupiama turto</w:t>
      </w:r>
      <w:r w:rsidR="00935D0E">
        <w:rPr>
          <w:szCs w:val="24"/>
          <w:lang w:val="lt-LT"/>
        </w:rPr>
        <w:t>. Tad pa</w:t>
      </w:r>
      <w:r w:rsidR="001C72F4">
        <w:rPr>
          <w:szCs w:val="24"/>
          <w:lang w:val="lt-LT"/>
        </w:rPr>
        <w:t>skutiniu 2011-2013 m. laikotarpiu ROA svyravo apie 1 proc.</w:t>
      </w:r>
      <w:r w:rsidR="001F6DD7" w:rsidRPr="00ED3D25">
        <w:rPr>
          <w:szCs w:val="24"/>
          <w:lang w:val="lt-LT"/>
        </w:rPr>
        <w:t xml:space="preserve"> Ir paskutinis </w:t>
      </w:r>
      <w:r w:rsidR="00712DB7" w:rsidRPr="00ED3D25">
        <w:rPr>
          <w:szCs w:val="24"/>
          <w:lang w:val="lt-LT"/>
        </w:rPr>
        <w:t xml:space="preserve">rodiklis –  </w:t>
      </w:r>
      <w:r w:rsidR="001F6DD7" w:rsidRPr="00ED3D25">
        <w:rPr>
          <w:szCs w:val="24"/>
          <w:lang w:val="lt-LT"/>
        </w:rPr>
        <w:t>nuosavo kapitalo pelningumas</w:t>
      </w:r>
      <w:r w:rsidR="00CD58D5" w:rsidRPr="00ED3D25">
        <w:rPr>
          <w:szCs w:val="24"/>
          <w:lang w:val="lt-LT"/>
        </w:rPr>
        <w:t xml:space="preserve"> (ROE)</w:t>
      </w:r>
      <w:r w:rsidR="001F6DD7" w:rsidRPr="00ED3D25">
        <w:rPr>
          <w:szCs w:val="24"/>
          <w:lang w:val="lt-LT"/>
        </w:rPr>
        <w:t xml:space="preserve"> at</w:t>
      </w:r>
      <w:r w:rsidR="00712DB7" w:rsidRPr="00ED3D25">
        <w:rPr>
          <w:szCs w:val="24"/>
          <w:lang w:val="lt-LT"/>
        </w:rPr>
        <w:t>s</w:t>
      </w:r>
      <w:r w:rsidR="001F6DD7" w:rsidRPr="00ED3D25">
        <w:rPr>
          <w:szCs w:val="24"/>
          <w:lang w:val="lt-LT"/>
        </w:rPr>
        <w:t xml:space="preserve">kleidžia, kad </w:t>
      </w:r>
      <w:r w:rsidR="00EB54E0" w:rsidRPr="00ED3D25">
        <w:rPr>
          <w:szCs w:val="24"/>
          <w:lang w:val="lt-LT"/>
        </w:rPr>
        <w:t>2008 m. rodiklio reikšmė 0,4 buvo laikoma labai gera, tačiau iki 2010 m. pabaigos rodiklis sumažėjo iki 0,03, tai reiškia, kad grynojo pelno nepakanka nuosavam kapitalui padengti.</w:t>
      </w:r>
      <w:r w:rsidR="005361FC" w:rsidRPr="00ED3D25">
        <w:rPr>
          <w:szCs w:val="24"/>
          <w:lang w:val="lt-LT"/>
        </w:rPr>
        <w:t xml:space="preserve"> O nuo 2011 m. matyti didėjimo tendencija, kuri paskutiniaisia</w:t>
      </w:r>
      <w:r w:rsidR="00935D0E">
        <w:rPr>
          <w:szCs w:val="24"/>
          <w:lang w:val="lt-LT"/>
        </w:rPr>
        <w:t>i</w:t>
      </w:r>
      <w:r w:rsidR="005361FC" w:rsidRPr="00ED3D25">
        <w:rPr>
          <w:szCs w:val="24"/>
          <w:lang w:val="lt-LT"/>
        </w:rPr>
        <w:t>s metais siek</w:t>
      </w:r>
      <w:r w:rsidR="005C78A1" w:rsidRPr="00ED3D25">
        <w:rPr>
          <w:szCs w:val="24"/>
          <w:lang w:val="lt-LT"/>
        </w:rPr>
        <w:t>ia beveik 0,05 reikšmę, tad matomas nežymus grynojo pelno augimas</w:t>
      </w:r>
      <w:r w:rsidR="001E6619">
        <w:rPr>
          <w:szCs w:val="24"/>
          <w:lang w:val="lt-LT"/>
        </w:rPr>
        <w:t xml:space="preserve"> po ES finansinės paramos panaudojimo</w:t>
      </w:r>
      <w:r w:rsidR="005361FC" w:rsidRPr="00ED3D25">
        <w:rPr>
          <w:szCs w:val="24"/>
          <w:lang w:val="lt-LT"/>
        </w:rPr>
        <w:t xml:space="preserve">, nes 1 </w:t>
      </w:r>
      <w:r w:rsidR="001E6619">
        <w:rPr>
          <w:szCs w:val="24"/>
          <w:lang w:val="lt-LT"/>
        </w:rPr>
        <w:t>nuosavo kapitalo litui tenka beveik</w:t>
      </w:r>
      <w:r w:rsidR="005361FC" w:rsidRPr="00ED3D25">
        <w:rPr>
          <w:szCs w:val="24"/>
          <w:lang w:val="lt-LT"/>
        </w:rPr>
        <w:t xml:space="preserve"> 0,05 lito grynojo pelno.</w:t>
      </w:r>
    </w:p>
    <w:p w:rsidR="00E77C5F" w:rsidRPr="00ED3D25" w:rsidRDefault="00E22853" w:rsidP="00F45AE3">
      <w:pPr>
        <w:spacing w:after="0"/>
        <w:jc w:val="right"/>
        <w:rPr>
          <w:b/>
          <w:bCs/>
          <w:szCs w:val="24"/>
          <w:lang w:val="lt-LT"/>
        </w:rPr>
      </w:pPr>
      <w:r w:rsidRPr="00ED3D25">
        <w:rPr>
          <w:b/>
          <w:bCs/>
          <w:szCs w:val="24"/>
          <w:lang w:val="lt-LT"/>
        </w:rPr>
        <w:t>12</w:t>
      </w:r>
      <w:r w:rsidR="00E77C5F" w:rsidRPr="00ED3D25">
        <w:rPr>
          <w:b/>
          <w:bCs/>
          <w:szCs w:val="24"/>
          <w:lang w:val="lt-LT"/>
        </w:rPr>
        <w:t xml:space="preserve"> lentelė</w:t>
      </w:r>
    </w:p>
    <w:p w:rsidR="00E77C5F" w:rsidRPr="00ED3D25" w:rsidRDefault="00E77C5F" w:rsidP="00F45AE3">
      <w:pPr>
        <w:spacing w:after="0" w:line="240" w:lineRule="auto"/>
        <w:jc w:val="center"/>
        <w:rPr>
          <w:b/>
          <w:bCs/>
          <w:sz w:val="22"/>
          <w:lang w:val="lt-LT"/>
        </w:rPr>
      </w:pPr>
      <w:r w:rsidRPr="00ED3D25">
        <w:rPr>
          <w:b/>
          <w:bCs/>
          <w:sz w:val="22"/>
          <w:lang w:val="lt-LT"/>
        </w:rPr>
        <w:t xml:space="preserve">Įmonės A </w:t>
      </w:r>
      <w:r w:rsidR="00B215DE" w:rsidRPr="00ED3D25">
        <w:rPr>
          <w:b/>
          <w:bCs/>
          <w:sz w:val="22"/>
          <w:lang w:val="lt-LT"/>
        </w:rPr>
        <w:t>veiklos efektyvumo rodikliai</w:t>
      </w:r>
    </w:p>
    <w:p w:rsidR="00E77C5F" w:rsidRPr="00ED3D25" w:rsidRDefault="00E77C5F" w:rsidP="00F45AE3">
      <w:pPr>
        <w:spacing w:after="0" w:line="240" w:lineRule="auto"/>
        <w:rPr>
          <w:b/>
          <w:bCs/>
          <w:sz w:val="22"/>
          <w:lang w:val="lt-LT"/>
        </w:rPr>
      </w:pPr>
    </w:p>
    <w:tbl>
      <w:tblPr>
        <w:tblStyle w:val="TableGrid"/>
        <w:tblW w:w="0" w:type="auto"/>
        <w:jc w:val="center"/>
        <w:tblLook w:val="04A0" w:firstRow="1" w:lastRow="0" w:firstColumn="1" w:lastColumn="0" w:noHBand="0" w:noVBand="1"/>
      </w:tblPr>
      <w:tblGrid>
        <w:gridCol w:w="1242"/>
        <w:gridCol w:w="2219"/>
        <w:gridCol w:w="2422"/>
        <w:gridCol w:w="2151"/>
        <w:gridCol w:w="1821"/>
      </w:tblGrid>
      <w:tr w:rsidR="005E419B" w:rsidRPr="00ED3D25" w:rsidTr="001E6619">
        <w:trPr>
          <w:jc w:val="center"/>
        </w:trPr>
        <w:tc>
          <w:tcPr>
            <w:tcW w:w="1242" w:type="dxa"/>
            <w:tcBorders>
              <w:tl2br w:val="single" w:sz="4" w:space="0" w:color="auto"/>
            </w:tcBorders>
            <w:vAlign w:val="center"/>
          </w:tcPr>
          <w:p w:rsidR="001E6619" w:rsidRDefault="005E419B" w:rsidP="00EB7E62">
            <w:pPr>
              <w:spacing w:line="240" w:lineRule="auto"/>
              <w:jc w:val="right"/>
              <w:rPr>
                <w:b/>
                <w:bCs/>
                <w:lang w:val="lt-LT"/>
              </w:rPr>
            </w:pPr>
            <w:r w:rsidRPr="00ED3D25">
              <w:rPr>
                <w:b/>
                <w:bCs/>
                <w:lang w:val="lt-LT"/>
              </w:rPr>
              <w:t>Rodiklis</w:t>
            </w:r>
          </w:p>
          <w:p w:rsidR="001E6619" w:rsidRDefault="001E6619" w:rsidP="001E6619">
            <w:pPr>
              <w:spacing w:line="240" w:lineRule="auto"/>
              <w:jc w:val="center"/>
              <w:rPr>
                <w:b/>
                <w:bCs/>
                <w:lang w:val="lt-LT"/>
              </w:rPr>
            </w:pPr>
          </w:p>
          <w:p w:rsidR="001E6619" w:rsidRPr="00ED3D25" w:rsidRDefault="001E6619" w:rsidP="001E6619">
            <w:pPr>
              <w:spacing w:line="240" w:lineRule="auto"/>
              <w:rPr>
                <w:b/>
                <w:bCs/>
                <w:lang w:val="lt-LT"/>
              </w:rPr>
            </w:pPr>
            <w:r>
              <w:rPr>
                <w:b/>
                <w:bCs/>
                <w:lang w:val="lt-LT"/>
              </w:rPr>
              <w:t>Metai</w:t>
            </w:r>
          </w:p>
        </w:tc>
        <w:tc>
          <w:tcPr>
            <w:tcW w:w="2219" w:type="dxa"/>
            <w:vAlign w:val="center"/>
          </w:tcPr>
          <w:p w:rsidR="005E419B" w:rsidRPr="00ED3D25" w:rsidRDefault="005E419B" w:rsidP="00F45AE3">
            <w:pPr>
              <w:spacing w:line="240" w:lineRule="auto"/>
              <w:jc w:val="center"/>
              <w:rPr>
                <w:rFonts w:asciiTheme="majorBidi" w:hAnsiTheme="majorBidi" w:cstheme="majorBidi"/>
                <w:b/>
                <w:bCs/>
                <w:lang w:val="lt-LT"/>
              </w:rPr>
            </w:pPr>
            <w:r w:rsidRPr="00ED3D25">
              <w:rPr>
                <w:rFonts w:asciiTheme="majorBidi" w:hAnsiTheme="majorBidi" w:cstheme="majorBidi"/>
                <w:b/>
                <w:bCs/>
                <w:lang w:val="lt-LT"/>
              </w:rPr>
              <w:t>Veiklos sąnaudos vienam pajamų litui</w:t>
            </w:r>
          </w:p>
        </w:tc>
        <w:tc>
          <w:tcPr>
            <w:tcW w:w="0" w:type="auto"/>
            <w:vAlign w:val="center"/>
          </w:tcPr>
          <w:p w:rsidR="005E419B" w:rsidRPr="00ED3D25" w:rsidRDefault="005E419B" w:rsidP="00F45AE3">
            <w:pPr>
              <w:spacing w:line="240" w:lineRule="auto"/>
              <w:jc w:val="center"/>
              <w:rPr>
                <w:rFonts w:asciiTheme="majorBidi" w:hAnsiTheme="majorBidi" w:cstheme="majorBidi"/>
                <w:b/>
                <w:bCs/>
                <w:lang w:val="lt-LT"/>
              </w:rPr>
            </w:pPr>
            <w:r w:rsidRPr="00ED3D25">
              <w:rPr>
                <w:rFonts w:asciiTheme="majorBidi" w:hAnsiTheme="majorBidi" w:cstheme="majorBidi"/>
                <w:b/>
                <w:bCs/>
                <w:lang w:val="lt-LT"/>
              </w:rPr>
              <w:t>Apyvartinio kapitalo apyvartumas</w:t>
            </w:r>
          </w:p>
        </w:tc>
        <w:tc>
          <w:tcPr>
            <w:tcW w:w="0" w:type="auto"/>
            <w:vAlign w:val="center"/>
          </w:tcPr>
          <w:p w:rsidR="005E419B" w:rsidRPr="00ED3D25" w:rsidRDefault="005E419B" w:rsidP="00F45AE3">
            <w:pPr>
              <w:spacing w:line="240" w:lineRule="auto"/>
              <w:jc w:val="center"/>
              <w:rPr>
                <w:rFonts w:asciiTheme="majorBidi" w:hAnsiTheme="majorBidi" w:cstheme="majorBidi"/>
                <w:b/>
                <w:bCs/>
                <w:lang w:val="lt-LT"/>
              </w:rPr>
            </w:pPr>
            <w:r w:rsidRPr="00ED3D25">
              <w:rPr>
                <w:rFonts w:asciiTheme="majorBidi" w:hAnsiTheme="majorBidi" w:cstheme="majorBidi"/>
                <w:b/>
                <w:bCs/>
                <w:lang w:val="lt-LT"/>
              </w:rPr>
              <w:t>Grynojo turto apyvartumas</w:t>
            </w:r>
          </w:p>
        </w:tc>
        <w:tc>
          <w:tcPr>
            <w:tcW w:w="0" w:type="auto"/>
            <w:vAlign w:val="center"/>
          </w:tcPr>
          <w:p w:rsidR="005E419B" w:rsidRPr="00ED3D25" w:rsidRDefault="005E419B" w:rsidP="00F45AE3">
            <w:pPr>
              <w:spacing w:line="240" w:lineRule="auto"/>
              <w:jc w:val="center"/>
              <w:rPr>
                <w:rFonts w:asciiTheme="majorBidi" w:hAnsiTheme="majorBidi" w:cstheme="majorBidi"/>
                <w:b/>
                <w:bCs/>
                <w:lang w:val="lt-LT"/>
              </w:rPr>
            </w:pPr>
            <w:r w:rsidRPr="00ED3D25">
              <w:rPr>
                <w:rFonts w:asciiTheme="majorBidi" w:hAnsiTheme="majorBidi" w:cstheme="majorBidi"/>
                <w:b/>
                <w:bCs/>
                <w:lang w:val="lt-LT"/>
              </w:rPr>
              <w:t>Turto apyvartumas</w:t>
            </w:r>
          </w:p>
        </w:tc>
      </w:tr>
      <w:tr w:rsidR="005E419B" w:rsidRPr="00ED3D25" w:rsidTr="00FE0D46">
        <w:trPr>
          <w:jc w:val="center"/>
        </w:trPr>
        <w:tc>
          <w:tcPr>
            <w:tcW w:w="1242" w:type="dxa"/>
            <w:vAlign w:val="center"/>
          </w:tcPr>
          <w:p w:rsidR="005E419B" w:rsidRPr="00ED3D25" w:rsidRDefault="005E419B" w:rsidP="00FD5C5E">
            <w:pPr>
              <w:spacing w:line="240" w:lineRule="auto"/>
              <w:jc w:val="left"/>
              <w:rPr>
                <w:b/>
                <w:bCs/>
                <w:lang w:val="lt-LT"/>
              </w:rPr>
            </w:pPr>
            <w:r w:rsidRPr="00ED3D25">
              <w:rPr>
                <w:b/>
                <w:bCs/>
                <w:lang w:val="lt-LT"/>
              </w:rPr>
              <w:t>2007 m.</w:t>
            </w:r>
          </w:p>
        </w:tc>
        <w:tc>
          <w:tcPr>
            <w:tcW w:w="2219" w:type="dxa"/>
            <w:tcBorders>
              <w:bottom w:val="single" w:sz="4" w:space="0" w:color="auto"/>
            </w:tcBorders>
            <w:vAlign w:val="center"/>
          </w:tcPr>
          <w:p w:rsidR="005E419B" w:rsidRPr="00ED3D25" w:rsidRDefault="005E419B" w:rsidP="00F45AE3">
            <w:pPr>
              <w:spacing w:line="240" w:lineRule="auto"/>
              <w:jc w:val="center"/>
              <w:rPr>
                <w:lang w:val="lt-LT"/>
              </w:rPr>
            </w:pPr>
            <w:r w:rsidRPr="00ED3D25">
              <w:rPr>
                <w:lang w:val="lt-LT"/>
              </w:rPr>
              <w:t>0,3016</w:t>
            </w:r>
          </w:p>
        </w:tc>
        <w:tc>
          <w:tcPr>
            <w:tcW w:w="0" w:type="auto"/>
            <w:tcBorders>
              <w:bottom w:val="single" w:sz="4" w:space="0" w:color="auto"/>
            </w:tcBorders>
            <w:vAlign w:val="center"/>
          </w:tcPr>
          <w:p w:rsidR="005E419B" w:rsidRPr="00ED3D25" w:rsidRDefault="005E419B" w:rsidP="00F45AE3">
            <w:pPr>
              <w:spacing w:line="240" w:lineRule="auto"/>
              <w:jc w:val="center"/>
              <w:rPr>
                <w:lang w:val="lt-LT"/>
              </w:rPr>
            </w:pPr>
            <w:r w:rsidRPr="00ED3D25">
              <w:rPr>
                <w:lang w:val="lt-LT"/>
              </w:rPr>
              <w:t>-</w:t>
            </w:r>
          </w:p>
        </w:tc>
        <w:tc>
          <w:tcPr>
            <w:tcW w:w="0" w:type="auto"/>
            <w:tcBorders>
              <w:bottom w:val="single" w:sz="4" w:space="0" w:color="auto"/>
            </w:tcBorders>
            <w:vAlign w:val="center"/>
          </w:tcPr>
          <w:p w:rsidR="005E419B" w:rsidRPr="00ED3D25" w:rsidRDefault="005E419B" w:rsidP="00F45AE3">
            <w:pPr>
              <w:spacing w:line="240" w:lineRule="auto"/>
              <w:jc w:val="center"/>
              <w:rPr>
                <w:lang w:val="lt-LT"/>
              </w:rPr>
            </w:pPr>
            <w:r w:rsidRPr="00ED3D25">
              <w:rPr>
                <w:lang w:val="lt-LT"/>
              </w:rPr>
              <w:t>2,2637</w:t>
            </w:r>
          </w:p>
        </w:tc>
        <w:tc>
          <w:tcPr>
            <w:tcW w:w="0" w:type="auto"/>
            <w:tcBorders>
              <w:bottom w:val="single" w:sz="4" w:space="0" w:color="auto"/>
            </w:tcBorders>
            <w:vAlign w:val="center"/>
          </w:tcPr>
          <w:p w:rsidR="005E419B" w:rsidRPr="00ED3D25" w:rsidRDefault="005E419B" w:rsidP="00F45AE3">
            <w:pPr>
              <w:spacing w:line="240" w:lineRule="auto"/>
              <w:jc w:val="center"/>
              <w:rPr>
                <w:lang w:val="lt-LT"/>
              </w:rPr>
            </w:pPr>
            <w:r w:rsidRPr="00ED3D25">
              <w:rPr>
                <w:lang w:val="lt-LT"/>
              </w:rPr>
              <w:t>1,7825</w:t>
            </w:r>
          </w:p>
        </w:tc>
      </w:tr>
      <w:tr w:rsidR="005E419B" w:rsidRPr="00ED3D25" w:rsidTr="00FE0D46">
        <w:trPr>
          <w:jc w:val="center"/>
        </w:trPr>
        <w:tc>
          <w:tcPr>
            <w:tcW w:w="1242" w:type="dxa"/>
            <w:vAlign w:val="center"/>
          </w:tcPr>
          <w:p w:rsidR="005E419B" w:rsidRPr="00ED3D25" w:rsidRDefault="005E419B" w:rsidP="00FD5C5E">
            <w:pPr>
              <w:spacing w:line="240" w:lineRule="auto"/>
              <w:jc w:val="left"/>
              <w:rPr>
                <w:b/>
                <w:bCs/>
                <w:lang w:val="lt-LT"/>
              </w:rPr>
            </w:pPr>
            <w:r w:rsidRPr="00ED3D25">
              <w:rPr>
                <w:b/>
                <w:bCs/>
                <w:lang w:val="lt-LT"/>
              </w:rPr>
              <w:t>2008 m.</w:t>
            </w:r>
          </w:p>
        </w:tc>
        <w:tc>
          <w:tcPr>
            <w:tcW w:w="2219" w:type="dxa"/>
            <w:tcBorders>
              <w:top w:val="single" w:sz="4" w:space="0" w:color="auto"/>
            </w:tcBorders>
            <w:shd w:val="clear" w:color="auto" w:fill="BFBFBF" w:themeFill="background1" w:themeFillShade="BF"/>
            <w:vAlign w:val="center"/>
          </w:tcPr>
          <w:p w:rsidR="005E419B" w:rsidRPr="00ED3D25" w:rsidRDefault="005E419B" w:rsidP="00F45AE3">
            <w:pPr>
              <w:spacing w:line="240" w:lineRule="auto"/>
              <w:jc w:val="center"/>
              <w:rPr>
                <w:lang w:val="lt-LT"/>
              </w:rPr>
            </w:pPr>
            <w:r w:rsidRPr="00ED3D25">
              <w:rPr>
                <w:lang w:val="lt-LT"/>
              </w:rPr>
              <w:t>0,4208</w:t>
            </w:r>
          </w:p>
        </w:tc>
        <w:tc>
          <w:tcPr>
            <w:tcW w:w="0" w:type="auto"/>
            <w:tcBorders>
              <w:top w:val="single" w:sz="4" w:space="0" w:color="auto"/>
            </w:tcBorders>
            <w:shd w:val="clear" w:color="auto" w:fill="BFBFBF" w:themeFill="background1" w:themeFillShade="BF"/>
            <w:vAlign w:val="center"/>
          </w:tcPr>
          <w:p w:rsidR="005E419B" w:rsidRPr="00ED3D25" w:rsidRDefault="005E419B" w:rsidP="00F45AE3">
            <w:pPr>
              <w:spacing w:line="240" w:lineRule="auto"/>
              <w:jc w:val="center"/>
              <w:rPr>
                <w:lang w:val="lt-LT"/>
              </w:rPr>
            </w:pPr>
            <w:r w:rsidRPr="00ED3D25">
              <w:rPr>
                <w:lang w:val="lt-LT"/>
              </w:rPr>
              <w:t>3,7494</w:t>
            </w:r>
          </w:p>
        </w:tc>
        <w:tc>
          <w:tcPr>
            <w:tcW w:w="0" w:type="auto"/>
            <w:tcBorders>
              <w:top w:val="single" w:sz="4" w:space="0" w:color="auto"/>
            </w:tcBorders>
            <w:shd w:val="clear" w:color="auto" w:fill="BFBFBF" w:themeFill="background1" w:themeFillShade="BF"/>
            <w:vAlign w:val="center"/>
          </w:tcPr>
          <w:p w:rsidR="005E419B" w:rsidRPr="00ED3D25" w:rsidRDefault="005E419B" w:rsidP="00F45AE3">
            <w:pPr>
              <w:spacing w:line="240" w:lineRule="auto"/>
              <w:jc w:val="center"/>
              <w:rPr>
                <w:lang w:val="lt-LT"/>
              </w:rPr>
            </w:pPr>
            <w:r w:rsidRPr="00ED3D25">
              <w:rPr>
                <w:lang w:val="lt-LT"/>
              </w:rPr>
              <w:t>1,6568</w:t>
            </w:r>
          </w:p>
        </w:tc>
        <w:tc>
          <w:tcPr>
            <w:tcW w:w="0" w:type="auto"/>
            <w:tcBorders>
              <w:top w:val="single" w:sz="4" w:space="0" w:color="auto"/>
            </w:tcBorders>
            <w:shd w:val="clear" w:color="auto" w:fill="BFBFBF" w:themeFill="background1" w:themeFillShade="BF"/>
            <w:vAlign w:val="center"/>
          </w:tcPr>
          <w:p w:rsidR="005E419B" w:rsidRPr="00ED3D25" w:rsidRDefault="005E419B" w:rsidP="00F45AE3">
            <w:pPr>
              <w:spacing w:line="240" w:lineRule="auto"/>
              <w:jc w:val="center"/>
              <w:rPr>
                <w:lang w:val="lt-LT"/>
              </w:rPr>
            </w:pPr>
            <w:r w:rsidRPr="00ED3D25">
              <w:rPr>
                <w:lang w:val="lt-LT"/>
              </w:rPr>
              <w:t>1,616</w:t>
            </w:r>
          </w:p>
        </w:tc>
      </w:tr>
      <w:tr w:rsidR="005E419B" w:rsidRPr="00ED3D25" w:rsidTr="00FE0D46">
        <w:trPr>
          <w:jc w:val="center"/>
        </w:trPr>
        <w:tc>
          <w:tcPr>
            <w:tcW w:w="1242" w:type="dxa"/>
            <w:vAlign w:val="center"/>
          </w:tcPr>
          <w:p w:rsidR="005E419B" w:rsidRPr="00ED3D25" w:rsidRDefault="005E419B" w:rsidP="00FD5C5E">
            <w:pPr>
              <w:spacing w:line="240" w:lineRule="auto"/>
              <w:jc w:val="left"/>
              <w:rPr>
                <w:b/>
                <w:bCs/>
                <w:lang w:val="lt-LT"/>
              </w:rPr>
            </w:pPr>
            <w:r w:rsidRPr="00ED3D25">
              <w:rPr>
                <w:b/>
                <w:bCs/>
                <w:lang w:val="lt-LT"/>
              </w:rPr>
              <w:t>2009 m.</w:t>
            </w:r>
          </w:p>
        </w:tc>
        <w:tc>
          <w:tcPr>
            <w:tcW w:w="2219" w:type="dxa"/>
            <w:tcBorders>
              <w:bottom w:val="single" w:sz="4" w:space="0" w:color="auto"/>
            </w:tcBorders>
            <w:shd w:val="clear" w:color="auto" w:fill="BFBFBF" w:themeFill="background1" w:themeFillShade="BF"/>
            <w:vAlign w:val="center"/>
          </w:tcPr>
          <w:p w:rsidR="005E419B" w:rsidRPr="00ED3D25" w:rsidRDefault="005E419B" w:rsidP="00F45AE3">
            <w:pPr>
              <w:spacing w:line="240" w:lineRule="auto"/>
              <w:jc w:val="center"/>
              <w:rPr>
                <w:lang w:val="lt-LT"/>
              </w:rPr>
            </w:pPr>
            <w:r w:rsidRPr="00ED3D25">
              <w:rPr>
                <w:lang w:val="lt-LT"/>
              </w:rPr>
              <w:t>0,7546</w:t>
            </w:r>
          </w:p>
        </w:tc>
        <w:tc>
          <w:tcPr>
            <w:tcW w:w="0" w:type="auto"/>
            <w:tcBorders>
              <w:bottom w:val="single" w:sz="4" w:space="0" w:color="auto"/>
            </w:tcBorders>
            <w:shd w:val="clear" w:color="auto" w:fill="BFBFBF" w:themeFill="background1" w:themeFillShade="BF"/>
            <w:vAlign w:val="center"/>
          </w:tcPr>
          <w:p w:rsidR="005E419B" w:rsidRPr="00ED3D25" w:rsidRDefault="005E419B" w:rsidP="00F45AE3">
            <w:pPr>
              <w:spacing w:line="240" w:lineRule="auto"/>
              <w:jc w:val="center"/>
              <w:rPr>
                <w:lang w:val="lt-LT"/>
              </w:rPr>
            </w:pPr>
            <w:r w:rsidRPr="00ED3D25">
              <w:rPr>
                <w:lang w:val="lt-LT"/>
              </w:rPr>
              <w:t>2,2838</w:t>
            </w:r>
          </w:p>
        </w:tc>
        <w:tc>
          <w:tcPr>
            <w:tcW w:w="0" w:type="auto"/>
            <w:tcBorders>
              <w:bottom w:val="single" w:sz="4" w:space="0" w:color="auto"/>
            </w:tcBorders>
            <w:shd w:val="clear" w:color="auto" w:fill="BFBFBF" w:themeFill="background1" w:themeFillShade="BF"/>
            <w:vAlign w:val="center"/>
          </w:tcPr>
          <w:p w:rsidR="005E419B" w:rsidRPr="00ED3D25" w:rsidRDefault="005E419B" w:rsidP="00F45AE3">
            <w:pPr>
              <w:spacing w:line="240" w:lineRule="auto"/>
              <w:jc w:val="center"/>
              <w:rPr>
                <w:lang w:val="lt-LT"/>
              </w:rPr>
            </w:pPr>
            <w:r w:rsidRPr="00ED3D25">
              <w:rPr>
                <w:lang w:val="lt-LT"/>
              </w:rPr>
              <w:t>0,8122</w:t>
            </w:r>
          </w:p>
        </w:tc>
        <w:tc>
          <w:tcPr>
            <w:tcW w:w="0" w:type="auto"/>
            <w:tcBorders>
              <w:bottom w:val="single" w:sz="4" w:space="0" w:color="auto"/>
            </w:tcBorders>
            <w:shd w:val="clear" w:color="auto" w:fill="BFBFBF" w:themeFill="background1" w:themeFillShade="BF"/>
            <w:vAlign w:val="center"/>
          </w:tcPr>
          <w:p w:rsidR="005E419B" w:rsidRPr="00ED3D25" w:rsidRDefault="005E419B" w:rsidP="00F45AE3">
            <w:pPr>
              <w:spacing w:line="240" w:lineRule="auto"/>
              <w:jc w:val="center"/>
              <w:rPr>
                <w:lang w:val="lt-LT"/>
              </w:rPr>
            </w:pPr>
            <w:r w:rsidRPr="00ED3D25">
              <w:rPr>
                <w:lang w:val="lt-LT"/>
              </w:rPr>
              <w:t>0,7121</w:t>
            </w:r>
          </w:p>
        </w:tc>
      </w:tr>
      <w:tr w:rsidR="005E419B" w:rsidRPr="00ED3D25" w:rsidTr="00FE0D46">
        <w:trPr>
          <w:jc w:val="center"/>
        </w:trPr>
        <w:tc>
          <w:tcPr>
            <w:tcW w:w="1242" w:type="dxa"/>
            <w:vAlign w:val="center"/>
          </w:tcPr>
          <w:p w:rsidR="005E419B" w:rsidRPr="00ED3D25" w:rsidRDefault="005E419B" w:rsidP="00FD5C5E">
            <w:pPr>
              <w:spacing w:line="240" w:lineRule="auto"/>
              <w:jc w:val="left"/>
              <w:rPr>
                <w:b/>
                <w:bCs/>
                <w:lang w:val="lt-LT"/>
              </w:rPr>
            </w:pPr>
            <w:r w:rsidRPr="00ED3D25">
              <w:rPr>
                <w:b/>
                <w:bCs/>
                <w:lang w:val="lt-LT"/>
              </w:rPr>
              <w:t>2010 m.</w:t>
            </w:r>
          </w:p>
        </w:tc>
        <w:tc>
          <w:tcPr>
            <w:tcW w:w="2219" w:type="dxa"/>
            <w:tcBorders>
              <w:top w:val="single" w:sz="4" w:space="0" w:color="auto"/>
            </w:tcBorders>
            <w:vAlign w:val="center"/>
          </w:tcPr>
          <w:p w:rsidR="005E419B" w:rsidRPr="00ED3D25" w:rsidRDefault="005E419B" w:rsidP="00F45AE3">
            <w:pPr>
              <w:spacing w:line="240" w:lineRule="auto"/>
              <w:jc w:val="center"/>
              <w:rPr>
                <w:lang w:val="lt-LT"/>
              </w:rPr>
            </w:pPr>
            <w:r w:rsidRPr="00ED3D25">
              <w:rPr>
                <w:lang w:val="lt-LT"/>
              </w:rPr>
              <w:t>0,5672</w:t>
            </w:r>
          </w:p>
        </w:tc>
        <w:tc>
          <w:tcPr>
            <w:tcW w:w="0" w:type="auto"/>
            <w:tcBorders>
              <w:top w:val="single" w:sz="4" w:space="0" w:color="auto"/>
            </w:tcBorders>
            <w:vAlign w:val="center"/>
          </w:tcPr>
          <w:p w:rsidR="005E419B" w:rsidRPr="00ED3D25" w:rsidRDefault="005E419B" w:rsidP="00F45AE3">
            <w:pPr>
              <w:spacing w:line="240" w:lineRule="auto"/>
              <w:jc w:val="center"/>
              <w:rPr>
                <w:lang w:val="lt-LT"/>
              </w:rPr>
            </w:pPr>
            <w:r w:rsidRPr="00ED3D25">
              <w:rPr>
                <w:lang w:val="lt-LT"/>
              </w:rPr>
              <w:t>2,4677</w:t>
            </w:r>
          </w:p>
        </w:tc>
        <w:tc>
          <w:tcPr>
            <w:tcW w:w="0" w:type="auto"/>
            <w:tcBorders>
              <w:top w:val="single" w:sz="4" w:space="0" w:color="auto"/>
            </w:tcBorders>
            <w:vAlign w:val="center"/>
          </w:tcPr>
          <w:p w:rsidR="005E419B" w:rsidRPr="00ED3D25" w:rsidRDefault="005E419B" w:rsidP="00F45AE3">
            <w:pPr>
              <w:spacing w:line="240" w:lineRule="auto"/>
              <w:jc w:val="center"/>
              <w:rPr>
                <w:lang w:val="lt-LT"/>
              </w:rPr>
            </w:pPr>
            <w:r w:rsidRPr="00ED3D25">
              <w:rPr>
                <w:lang w:val="lt-LT"/>
              </w:rPr>
              <w:t>0,8025</w:t>
            </w:r>
          </w:p>
        </w:tc>
        <w:tc>
          <w:tcPr>
            <w:tcW w:w="0" w:type="auto"/>
            <w:tcBorders>
              <w:top w:val="single" w:sz="4" w:space="0" w:color="auto"/>
            </w:tcBorders>
            <w:vAlign w:val="center"/>
          </w:tcPr>
          <w:p w:rsidR="005E419B" w:rsidRPr="00ED3D25" w:rsidRDefault="005E419B" w:rsidP="00F45AE3">
            <w:pPr>
              <w:spacing w:line="240" w:lineRule="auto"/>
              <w:jc w:val="center"/>
              <w:rPr>
                <w:lang w:val="lt-LT"/>
              </w:rPr>
            </w:pPr>
            <w:r w:rsidRPr="00ED3D25">
              <w:rPr>
                <w:lang w:val="lt-LT"/>
              </w:rPr>
              <w:t>0,6183</w:t>
            </w:r>
          </w:p>
        </w:tc>
      </w:tr>
      <w:tr w:rsidR="005E419B" w:rsidRPr="00ED3D25" w:rsidTr="00FD5C5E">
        <w:trPr>
          <w:jc w:val="center"/>
        </w:trPr>
        <w:tc>
          <w:tcPr>
            <w:tcW w:w="1242" w:type="dxa"/>
            <w:vAlign w:val="center"/>
          </w:tcPr>
          <w:p w:rsidR="005E419B" w:rsidRPr="00ED3D25" w:rsidRDefault="005E419B" w:rsidP="00FD5C5E">
            <w:pPr>
              <w:spacing w:line="240" w:lineRule="auto"/>
              <w:jc w:val="left"/>
              <w:rPr>
                <w:b/>
                <w:bCs/>
                <w:lang w:val="lt-LT"/>
              </w:rPr>
            </w:pPr>
            <w:r w:rsidRPr="00ED3D25">
              <w:rPr>
                <w:b/>
                <w:bCs/>
                <w:lang w:val="lt-LT"/>
              </w:rPr>
              <w:t>2011 m.</w:t>
            </w:r>
          </w:p>
        </w:tc>
        <w:tc>
          <w:tcPr>
            <w:tcW w:w="2219" w:type="dxa"/>
            <w:vAlign w:val="center"/>
          </w:tcPr>
          <w:p w:rsidR="005E419B" w:rsidRPr="00ED3D25" w:rsidRDefault="005E419B" w:rsidP="00F45AE3">
            <w:pPr>
              <w:spacing w:line="240" w:lineRule="auto"/>
              <w:jc w:val="center"/>
              <w:rPr>
                <w:lang w:val="lt-LT"/>
              </w:rPr>
            </w:pPr>
            <w:r w:rsidRPr="00ED3D25">
              <w:rPr>
                <w:lang w:val="lt-LT"/>
              </w:rPr>
              <w:t>0,3227</w:t>
            </w:r>
          </w:p>
        </w:tc>
        <w:tc>
          <w:tcPr>
            <w:tcW w:w="0" w:type="auto"/>
            <w:vAlign w:val="center"/>
          </w:tcPr>
          <w:p w:rsidR="005E419B" w:rsidRPr="00ED3D25" w:rsidRDefault="005E419B" w:rsidP="00F45AE3">
            <w:pPr>
              <w:spacing w:line="240" w:lineRule="auto"/>
              <w:jc w:val="center"/>
              <w:rPr>
                <w:lang w:val="lt-LT"/>
              </w:rPr>
            </w:pPr>
            <w:r w:rsidRPr="00ED3D25">
              <w:rPr>
                <w:lang w:val="lt-LT"/>
              </w:rPr>
              <w:t>11,2775</w:t>
            </w:r>
          </w:p>
        </w:tc>
        <w:tc>
          <w:tcPr>
            <w:tcW w:w="0" w:type="auto"/>
            <w:vAlign w:val="center"/>
          </w:tcPr>
          <w:p w:rsidR="005E419B" w:rsidRPr="00ED3D25" w:rsidRDefault="005E419B" w:rsidP="00F45AE3">
            <w:pPr>
              <w:spacing w:line="240" w:lineRule="auto"/>
              <w:jc w:val="center"/>
              <w:rPr>
                <w:lang w:val="lt-LT"/>
              </w:rPr>
            </w:pPr>
            <w:r w:rsidRPr="00ED3D25">
              <w:rPr>
                <w:lang w:val="lt-LT"/>
              </w:rPr>
              <w:t>0,603</w:t>
            </w:r>
          </w:p>
        </w:tc>
        <w:tc>
          <w:tcPr>
            <w:tcW w:w="0" w:type="auto"/>
            <w:vAlign w:val="center"/>
          </w:tcPr>
          <w:p w:rsidR="005E419B" w:rsidRPr="00ED3D25" w:rsidRDefault="005E419B" w:rsidP="00F45AE3">
            <w:pPr>
              <w:spacing w:line="240" w:lineRule="auto"/>
              <w:jc w:val="center"/>
              <w:rPr>
                <w:lang w:val="lt-LT"/>
              </w:rPr>
            </w:pPr>
            <w:r w:rsidRPr="00ED3D25">
              <w:rPr>
                <w:lang w:val="lt-LT"/>
              </w:rPr>
              <w:t>0,4519</w:t>
            </w:r>
          </w:p>
        </w:tc>
      </w:tr>
      <w:tr w:rsidR="005E419B" w:rsidRPr="00ED3D25" w:rsidTr="00FD5C5E">
        <w:trPr>
          <w:jc w:val="center"/>
        </w:trPr>
        <w:tc>
          <w:tcPr>
            <w:tcW w:w="1242" w:type="dxa"/>
            <w:vAlign w:val="center"/>
          </w:tcPr>
          <w:p w:rsidR="005E419B" w:rsidRPr="00ED3D25" w:rsidRDefault="005E419B" w:rsidP="00FD5C5E">
            <w:pPr>
              <w:spacing w:line="240" w:lineRule="auto"/>
              <w:jc w:val="left"/>
              <w:rPr>
                <w:b/>
                <w:bCs/>
                <w:lang w:val="lt-LT"/>
              </w:rPr>
            </w:pPr>
            <w:r w:rsidRPr="00ED3D25">
              <w:rPr>
                <w:b/>
                <w:bCs/>
                <w:lang w:val="lt-LT"/>
              </w:rPr>
              <w:t>2012 m.</w:t>
            </w:r>
          </w:p>
        </w:tc>
        <w:tc>
          <w:tcPr>
            <w:tcW w:w="2219" w:type="dxa"/>
            <w:vAlign w:val="center"/>
          </w:tcPr>
          <w:p w:rsidR="005E419B" w:rsidRPr="00ED3D25" w:rsidRDefault="005E419B" w:rsidP="00F45AE3">
            <w:pPr>
              <w:spacing w:line="240" w:lineRule="auto"/>
              <w:jc w:val="center"/>
              <w:rPr>
                <w:lang w:val="lt-LT"/>
              </w:rPr>
            </w:pPr>
            <w:r w:rsidRPr="00ED3D25">
              <w:rPr>
                <w:lang w:val="lt-LT"/>
              </w:rPr>
              <w:t>0,3793</w:t>
            </w:r>
          </w:p>
        </w:tc>
        <w:tc>
          <w:tcPr>
            <w:tcW w:w="0" w:type="auto"/>
            <w:vAlign w:val="center"/>
          </w:tcPr>
          <w:p w:rsidR="005E419B" w:rsidRPr="00ED3D25" w:rsidRDefault="005E419B" w:rsidP="00F45AE3">
            <w:pPr>
              <w:spacing w:line="240" w:lineRule="auto"/>
              <w:jc w:val="center"/>
              <w:rPr>
                <w:lang w:val="lt-LT"/>
              </w:rPr>
            </w:pPr>
            <w:r w:rsidRPr="00ED3D25">
              <w:rPr>
                <w:lang w:val="lt-LT"/>
              </w:rPr>
              <w:t>20,0513</w:t>
            </w:r>
          </w:p>
        </w:tc>
        <w:tc>
          <w:tcPr>
            <w:tcW w:w="0" w:type="auto"/>
            <w:vAlign w:val="center"/>
          </w:tcPr>
          <w:p w:rsidR="005E419B" w:rsidRPr="00ED3D25" w:rsidRDefault="005E419B" w:rsidP="00F45AE3">
            <w:pPr>
              <w:spacing w:line="240" w:lineRule="auto"/>
              <w:jc w:val="center"/>
              <w:rPr>
                <w:lang w:val="lt-LT"/>
              </w:rPr>
            </w:pPr>
            <w:r w:rsidRPr="00ED3D25">
              <w:rPr>
                <w:lang w:val="lt-LT"/>
              </w:rPr>
              <w:t>0,667</w:t>
            </w:r>
          </w:p>
        </w:tc>
        <w:tc>
          <w:tcPr>
            <w:tcW w:w="0" w:type="auto"/>
            <w:vAlign w:val="center"/>
          </w:tcPr>
          <w:p w:rsidR="005E419B" w:rsidRPr="00ED3D25" w:rsidRDefault="005E419B" w:rsidP="00F45AE3">
            <w:pPr>
              <w:spacing w:line="240" w:lineRule="auto"/>
              <w:jc w:val="center"/>
              <w:rPr>
                <w:lang w:val="lt-LT"/>
              </w:rPr>
            </w:pPr>
            <w:r w:rsidRPr="00ED3D25">
              <w:rPr>
                <w:lang w:val="lt-LT"/>
              </w:rPr>
              <w:t>0,5234</w:t>
            </w:r>
          </w:p>
        </w:tc>
      </w:tr>
      <w:tr w:rsidR="005E419B" w:rsidRPr="00ED3D25" w:rsidTr="00FD5C5E">
        <w:trPr>
          <w:jc w:val="center"/>
        </w:trPr>
        <w:tc>
          <w:tcPr>
            <w:tcW w:w="1242" w:type="dxa"/>
            <w:vAlign w:val="center"/>
          </w:tcPr>
          <w:p w:rsidR="005E419B" w:rsidRPr="00ED3D25" w:rsidRDefault="005E419B" w:rsidP="00FD5C5E">
            <w:pPr>
              <w:spacing w:line="240" w:lineRule="auto"/>
              <w:jc w:val="left"/>
              <w:rPr>
                <w:b/>
                <w:bCs/>
                <w:lang w:val="lt-LT"/>
              </w:rPr>
            </w:pPr>
            <w:r w:rsidRPr="00ED3D25">
              <w:rPr>
                <w:b/>
                <w:bCs/>
                <w:lang w:val="lt-LT"/>
              </w:rPr>
              <w:t>2013 m.</w:t>
            </w:r>
          </w:p>
        </w:tc>
        <w:tc>
          <w:tcPr>
            <w:tcW w:w="2219" w:type="dxa"/>
            <w:vAlign w:val="center"/>
          </w:tcPr>
          <w:p w:rsidR="005E419B" w:rsidRPr="00ED3D25" w:rsidRDefault="005E419B" w:rsidP="00F45AE3">
            <w:pPr>
              <w:spacing w:line="240" w:lineRule="auto"/>
              <w:jc w:val="center"/>
              <w:rPr>
                <w:lang w:val="lt-LT"/>
              </w:rPr>
            </w:pPr>
            <w:r w:rsidRPr="00ED3D25">
              <w:rPr>
                <w:lang w:val="lt-LT"/>
              </w:rPr>
              <w:t>0,4608</w:t>
            </w:r>
          </w:p>
        </w:tc>
        <w:tc>
          <w:tcPr>
            <w:tcW w:w="0" w:type="auto"/>
            <w:vAlign w:val="center"/>
          </w:tcPr>
          <w:p w:rsidR="005E419B" w:rsidRPr="00ED3D25" w:rsidRDefault="005E419B" w:rsidP="00F45AE3">
            <w:pPr>
              <w:spacing w:line="240" w:lineRule="auto"/>
              <w:jc w:val="center"/>
              <w:rPr>
                <w:lang w:val="lt-LT"/>
              </w:rPr>
            </w:pPr>
            <w:r w:rsidRPr="00ED3D25">
              <w:rPr>
                <w:lang w:val="lt-LT"/>
              </w:rPr>
              <w:t>7,0943</w:t>
            </w:r>
          </w:p>
        </w:tc>
        <w:tc>
          <w:tcPr>
            <w:tcW w:w="0" w:type="auto"/>
            <w:vAlign w:val="center"/>
          </w:tcPr>
          <w:p w:rsidR="005E419B" w:rsidRPr="00ED3D25" w:rsidRDefault="005E419B" w:rsidP="00F45AE3">
            <w:pPr>
              <w:spacing w:line="240" w:lineRule="auto"/>
              <w:jc w:val="center"/>
              <w:rPr>
                <w:lang w:val="lt-LT"/>
              </w:rPr>
            </w:pPr>
            <w:r w:rsidRPr="00ED3D25">
              <w:rPr>
                <w:lang w:val="lt-LT"/>
              </w:rPr>
              <w:t>0,6205</w:t>
            </w:r>
          </w:p>
        </w:tc>
        <w:tc>
          <w:tcPr>
            <w:tcW w:w="0" w:type="auto"/>
            <w:vAlign w:val="center"/>
          </w:tcPr>
          <w:p w:rsidR="005E419B" w:rsidRPr="00ED3D25" w:rsidRDefault="005E419B" w:rsidP="00F45AE3">
            <w:pPr>
              <w:spacing w:line="240" w:lineRule="auto"/>
              <w:jc w:val="center"/>
              <w:rPr>
                <w:lang w:val="lt-LT"/>
              </w:rPr>
            </w:pPr>
            <w:r w:rsidRPr="00ED3D25">
              <w:rPr>
                <w:lang w:val="lt-LT"/>
              </w:rPr>
              <w:t>0,4831</w:t>
            </w:r>
          </w:p>
        </w:tc>
      </w:tr>
    </w:tbl>
    <w:p w:rsidR="00E77C5F" w:rsidRPr="00ED3D25" w:rsidRDefault="00E77C5F" w:rsidP="00FE0D46">
      <w:pPr>
        <w:tabs>
          <w:tab w:val="left" w:pos="8456"/>
        </w:tabs>
        <w:spacing w:after="0" w:line="240" w:lineRule="auto"/>
        <w:rPr>
          <w:sz w:val="20"/>
          <w:szCs w:val="20"/>
          <w:lang w:val="lt-LT"/>
        </w:rPr>
      </w:pPr>
      <w:r w:rsidRPr="00ED3D25">
        <w:rPr>
          <w:sz w:val="20"/>
          <w:szCs w:val="20"/>
          <w:lang w:val="lt-LT"/>
        </w:rPr>
        <w:t>Pastaba: lentelė sudaryta autorės, remiantis įmonės A 2007-2013 m. pelno (nuostolio) ata</w:t>
      </w:r>
      <w:r w:rsidR="00FE0D46">
        <w:rPr>
          <w:sz w:val="20"/>
          <w:szCs w:val="20"/>
          <w:lang w:val="lt-LT"/>
        </w:rPr>
        <w:t xml:space="preserve">skaitos finansiniais duomenimis, taip pat </w:t>
      </w:r>
      <w:r w:rsidR="00FE0D46" w:rsidRPr="00B36302">
        <w:rPr>
          <w:sz w:val="20"/>
          <w:szCs w:val="20"/>
          <w:lang w:val="lt-LT"/>
        </w:rPr>
        <w:t xml:space="preserve"> </w:t>
      </w:r>
      <w:r w:rsidR="00FE0D46">
        <w:rPr>
          <w:sz w:val="20"/>
          <w:szCs w:val="20"/>
          <w:lang w:val="lt-LT"/>
        </w:rPr>
        <w:t>paryškintas laikotarpis, kada įmonė gavo paramą.</w:t>
      </w:r>
    </w:p>
    <w:p w:rsidR="00563A96" w:rsidRPr="00FE0D46" w:rsidRDefault="00563A96" w:rsidP="00F45AE3">
      <w:pPr>
        <w:spacing w:after="0" w:line="240" w:lineRule="auto"/>
        <w:rPr>
          <w:sz w:val="14"/>
          <w:szCs w:val="14"/>
          <w:lang w:val="lt-LT"/>
        </w:rPr>
      </w:pPr>
    </w:p>
    <w:p w:rsidR="00B215DE" w:rsidRPr="00ED3D25" w:rsidRDefault="00B215DE" w:rsidP="00737694">
      <w:pPr>
        <w:spacing w:after="0"/>
        <w:ind w:firstLine="851"/>
        <w:rPr>
          <w:szCs w:val="24"/>
          <w:lang w:val="lt-LT"/>
        </w:rPr>
      </w:pPr>
      <w:r w:rsidRPr="00ED3D25">
        <w:rPr>
          <w:szCs w:val="24"/>
          <w:lang w:val="lt-LT"/>
        </w:rPr>
        <w:t xml:space="preserve">Vertinant įmonės A veiklos pelningumą </w:t>
      </w:r>
      <w:r w:rsidR="001E6619">
        <w:rPr>
          <w:szCs w:val="24"/>
          <w:lang w:val="lt-LT"/>
        </w:rPr>
        <w:t>(žr. 1</w:t>
      </w:r>
      <w:r w:rsidR="004A5728">
        <w:rPr>
          <w:szCs w:val="24"/>
          <w:lang w:val="lt-LT"/>
        </w:rPr>
        <w:t>2</w:t>
      </w:r>
      <w:r w:rsidR="001E6619">
        <w:rPr>
          <w:szCs w:val="24"/>
          <w:lang w:val="lt-LT"/>
        </w:rPr>
        <w:t xml:space="preserve"> lentelę) </w:t>
      </w:r>
      <w:r w:rsidR="00367CB4">
        <w:rPr>
          <w:szCs w:val="24"/>
          <w:lang w:val="lt-LT"/>
        </w:rPr>
        <w:t>v</w:t>
      </w:r>
      <w:r w:rsidR="00524527" w:rsidRPr="00ED3D25">
        <w:rPr>
          <w:szCs w:val="24"/>
          <w:lang w:val="lt-LT"/>
        </w:rPr>
        <w:t>eiklos sąnaudos vienam pajamų litui visu tirtu laikotarpiu viršija rekomenduotiną ribą – 0,18, tai reiškia, kad įmonė A susiduria su neefektyvia įprastinės ve</w:t>
      </w:r>
      <w:r w:rsidR="00F116C9" w:rsidRPr="00ED3D25">
        <w:rPr>
          <w:szCs w:val="24"/>
          <w:lang w:val="lt-LT"/>
        </w:rPr>
        <w:t>iklos išlaidų mažinimo politika</w:t>
      </w:r>
      <w:r w:rsidR="00524527" w:rsidRPr="00ED3D25">
        <w:rPr>
          <w:szCs w:val="24"/>
          <w:lang w:val="lt-LT"/>
        </w:rPr>
        <w:t xml:space="preserve">, tad turi priimti svarbius sprendimus, kurie sumažintų išlaidas. </w:t>
      </w:r>
      <w:r w:rsidR="001E6619">
        <w:rPr>
          <w:szCs w:val="24"/>
          <w:lang w:val="lt-LT"/>
        </w:rPr>
        <w:t xml:space="preserve">Po ES finansinės paramos įsisavinimo 2010 m. pastebimas sąnaudų mažėjimas, o 2011 m. fiksuojamas rodiklis, kuris beveik lygus prieš ES finansinės paramos gavimą. Tačiau </w:t>
      </w:r>
      <w:r w:rsidR="001E6619">
        <w:rPr>
          <w:szCs w:val="24"/>
          <w:lang w:val="lt-LT"/>
        </w:rPr>
        <w:lastRenderedPageBreak/>
        <w:t xml:space="preserve">paskutiniais tirto laikotarpio metais matyti sąnaudų padidėjimas iki 46 proc. </w:t>
      </w:r>
      <w:r w:rsidR="00563A96" w:rsidRPr="00ED3D25">
        <w:rPr>
          <w:szCs w:val="24"/>
          <w:lang w:val="lt-LT"/>
        </w:rPr>
        <w:t>Toliau skaičiuojamas apyvartinio kapitalo apyvartumas tik nuo 2008 m., nes imamas vidutinis apyvartinis kapitalas. Rezultatai atskleidžia, kad įmonė šiuo atžvilgiu vald</w:t>
      </w:r>
      <w:r w:rsidR="001859C3">
        <w:rPr>
          <w:szCs w:val="24"/>
          <w:lang w:val="lt-LT"/>
        </w:rPr>
        <w:t>oma efektyviai, nes tik ES finansinės paramos panaudojim</w:t>
      </w:r>
      <w:r w:rsidR="00737694">
        <w:rPr>
          <w:szCs w:val="24"/>
          <w:lang w:val="lt-LT"/>
        </w:rPr>
        <w:t>o</w:t>
      </w:r>
      <w:r w:rsidR="001859C3">
        <w:rPr>
          <w:szCs w:val="24"/>
          <w:lang w:val="lt-LT"/>
        </w:rPr>
        <w:t xml:space="preserve"> </w:t>
      </w:r>
      <w:r w:rsidR="00737694" w:rsidRPr="00ED3D25">
        <w:rPr>
          <w:szCs w:val="24"/>
          <w:lang w:val="lt-LT"/>
        </w:rPr>
        <w:t>laikotarpiu</w:t>
      </w:r>
      <w:r w:rsidR="00737694">
        <w:rPr>
          <w:szCs w:val="24"/>
          <w:lang w:val="lt-LT"/>
        </w:rPr>
        <w:t xml:space="preserve"> </w:t>
      </w:r>
      <w:r w:rsidR="001859C3">
        <w:rPr>
          <w:szCs w:val="24"/>
          <w:lang w:val="lt-LT"/>
        </w:rPr>
        <w:t>rodiklis nukrito nuo 3,75 iki 2,2</w:t>
      </w:r>
      <w:r w:rsidR="00737694">
        <w:rPr>
          <w:szCs w:val="24"/>
          <w:lang w:val="lt-LT"/>
        </w:rPr>
        <w:t>8, tačiau po to iki 2012 m. rodiklis išaugo iki 20.</w:t>
      </w:r>
      <w:r w:rsidR="00563A96" w:rsidRPr="00ED3D25">
        <w:rPr>
          <w:szCs w:val="24"/>
          <w:lang w:val="lt-LT"/>
        </w:rPr>
        <w:t xml:space="preserve"> </w:t>
      </w:r>
      <w:r w:rsidR="00737694">
        <w:rPr>
          <w:szCs w:val="24"/>
          <w:lang w:val="lt-LT"/>
        </w:rPr>
        <w:t>Š</w:t>
      </w:r>
      <w:r w:rsidR="00F116C9" w:rsidRPr="00ED3D25">
        <w:rPr>
          <w:szCs w:val="24"/>
          <w:lang w:val="lt-LT"/>
        </w:rPr>
        <w:t xml:space="preserve">ią išskirtį lėmė </w:t>
      </w:r>
      <w:r w:rsidR="00046F1B" w:rsidRPr="00ED3D25">
        <w:rPr>
          <w:szCs w:val="24"/>
          <w:lang w:val="lt-LT"/>
        </w:rPr>
        <w:t xml:space="preserve">tiek išaugusios pardavimo pajamos ir trumpalaikis turtas, tiek sumažėję trumpalaikiai įsipareigojimai. </w:t>
      </w:r>
      <w:r w:rsidR="00556382" w:rsidRPr="00ED3D25">
        <w:rPr>
          <w:szCs w:val="24"/>
          <w:lang w:val="lt-LT"/>
        </w:rPr>
        <w:t>Vertinant grynojo turto apyvartumą buvo gauti rezultatai, kad 2007 m. rodiklis  buvo didžiausias, siekiantis 2,26, tai reiškia, kad 1 investuotas litas uždirbo 2,26</w:t>
      </w:r>
      <w:r w:rsidR="00F15CB3" w:rsidRPr="00ED3D25">
        <w:rPr>
          <w:szCs w:val="24"/>
          <w:lang w:val="lt-LT"/>
        </w:rPr>
        <w:t xml:space="preserve"> </w:t>
      </w:r>
      <w:r w:rsidR="00A40E6E">
        <w:rPr>
          <w:szCs w:val="24"/>
          <w:lang w:val="lt-LT"/>
        </w:rPr>
        <w:t>Lt.</w:t>
      </w:r>
      <w:r w:rsidR="00556382" w:rsidRPr="00ED3D25">
        <w:rPr>
          <w:szCs w:val="24"/>
          <w:lang w:val="lt-LT"/>
        </w:rPr>
        <w:t xml:space="preserve"> </w:t>
      </w:r>
      <w:r w:rsidR="00737694">
        <w:rPr>
          <w:szCs w:val="24"/>
          <w:lang w:val="lt-LT"/>
        </w:rPr>
        <w:t>O nuo ES finansinės paramos įsisavinimo ir</w:t>
      </w:r>
      <w:r w:rsidR="00091BA5">
        <w:rPr>
          <w:szCs w:val="24"/>
          <w:lang w:val="lt-LT"/>
        </w:rPr>
        <w:t xml:space="preserve"> modernizavimo darbų pradžios iki</w:t>
      </w:r>
      <w:r w:rsidR="00737694">
        <w:rPr>
          <w:szCs w:val="24"/>
          <w:lang w:val="lt-LT"/>
        </w:rPr>
        <w:t xml:space="preserve"> pabaigos rodiklis</w:t>
      </w:r>
      <w:r w:rsidR="00556382" w:rsidRPr="00ED3D25">
        <w:rPr>
          <w:szCs w:val="24"/>
          <w:lang w:val="lt-LT"/>
        </w:rPr>
        <w:t xml:space="preserve"> ėmė kristi ir 2010 m. tesiekė 0,8</w:t>
      </w:r>
      <w:r w:rsidR="00737694">
        <w:rPr>
          <w:szCs w:val="24"/>
          <w:lang w:val="lt-LT"/>
        </w:rPr>
        <w:t>, o paskutiniais metais 0,62.</w:t>
      </w:r>
      <w:r w:rsidR="00F15CB3" w:rsidRPr="00ED3D25">
        <w:rPr>
          <w:szCs w:val="24"/>
          <w:lang w:val="lt-LT"/>
        </w:rPr>
        <w:t xml:space="preserve"> Taip pat buvo apskaičiuotas bendras turto apyvartumas, kuris taip pat geriausią rezultatą </w:t>
      </w:r>
      <w:r w:rsidR="00E73882" w:rsidRPr="00ED3D25">
        <w:rPr>
          <w:szCs w:val="24"/>
          <w:lang w:val="lt-LT"/>
        </w:rPr>
        <w:t>pasiekė</w:t>
      </w:r>
      <w:r w:rsidR="00F15CB3" w:rsidRPr="00ED3D25">
        <w:rPr>
          <w:szCs w:val="24"/>
          <w:lang w:val="lt-LT"/>
        </w:rPr>
        <w:t xml:space="preserve"> 2007 m. (1,78), tuo metu ši reikšmė pateko į rekomenduotiną intervalą tarp 1,6-1,8. Toliau iki </w:t>
      </w:r>
      <w:r w:rsidR="00E73882" w:rsidRPr="00ED3D25">
        <w:rPr>
          <w:szCs w:val="24"/>
          <w:lang w:val="lt-LT"/>
        </w:rPr>
        <w:t>tyrimo pabaigos fiksuota rodiklio mažėjimo tendencija ir gal</w:t>
      </w:r>
      <w:r w:rsidR="00737694">
        <w:rPr>
          <w:szCs w:val="24"/>
          <w:lang w:val="lt-LT"/>
        </w:rPr>
        <w:t xml:space="preserve">utinė reikšmė  buvo </w:t>
      </w:r>
      <w:r w:rsidR="00E73882" w:rsidRPr="00ED3D25">
        <w:rPr>
          <w:szCs w:val="24"/>
          <w:lang w:val="lt-LT"/>
        </w:rPr>
        <w:t>0,48</w:t>
      </w:r>
      <w:r w:rsidR="00F15CB3" w:rsidRPr="00ED3D25">
        <w:rPr>
          <w:szCs w:val="24"/>
          <w:lang w:val="lt-LT"/>
        </w:rPr>
        <w:t>. Mažėjanti reikšmė įspėja apie neefektyvų turto valdymą, kai turto dydis auga greičiau</w:t>
      </w:r>
      <w:r w:rsidR="007425EF" w:rsidRPr="00ED3D25">
        <w:rPr>
          <w:szCs w:val="24"/>
          <w:lang w:val="lt-LT"/>
        </w:rPr>
        <w:t>, nei pardavimų</w:t>
      </w:r>
      <w:r w:rsidR="00F15CB3" w:rsidRPr="00ED3D25">
        <w:rPr>
          <w:szCs w:val="24"/>
          <w:lang w:val="lt-LT"/>
        </w:rPr>
        <w:t xml:space="preserve"> pajamos.</w:t>
      </w:r>
    </w:p>
    <w:p w:rsidR="0093176C" w:rsidRPr="00ED3D25" w:rsidRDefault="0093176C" w:rsidP="003F7921">
      <w:pPr>
        <w:spacing w:after="0"/>
        <w:ind w:firstLine="851"/>
        <w:rPr>
          <w:szCs w:val="24"/>
          <w:lang w:val="lt-LT"/>
        </w:rPr>
      </w:pPr>
      <w:r w:rsidRPr="00ED3D25">
        <w:rPr>
          <w:szCs w:val="24"/>
          <w:lang w:val="lt-LT"/>
        </w:rPr>
        <w:t xml:space="preserve">Apibendrinant galima teigti, </w:t>
      </w:r>
      <w:r w:rsidR="00520499" w:rsidRPr="00ED3D25">
        <w:rPr>
          <w:szCs w:val="24"/>
          <w:lang w:val="lt-LT"/>
        </w:rPr>
        <w:t xml:space="preserve">kad įmonei iki 2013 m. pavyko </w:t>
      </w:r>
      <w:r w:rsidRPr="00ED3D25">
        <w:rPr>
          <w:szCs w:val="24"/>
          <w:lang w:val="lt-LT"/>
        </w:rPr>
        <w:t>p</w:t>
      </w:r>
      <w:r w:rsidR="00520499" w:rsidRPr="00ED3D25">
        <w:rPr>
          <w:szCs w:val="24"/>
          <w:lang w:val="lt-LT"/>
        </w:rPr>
        <w:t>as</w:t>
      </w:r>
      <w:r w:rsidRPr="00ED3D25">
        <w:rPr>
          <w:szCs w:val="24"/>
          <w:lang w:val="lt-LT"/>
        </w:rPr>
        <w:t>iekti, kad einamasis likvidumas būtų rekomenduotinas, tad trumpalaikis turtas pradėtas valdyti efektyviai. Iki 2010 m. įmonė vykdė konservatyvesnę politiką pinigų klausimu, t. y. kaupė pinig</w:t>
      </w:r>
      <w:r w:rsidR="00C80E6C" w:rsidRPr="00ED3D25">
        <w:rPr>
          <w:szCs w:val="24"/>
          <w:lang w:val="lt-LT"/>
        </w:rPr>
        <w:t xml:space="preserve">us, tačiau vėliau </w:t>
      </w:r>
      <w:r w:rsidR="00EE0189">
        <w:rPr>
          <w:szCs w:val="24"/>
          <w:lang w:val="lt-LT"/>
        </w:rPr>
        <w:t>sustabdė jų kaupimą ir nukreipė lėšas į investicijas</w:t>
      </w:r>
      <w:r w:rsidRPr="00ED3D25">
        <w:rPr>
          <w:szCs w:val="24"/>
          <w:lang w:val="lt-LT"/>
        </w:rPr>
        <w:t xml:space="preserve">. </w:t>
      </w:r>
      <w:r w:rsidR="00D8299B" w:rsidRPr="00ED3D25">
        <w:rPr>
          <w:szCs w:val="24"/>
          <w:lang w:val="lt-LT"/>
        </w:rPr>
        <w:t xml:space="preserve">Įsiskolinimo koeficientas atskleidė, kad 2013 m. </w:t>
      </w:r>
      <w:r w:rsidR="00EE0189">
        <w:rPr>
          <w:szCs w:val="24"/>
          <w:lang w:val="lt-LT"/>
        </w:rPr>
        <w:t>turto finansavimas</w:t>
      </w:r>
      <w:r w:rsidR="00EE0189" w:rsidRPr="00ED3D25">
        <w:rPr>
          <w:szCs w:val="24"/>
          <w:lang w:val="lt-LT"/>
        </w:rPr>
        <w:t xml:space="preserve"> įsipareigojimais</w:t>
      </w:r>
      <w:r w:rsidR="00EE0189">
        <w:rPr>
          <w:szCs w:val="24"/>
          <w:lang w:val="lt-LT"/>
        </w:rPr>
        <w:t xml:space="preserve"> išaugo</w:t>
      </w:r>
      <w:r w:rsidR="00280490">
        <w:rPr>
          <w:szCs w:val="24"/>
          <w:lang w:val="lt-LT"/>
        </w:rPr>
        <w:t xml:space="preserve"> iki</w:t>
      </w:r>
      <w:r w:rsidR="00EE0189" w:rsidRPr="00ED3D25">
        <w:rPr>
          <w:szCs w:val="24"/>
          <w:lang w:val="lt-LT"/>
        </w:rPr>
        <w:t xml:space="preserve"> </w:t>
      </w:r>
      <w:r w:rsidR="00EE0189">
        <w:rPr>
          <w:szCs w:val="24"/>
          <w:lang w:val="lt-LT"/>
        </w:rPr>
        <w:t>71 proc</w:t>
      </w:r>
      <w:r w:rsidR="00D8299B" w:rsidRPr="00ED3D25">
        <w:rPr>
          <w:szCs w:val="24"/>
          <w:lang w:val="lt-LT"/>
        </w:rPr>
        <w:t>. Pradėjus</w:t>
      </w:r>
      <w:r w:rsidR="00EE0189">
        <w:rPr>
          <w:szCs w:val="24"/>
          <w:lang w:val="lt-LT"/>
        </w:rPr>
        <w:t xml:space="preserve"> daugiau skolintis išaugo</w:t>
      </w:r>
      <w:r w:rsidR="00D8299B" w:rsidRPr="00ED3D25">
        <w:rPr>
          <w:szCs w:val="24"/>
          <w:lang w:val="lt-LT"/>
        </w:rPr>
        <w:t xml:space="preserve"> įsip</w:t>
      </w:r>
      <w:r w:rsidR="00091BA5">
        <w:rPr>
          <w:szCs w:val="24"/>
          <w:lang w:val="lt-LT"/>
        </w:rPr>
        <w:t>ar</w:t>
      </w:r>
      <w:r w:rsidR="00D8299B" w:rsidRPr="00ED3D25">
        <w:rPr>
          <w:szCs w:val="24"/>
          <w:lang w:val="lt-LT"/>
        </w:rPr>
        <w:t>eigojimų i</w:t>
      </w:r>
      <w:r w:rsidR="00C80E6C" w:rsidRPr="00ED3D25">
        <w:rPr>
          <w:szCs w:val="24"/>
          <w:lang w:val="lt-LT"/>
        </w:rPr>
        <w:t>r nuosavo kapitalo santykis,</w:t>
      </w:r>
      <w:r w:rsidR="00D8299B" w:rsidRPr="00ED3D25">
        <w:rPr>
          <w:szCs w:val="24"/>
          <w:lang w:val="lt-LT"/>
        </w:rPr>
        <w:t xml:space="preserve"> tačiau</w:t>
      </w:r>
      <w:r w:rsidR="00EE0189">
        <w:rPr>
          <w:szCs w:val="24"/>
          <w:lang w:val="lt-LT"/>
        </w:rPr>
        <w:t xml:space="preserve"> pastebimas nedidelis sumažėjimas, tad tikimasi ir tolesnio rodiklio kritimo</w:t>
      </w:r>
      <w:r w:rsidR="00D8299B" w:rsidRPr="00ED3D25">
        <w:rPr>
          <w:szCs w:val="24"/>
          <w:lang w:val="lt-LT"/>
        </w:rPr>
        <w:t>. Įmonės grynasis pelningumas nėra aukštas, 2013 m. siekia tik 2,8 proc.</w:t>
      </w:r>
      <w:r w:rsidR="00091BA5">
        <w:rPr>
          <w:szCs w:val="24"/>
          <w:lang w:val="lt-LT"/>
        </w:rPr>
        <w:t>,</w:t>
      </w:r>
      <w:r w:rsidR="00D8299B" w:rsidRPr="00ED3D25">
        <w:rPr>
          <w:szCs w:val="24"/>
          <w:lang w:val="lt-LT"/>
        </w:rPr>
        <w:t xml:space="preserve"> tad galima ieško</w:t>
      </w:r>
      <w:r w:rsidR="00C80E6C" w:rsidRPr="00ED3D25">
        <w:rPr>
          <w:szCs w:val="24"/>
          <w:lang w:val="lt-LT"/>
        </w:rPr>
        <w:t>ti būdų, kaip jį padidinti. Ben</w:t>
      </w:r>
      <w:r w:rsidR="00D8299B" w:rsidRPr="00ED3D25">
        <w:rPr>
          <w:szCs w:val="24"/>
          <w:lang w:val="lt-LT"/>
        </w:rPr>
        <w:t xml:space="preserve">drasis pelningumas paskutiniaisiais metais siekė 50 proc. EBIT marža atskleidžia, kad įprastinės veiklos pelnas 2013 m. būtų 2 proc. didesnis, jei ne įmonės investicinė veikla. </w:t>
      </w:r>
      <w:r w:rsidR="00CD58D5" w:rsidRPr="00ED3D25">
        <w:rPr>
          <w:szCs w:val="24"/>
          <w:lang w:val="lt-LT"/>
        </w:rPr>
        <w:t xml:space="preserve">ROA </w:t>
      </w:r>
      <w:r w:rsidR="00C80E6C" w:rsidRPr="00ED3D25">
        <w:rPr>
          <w:szCs w:val="24"/>
          <w:lang w:val="lt-LT"/>
        </w:rPr>
        <w:t>rodo</w:t>
      </w:r>
      <w:r w:rsidR="00CD58D5" w:rsidRPr="00ED3D25">
        <w:rPr>
          <w:szCs w:val="24"/>
          <w:lang w:val="lt-LT"/>
        </w:rPr>
        <w:t xml:space="preserve">, kad įmonės turtas sparčiau auga, nei grynasis pelnas. </w:t>
      </w:r>
      <w:r w:rsidR="005C78A1" w:rsidRPr="00ED3D25">
        <w:rPr>
          <w:szCs w:val="24"/>
          <w:lang w:val="lt-LT"/>
        </w:rPr>
        <w:t xml:space="preserve"> Taip pat ir ROE, nes 1 nuosavo kapitalo litui tenka tik 5 centai grynojo pelno. Įmonei</w:t>
      </w:r>
      <w:r w:rsidR="00EE0189">
        <w:rPr>
          <w:szCs w:val="24"/>
          <w:lang w:val="lt-LT"/>
        </w:rPr>
        <w:t xml:space="preserve"> A</w:t>
      </w:r>
      <w:r w:rsidR="005C78A1" w:rsidRPr="00ED3D25">
        <w:rPr>
          <w:szCs w:val="24"/>
          <w:lang w:val="lt-LT"/>
        </w:rPr>
        <w:t xml:space="preserve"> reikėtų keisti veiklos sąnaudų politiką, nes sąnaudos per daug di</w:t>
      </w:r>
      <w:r w:rsidR="007E0020" w:rsidRPr="00ED3D25">
        <w:rPr>
          <w:szCs w:val="24"/>
          <w:lang w:val="lt-LT"/>
        </w:rPr>
        <w:t xml:space="preserve">delės ir siekia 46 proc. </w:t>
      </w:r>
      <w:r w:rsidR="003F7921">
        <w:rPr>
          <w:szCs w:val="24"/>
          <w:lang w:val="lt-LT"/>
        </w:rPr>
        <w:t xml:space="preserve"> Apžvelgus visus rodiklius, jų kitimą galima teigti, kad ES finansinės paramos panaudojimas paskatino įmonę daugiau investuoti į plėtrą, tapti konkurencingesnei.</w:t>
      </w:r>
    </w:p>
    <w:p w:rsidR="00843D8F" w:rsidRPr="00ED3D25" w:rsidRDefault="00843D8F" w:rsidP="004665BD">
      <w:pPr>
        <w:spacing w:after="0"/>
        <w:rPr>
          <w:i/>
          <w:lang w:val="lt-LT"/>
        </w:rPr>
      </w:pPr>
    </w:p>
    <w:p w:rsidR="00843D8F" w:rsidRPr="00ED3D25" w:rsidRDefault="00843D8F" w:rsidP="00F45AE3">
      <w:pPr>
        <w:spacing w:after="0"/>
        <w:jc w:val="center"/>
        <w:rPr>
          <w:i/>
          <w:lang w:val="lt-LT"/>
        </w:rPr>
      </w:pPr>
      <w:r w:rsidRPr="00ED3D25">
        <w:rPr>
          <w:i/>
          <w:lang w:val="lt-LT"/>
        </w:rPr>
        <w:t>Įmonė B</w:t>
      </w:r>
    </w:p>
    <w:p w:rsidR="00843D8F" w:rsidRPr="00ED3D25" w:rsidRDefault="00843D8F" w:rsidP="00F45AE3">
      <w:pPr>
        <w:spacing w:after="0"/>
        <w:ind w:firstLine="851"/>
        <w:rPr>
          <w:lang w:val="lt-LT"/>
        </w:rPr>
      </w:pPr>
      <w:r w:rsidRPr="00ED3D25">
        <w:rPr>
          <w:lang w:val="lt-LT"/>
        </w:rPr>
        <w:t>Įmonė B veikia</w:t>
      </w:r>
      <w:r w:rsidR="00FE0D46">
        <w:rPr>
          <w:lang w:val="lt-LT"/>
        </w:rPr>
        <w:t xml:space="preserve"> Panevėžio rajono Liūdynės kaime</w:t>
      </w:r>
      <w:r w:rsidRPr="00ED3D25">
        <w:rPr>
          <w:lang w:val="lt-LT"/>
        </w:rPr>
        <w:t xml:space="preserve"> ir užsiima lengvųjų metalų taros gamyba, t. y. dangtelių iš aliuminio folijos gamyba. Ji naudojama nealkoholiniams aromatizuotiems, pasaldintiems gėrimams, pavyzdžiui, limonadui, vaisvandeniams, tonizuojančiajam vandeniui, riebalams ir aliejams, ypač vaikams skirtų produktų – butelių ar kitos </w:t>
      </w:r>
      <w:r w:rsidRPr="00ED3D25">
        <w:rPr>
          <w:lang w:val="lt-LT"/>
        </w:rPr>
        <w:lastRenderedPageBreak/>
        <w:t>taros uždengimui ir ženklinimui. Įmonę valdo 2 savininkai, kontroliuojančio savininko akcijų skaičius siekia 50,91 proc.</w:t>
      </w:r>
    </w:p>
    <w:p w:rsidR="00EB7E62" w:rsidRPr="00062716" w:rsidRDefault="00843D8F" w:rsidP="00062716">
      <w:pPr>
        <w:spacing w:after="0"/>
        <w:ind w:firstLine="851"/>
        <w:rPr>
          <w:lang w:val="lt-LT"/>
        </w:rPr>
      </w:pPr>
      <w:r w:rsidRPr="00ED3D25">
        <w:rPr>
          <w:lang w:val="lt-LT"/>
        </w:rPr>
        <w:t>Įmonė B teikė paraišką, kad gautų paramą verslo kūrimui. Buvo prašoma 1 726 400 litų suma. Už gautas lėšas buvo numatyta įsigyti reikalingą įrangą dangtelių ar gaubtelių iš aliuminio folijos gamybai, taip pat transporto priemonę žaliavų atsivežimui bei pagamintos produkcijos transportavimui ir naujo pastato statybai. Projektą buvo numatyta įgyvendint</w:t>
      </w:r>
      <w:r w:rsidR="00FE0D46">
        <w:rPr>
          <w:lang w:val="lt-LT"/>
        </w:rPr>
        <w:t>i nuo 2010-12-31 iki 2012-04-30, tad šie metai paryškinti 13 lentelėje.</w:t>
      </w:r>
      <w:r w:rsidR="00C80E6C" w:rsidRPr="00ED3D25">
        <w:rPr>
          <w:lang w:val="lt-LT"/>
        </w:rPr>
        <w:t xml:space="preserve"> Ar projekto įgyvendinimas pasiteisin</w:t>
      </w:r>
      <w:r w:rsidR="00AA322C">
        <w:rPr>
          <w:lang w:val="lt-LT"/>
        </w:rPr>
        <w:t>o matyti iš finansinių rodiklių, kurie apskaičiuoti iš 2011-2014 m. laikotarpio finansinių ataskaitų</w:t>
      </w:r>
      <w:r w:rsidR="00FE004C">
        <w:rPr>
          <w:lang w:val="lt-LT"/>
        </w:rPr>
        <w:t xml:space="preserve"> (žr. 7 priedą)</w:t>
      </w:r>
      <w:r w:rsidR="00AA322C">
        <w:rPr>
          <w:lang w:val="lt-LT"/>
        </w:rPr>
        <w:t>.</w:t>
      </w:r>
    </w:p>
    <w:p w:rsidR="00CD2674" w:rsidRPr="00ED3D25" w:rsidRDefault="00E22853" w:rsidP="00F45AE3">
      <w:pPr>
        <w:spacing w:after="0"/>
        <w:jc w:val="right"/>
        <w:rPr>
          <w:b/>
          <w:bCs/>
          <w:lang w:val="lt-LT"/>
        </w:rPr>
      </w:pPr>
      <w:r w:rsidRPr="00ED3D25">
        <w:rPr>
          <w:b/>
          <w:bCs/>
          <w:lang w:val="lt-LT"/>
        </w:rPr>
        <w:t>13</w:t>
      </w:r>
      <w:r w:rsidR="00CD2674" w:rsidRPr="00ED3D25">
        <w:rPr>
          <w:b/>
          <w:bCs/>
          <w:lang w:val="lt-LT"/>
        </w:rPr>
        <w:t xml:space="preserve"> lentelė</w:t>
      </w:r>
    </w:p>
    <w:p w:rsidR="00CD2674" w:rsidRPr="00ED3D25" w:rsidRDefault="00CD2674" w:rsidP="00F45AE3">
      <w:pPr>
        <w:spacing w:after="0" w:line="240" w:lineRule="auto"/>
        <w:jc w:val="center"/>
        <w:rPr>
          <w:b/>
          <w:bCs/>
          <w:lang w:val="lt-LT"/>
        </w:rPr>
      </w:pPr>
      <w:r w:rsidRPr="00ED3D25">
        <w:rPr>
          <w:b/>
          <w:bCs/>
          <w:sz w:val="22"/>
          <w:szCs w:val="20"/>
          <w:lang w:val="lt-LT"/>
        </w:rPr>
        <w:t>Įmon</w:t>
      </w:r>
      <w:r w:rsidR="00EB54E0" w:rsidRPr="00ED3D25">
        <w:rPr>
          <w:b/>
          <w:bCs/>
          <w:sz w:val="22"/>
          <w:szCs w:val="20"/>
          <w:lang w:val="lt-LT"/>
        </w:rPr>
        <w:t>ės B finansiniai rodikliai</w:t>
      </w:r>
    </w:p>
    <w:p w:rsidR="00CD2674" w:rsidRPr="00ED3D25" w:rsidRDefault="00CD2674" w:rsidP="00F45AE3">
      <w:pPr>
        <w:spacing w:after="0" w:line="240" w:lineRule="auto"/>
        <w:rPr>
          <w:sz w:val="22"/>
          <w:lang w:val="lt-LT"/>
        </w:rPr>
      </w:pPr>
    </w:p>
    <w:tbl>
      <w:tblPr>
        <w:tblStyle w:val="TableGrid"/>
        <w:tblW w:w="0" w:type="auto"/>
        <w:jc w:val="center"/>
        <w:tblLook w:val="04A0" w:firstRow="1" w:lastRow="0" w:firstColumn="1" w:lastColumn="0" w:noHBand="0" w:noVBand="1"/>
      </w:tblPr>
      <w:tblGrid>
        <w:gridCol w:w="1532"/>
        <w:gridCol w:w="1886"/>
        <w:gridCol w:w="1350"/>
        <w:gridCol w:w="1600"/>
        <w:gridCol w:w="1723"/>
        <w:gridCol w:w="1764"/>
      </w:tblGrid>
      <w:tr w:rsidR="00CD2674" w:rsidRPr="00ED3D25" w:rsidTr="00FD5C5E">
        <w:trPr>
          <w:jc w:val="center"/>
        </w:trPr>
        <w:tc>
          <w:tcPr>
            <w:tcW w:w="4754" w:type="dxa"/>
            <w:gridSpan w:val="3"/>
            <w:vAlign w:val="center"/>
          </w:tcPr>
          <w:p w:rsidR="00CD2674" w:rsidRPr="00ED3D25" w:rsidRDefault="00CD2674" w:rsidP="00EB7E62">
            <w:pPr>
              <w:tabs>
                <w:tab w:val="left" w:pos="1134"/>
              </w:tabs>
              <w:spacing w:line="240" w:lineRule="auto"/>
              <w:ind w:firstLine="709"/>
              <w:jc w:val="right"/>
              <w:rPr>
                <w:b/>
                <w:bCs/>
                <w:lang w:val="lt-LT"/>
              </w:rPr>
            </w:pPr>
            <w:r w:rsidRPr="00ED3D25">
              <w:rPr>
                <w:b/>
                <w:bCs/>
                <w:lang w:val="lt-LT"/>
              </w:rPr>
              <w:t>Trumpalaikio turto likvidum</w:t>
            </w:r>
            <w:r w:rsidR="00FD5C5E">
              <w:rPr>
                <w:b/>
                <w:bCs/>
                <w:lang w:val="lt-LT"/>
              </w:rPr>
              <w:t xml:space="preserve">o </w:t>
            </w:r>
            <w:r w:rsidRPr="00ED3D25">
              <w:rPr>
                <w:b/>
                <w:bCs/>
                <w:lang w:val="lt-LT"/>
              </w:rPr>
              <w:t>rodikliai</w:t>
            </w:r>
          </w:p>
        </w:tc>
        <w:tc>
          <w:tcPr>
            <w:tcW w:w="5100" w:type="dxa"/>
            <w:gridSpan w:val="3"/>
            <w:vAlign w:val="center"/>
          </w:tcPr>
          <w:p w:rsidR="00CD2674" w:rsidRPr="00ED3D25" w:rsidRDefault="00CD2674" w:rsidP="00F45AE3">
            <w:pPr>
              <w:spacing w:line="240" w:lineRule="auto"/>
              <w:jc w:val="center"/>
              <w:rPr>
                <w:b/>
                <w:bCs/>
                <w:lang w:val="lt-LT"/>
              </w:rPr>
            </w:pPr>
            <w:r w:rsidRPr="00ED3D25">
              <w:rPr>
                <w:b/>
                <w:bCs/>
                <w:lang w:val="lt-LT"/>
              </w:rPr>
              <w:t>Finansinio sverto rodikliai</w:t>
            </w:r>
          </w:p>
        </w:tc>
      </w:tr>
      <w:tr w:rsidR="00A725C8" w:rsidRPr="00ED3D25" w:rsidTr="00FE0D46">
        <w:trPr>
          <w:jc w:val="center"/>
        </w:trPr>
        <w:tc>
          <w:tcPr>
            <w:tcW w:w="1569" w:type="dxa"/>
            <w:tcBorders>
              <w:tl2br w:val="single" w:sz="4" w:space="0" w:color="auto"/>
            </w:tcBorders>
            <w:vAlign w:val="center"/>
          </w:tcPr>
          <w:p w:rsidR="00A725C8" w:rsidRDefault="00A725C8" w:rsidP="00EB7E62">
            <w:pPr>
              <w:spacing w:line="240" w:lineRule="auto"/>
              <w:jc w:val="right"/>
              <w:rPr>
                <w:b/>
                <w:bCs/>
                <w:lang w:val="lt-LT"/>
              </w:rPr>
            </w:pPr>
            <w:r w:rsidRPr="00ED3D25">
              <w:rPr>
                <w:b/>
                <w:bCs/>
                <w:lang w:val="lt-LT"/>
              </w:rPr>
              <w:t>Rodiklis</w:t>
            </w:r>
          </w:p>
          <w:p w:rsidR="00FD5C5E" w:rsidRPr="00ED3D25" w:rsidRDefault="00FD5C5E" w:rsidP="00FD5C5E">
            <w:pPr>
              <w:spacing w:line="240" w:lineRule="auto"/>
              <w:rPr>
                <w:b/>
                <w:bCs/>
                <w:lang w:val="lt-LT"/>
              </w:rPr>
            </w:pPr>
            <w:r>
              <w:rPr>
                <w:b/>
                <w:bCs/>
                <w:lang w:val="lt-LT"/>
              </w:rPr>
              <w:t>Metai</w:t>
            </w:r>
          </w:p>
        </w:tc>
        <w:tc>
          <w:tcPr>
            <w:tcW w:w="1929" w:type="dxa"/>
            <w:tcBorders>
              <w:bottom w:val="single" w:sz="4" w:space="0" w:color="auto"/>
            </w:tcBorders>
            <w:vAlign w:val="center"/>
          </w:tcPr>
          <w:p w:rsidR="00A725C8" w:rsidRPr="00ED3D25" w:rsidRDefault="00A725C8" w:rsidP="00F45AE3">
            <w:pPr>
              <w:spacing w:line="240" w:lineRule="auto"/>
              <w:jc w:val="center"/>
              <w:rPr>
                <w:b/>
                <w:bCs/>
                <w:lang w:val="lt-LT"/>
              </w:rPr>
            </w:pPr>
            <w:r w:rsidRPr="00ED3D25">
              <w:rPr>
                <w:b/>
                <w:bCs/>
                <w:lang w:val="lt-LT"/>
              </w:rPr>
              <w:t>Einamasis likvidumas</w:t>
            </w:r>
          </w:p>
        </w:tc>
        <w:tc>
          <w:tcPr>
            <w:tcW w:w="1256" w:type="dxa"/>
            <w:tcBorders>
              <w:bottom w:val="single" w:sz="4" w:space="0" w:color="auto"/>
            </w:tcBorders>
            <w:vAlign w:val="center"/>
          </w:tcPr>
          <w:p w:rsidR="00A725C8" w:rsidRPr="00ED3D25" w:rsidRDefault="00A725C8" w:rsidP="00F45AE3">
            <w:pPr>
              <w:spacing w:line="240" w:lineRule="auto"/>
              <w:jc w:val="center"/>
              <w:rPr>
                <w:b/>
                <w:bCs/>
                <w:lang w:val="lt-LT"/>
              </w:rPr>
            </w:pPr>
            <w:r w:rsidRPr="00ED3D25">
              <w:rPr>
                <w:b/>
                <w:bCs/>
                <w:lang w:val="lt-LT"/>
              </w:rPr>
              <w:t>Absoliutus likvidumas</w:t>
            </w:r>
          </w:p>
        </w:tc>
        <w:tc>
          <w:tcPr>
            <w:tcW w:w="1610" w:type="dxa"/>
            <w:tcBorders>
              <w:bottom w:val="single" w:sz="4" w:space="0" w:color="auto"/>
            </w:tcBorders>
            <w:vAlign w:val="center"/>
          </w:tcPr>
          <w:p w:rsidR="00A725C8" w:rsidRPr="00ED3D25" w:rsidRDefault="00A725C8" w:rsidP="00F45AE3">
            <w:pPr>
              <w:spacing w:line="240" w:lineRule="auto"/>
              <w:jc w:val="center"/>
              <w:rPr>
                <w:b/>
                <w:bCs/>
                <w:lang w:val="lt-LT"/>
              </w:rPr>
            </w:pPr>
            <w:r w:rsidRPr="00ED3D25">
              <w:rPr>
                <w:rFonts w:asciiTheme="majorBidi" w:hAnsiTheme="majorBidi" w:cstheme="majorBidi"/>
                <w:b/>
                <w:bCs/>
                <w:lang w:val="lt-LT"/>
              </w:rPr>
              <w:t>Įsiskolinimo koeficientas</w:t>
            </w:r>
          </w:p>
        </w:tc>
        <w:tc>
          <w:tcPr>
            <w:tcW w:w="1669" w:type="dxa"/>
            <w:tcBorders>
              <w:bottom w:val="single" w:sz="4" w:space="0" w:color="auto"/>
            </w:tcBorders>
            <w:vAlign w:val="center"/>
          </w:tcPr>
          <w:p w:rsidR="00A725C8" w:rsidRPr="00ED3D25" w:rsidRDefault="00A725C8" w:rsidP="00F45AE3">
            <w:pPr>
              <w:spacing w:line="240" w:lineRule="auto"/>
              <w:jc w:val="center"/>
              <w:rPr>
                <w:rFonts w:asciiTheme="majorBidi" w:hAnsiTheme="majorBidi" w:cstheme="majorBidi"/>
                <w:b/>
                <w:bCs/>
                <w:lang w:val="lt-LT"/>
              </w:rPr>
            </w:pPr>
            <w:r w:rsidRPr="00ED3D25">
              <w:rPr>
                <w:rFonts w:asciiTheme="majorBidi" w:hAnsiTheme="majorBidi" w:cstheme="majorBidi"/>
                <w:b/>
                <w:bCs/>
                <w:lang w:val="lt-LT"/>
              </w:rPr>
              <w:t>Įsipareigojimų ir NK santykis</w:t>
            </w:r>
          </w:p>
        </w:tc>
        <w:tc>
          <w:tcPr>
            <w:tcW w:w="1821" w:type="dxa"/>
            <w:tcBorders>
              <w:bottom w:val="single" w:sz="4" w:space="0" w:color="auto"/>
            </w:tcBorders>
            <w:vAlign w:val="center"/>
          </w:tcPr>
          <w:p w:rsidR="00A725C8" w:rsidRPr="00ED3D25" w:rsidRDefault="00A725C8" w:rsidP="00F45AE3">
            <w:pPr>
              <w:spacing w:line="240" w:lineRule="auto"/>
              <w:jc w:val="center"/>
              <w:rPr>
                <w:rFonts w:asciiTheme="majorBidi" w:hAnsiTheme="majorBidi" w:cstheme="majorBidi"/>
                <w:b/>
                <w:bCs/>
                <w:lang w:val="lt-LT"/>
              </w:rPr>
            </w:pPr>
            <w:r w:rsidRPr="00ED3D25">
              <w:rPr>
                <w:rFonts w:asciiTheme="majorBidi" w:hAnsiTheme="majorBidi" w:cstheme="majorBidi"/>
                <w:b/>
                <w:bCs/>
                <w:lang w:val="lt-LT"/>
              </w:rPr>
              <w:t>Turto ir NK santykis</w:t>
            </w:r>
          </w:p>
        </w:tc>
      </w:tr>
      <w:tr w:rsidR="00A725C8" w:rsidRPr="00ED3D25" w:rsidTr="00FE0D46">
        <w:trPr>
          <w:jc w:val="center"/>
        </w:trPr>
        <w:tc>
          <w:tcPr>
            <w:tcW w:w="1569" w:type="dxa"/>
            <w:vAlign w:val="center"/>
          </w:tcPr>
          <w:p w:rsidR="00A725C8" w:rsidRPr="00ED3D25" w:rsidRDefault="00A725C8" w:rsidP="00EB7E62">
            <w:pPr>
              <w:spacing w:line="240" w:lineRule="auto"/>
              <w:jc w:val="left"/>
              <w:rPr>
                <w:b/>
                <w:bCs/>
                <w:lang w:val="lt-LT"/>
              </w:rPr>
            </w:pPr>
            <w:r w:rsidRPr="00ED3D25">
              <w:rPr>
                <w:b/>
                <w:bCs/>
                <w:lang w:val="lt-LT"/>
              </w:rPr>
              <w:t>2011 m.</w:t>
            </w:r>
          </w:p>
        </w:tc>
        <w:tc>
          <w:tcPr>
            <w:tcW w:w="1929" w:type="dxa"/>
            <w:tcBorders>
              <w:top w:val="single" w:sz="4" w:space="0" w:color="auto"/>
            </w:tcBorders>
            <w:shd w:val="clear" w:color="auto" w:fill="BFBFBF" w:themeFill="background1" w:themeFillShade="BF"/>
            <w:vAlign w:val="center"/>
          </w:tcPr>
          <w:p w:rsidR="00A725C8" w:rsidRPr="00ED3D25" w:rsidRDefault="00A725C8" w:rsidP="00F45AE3">
            <w:pPr>
              <w:spacing w:line="240" w:lineRule="auto"/>
              <w:jc w:val="center"/>
              <w:rPr>
                <w:lang w:val="lt-LT"/>
              </w:rPr>
            </w:pPr>
            <w:r w:rsidRPr="00ED3D25">
              <w:rPr>
                <w:lang w:val="lt-LT"/>
              </w:rPr>
              <w:t>30,3331</w:t>
            </w:r>
          </w:p>
        </w:tc>
        <w:tc>
          <w:tcPr>
            <w:tcW w:w="1256" w:type="dxa"/>
            <w:tcBorders>
              <w:top w:val="single" w:sz="4" w:space="0" w:color="auto"/>
            </w:tcBorders>
            <w:shd w:val="clear" w:color="auto" w:fill="BFBFBF" w:themeFill="background1" w:themeFillShade="BF"/>
            <w:vAlign w:val="center"/>
          </w:tcPr>
          <w:p w:rsidR="00A725C8" w:rsidRPr="00ED3D25" w:rsidRDefault="00A725C8" w:rsidP="00F45AE3">
            <w:pPr>
              <w:spacing w:line="240" w:lineRule="auto"/>
              <w:jc w:val="center"/>
              <w:rPr>
                <w:lang w:val="lt-LT"/>
              </w:rPr>
            </w:pPr>
            <w:r w:rsidRPr="00ED3D25">
              <w:rPr>
                <w:lang w:val="lt-LT"/>
              </w:rPr>
              <w:t>0,0831</w:t>
            </w:r>
          </w:p>
        </w:tc>
        <w:tc>
          <w:tcPr>
            <w:tcW w:w="1610" w:type="dxa"/>
            <w:tcBorders>
              <w:top w:val="single" w:sz="4" w:space="0" w:color="auto"/>
            </w:tcBorders>
            <w:shd w:val="clear" w:color="auto" w:fill="BFBFBF" w:themeFill="background1" w:themeFillShade="BF"/>
            <w:vAlign w:val="center"/>
          </w:tcPr>
          <w:p w:rsidR="00A725C8" w:rsidRPr="00ED3D25" w:rsidRDefault="00A725C8" w:rsidP="00F45AE3">
            <w:pPr>
              <w:spacing w:line="240" w:lineRule="auto"/>
              <w:jc w:val="center"/>
              <w:rPr>
                <w:lang w:val="lt-LT"/>
              </w:rPr>
            </w:pPr>
            <w:r w:rsidRPr="00ED3D25">
              <w:rPr>
                <w:lang w:val="lt-LT"/>
              </w:rPr>
              <w:t>0,3356</w:t>
            </w:r>
          </w:p>
        </w:tc>
        <w:tc>
          <w:tcPr>
            <w:tcW w:w="1669" w:type="dxa"/>
            <w:tcBorders>
              <w:top w:val="single" w:sz="4" w:space="0" w:color="auto"/>
            </w:tcBorders>
            <w:shd w:val="clear" w:color="auto" w:fill="BFBFBF" w:themeFill="background1" w:themeFillShade="BF"/>
            <w:vAlign w:val="center"/>
          </w:tcPr>
          <w:p w:rsidR="00A725C8" w:rsidRPr="00ED3D25" w:rsidRDefault="00A725C8" w:rsidP="00F45AE3">
            <w:pPr>
              <w:spacing w:line="240" w:lineRule="auto"/>
              <w:jc w:val="center"/>
              <w:rPr>
                <w:lang w:val="lt-LT"/>
              </w:rPr>
            </w:pPr>
            <w:r w:rsidRPr="00ED3D25">
              <w:rPr>
                <w:lang w:val="lt-LT"/>
              </w:rPr>
              <w:t>0, 5051</w:t>
            </w:r>
          </w:p>
        </w:tc>
        <w:tc>
          <w:tcPr>
            <w:tcW w:w="1821" w:type="dxa"/>
            <w:tcBorders>
              <w:top w:val="single" w:sz="4" w:space="0" w:color="auto"/>
            </w:tcBorders>
            <w:shd w:val="clear" w:color="auto" w:fill="BFBFBF" w:themeFill="background1" w:themeFillShade="BF"/>
            <w:vAlign w:val="center"/>
          </w:tcPr>
          <w:p w:rsidR="00A725C8" w:rsidRPr="00ED3D25" w:rsidRDefault="00245BEF" w:rsidP="00F45AE3">
            <w:pPr>
              <w:spacing w:line="240" w:lineRule="auto"/>
              <w:jc w:val="center"/>
              <w:rPr>
                <w:lang w:val="lt-LT"/>
              </w:rPr>
            </w:pPr>
            <w:r w:rsidRPr="00ED3D25">
              <w:rPr>
                <w:lang w:val="lt-LT"/>
              </w:rPr>
              <w:t>1,5051</w:t>
            </w:r>
          </w:p>
        </w:tc>
      </w:tr>
      <w:tr w:rsidR="00A725C8" w:rsidRPr="00ED3D25" w:rsidTr="00FE0D46">
        <w:trPr>
          <w:jc w:val="center"/>
        </w:trPr>
        <w:tc>
          <w:tcPr>
            <w:tcW w:w="1569" w:type="dxa"/>
            <w:vAlign w:val="center"/>
          </w:tcPr>
          <w:p w:rsidR="00A725C8" w:rsidRPr="00ED3D25" w:rsidRDefault="00A725C8" w:rsidP="00EB7E62">
            <w:pPr>
              <w:spacing w:line="240" w:lineRule="auto"/>
              <w:jc w:val="left"/>
              <w:rPr>
                <w:b/>
                <w:bCs/>
                <w:lang w:val="lt-LT"/>
              </w:rPr>
            </w:pPr>
            <w:r w:rsidRPr="00ED3D25">
              <w:rPr>
                <w:b/>
                <w:bCs/>
                <w:lang w:val="lt-LT"/>
              </w:rPr>
              <w:t>2012 m.</w:t>
            </w:r>
          </w:p>
        </w:tc>
        <w:tc>
          <w:tcPr>
            <w:tcW w:w="1929" w:type="dxa"/>
            <w:tcBorders>
              <w:bottom w:val="single" w:sz="4" w:space="0" w:color="auto"/>
            </w:tcBorders>
            <w:shd w:val="clear" w:color="auto" w:fill="BFBFBF" w:themeFill="background1" w:themeFillShade="BF"/>
            <w:vAlign w:val="center"/>
          </w:tcPr>
          <w:p w:rsidR="00A725C8" w:rsidRPr="00ED3D25" w:rsidRDefault="00A725C8" w:rsidP="00F45AE3">
            <w:pPr>
              <w:spacing w:line="240" w:lineRule="auto"/>
              <w:jc w:val="center"/>
              <w:rPr>
                <w:lang w:val="lt-LT"/>
              </w:rPr>
            </w:pPr>
            <w:r w:rsidRPr="00ED3D25">
              <w:rPr>
                <w:lang w:val="lt-LT"/>
              </w:rPr>
              <w:t>1,0274</w:t>
            </w:r>
          </w:p>
        </w:tc>
        <w:tc>
          <w:tcPr>
            <w:tcW w:w="1256" w:type="dxa"/>
            <w:tcBorders>
              <w:bottom w:val="single" w:sz="4" w:space="0" w:color="auto"/>
            </w:tcBorders>
            <w:shd w:val="clear" w:color="auto" w:fill="BFBFBF" w:themeFill="background1" w:themeFillShade="BF"/>
            <w:vAlign w:val="center"/>
          </w:tcPr>
          <w:p w:rsidR="00A725C8" w:rsidRPr="00ED3D25" w:rsidRDefault="00A725C8" w:rsidP="00F45AE3">
            <w:pPr>
              <w:spacing w:line="240" w:lineRule="auto"/>
              <w:jc w:val="center"/>
              <w:rPr>
                <w:lang w:val="lt-LT"/>
              </w:rPr>
            </w:pPr>
            <w:r w:rsidRPr="00ED3D25">
              <w:rPr>
                <w:lang w:val="lt-LT"/>
              </w:rPr>
              <w:t>0,0016</w:t>
            </w:r>
          </w:p>
        </w:tc>
        <w:tc>
          <w:tcPr>
            <w:tcW w:w="1610" w:type="dxa"/>
            <w:tcBorders>
              <w:bottom w:val="single" w:sz="4" w:space="0" w:color="auto"/>
            </w:tcBorders>
            <w:shd w:val="clear" w:color="auto" w:fill="BFBFBF" w:themeFill="background1" w:themeFillShade="BF"/>
            <w:vAlign w:val="center"/>
          </w:tcPr>
          <w:p w:rsidR="00A725C8" w:rsidRPr="00ED3D25" w:rsidRDefault="00A725C8" w:rsidP="00F45AE3">
            <w:pPr>
              <w:spacing w:line="240" w:lineRule="auto"/>
              <w:jc w:val="center"/>
              <w:rPr>
                <w:lang w:val="lt-LT"/>
              </w:rPr>
            </w:pPr>
            <w:r w:rsidRPr="00ED3D25">
              <w:rPr>
                <w:lang w:val="lt-LT"/>
              </w:rPr>
              <w:t>0,8845</w:t>
            </w:r>
          </w:p>
        </w:tc>
        <w:tc>
          <w:tcPr>
            <w:tcW w:w="1669" w:type="dxa"/>
            <w:tcBorders>
              <w:bottom w:val="single" w:sz="4" w:space="0" w:color="auto"/>
            </w:tcBorders>
            <w:shd w:val="clear" w:color="auto" w:fill="BFBFBF" w:themeFill="background1" w:themeFillShade="BF"/>
            <w:vAlign w:val="center"/>
          </w:tcPr>
          <w:p w:rsidR="00A725C8" w:rsidRPr="00ED3D25" w:rsidRDefault="00A725C8" w:rsidP="00F45AE3">
            <w:pPr>
              <w:spacing w:line="240" w:lineRule="auto"/>
              <w:jc w:val="center"/>
              <w:rPr>
                <w:lang w:val="lt-LT"/>
              </w:rPr>
            </w:pPr>
            <w:r w:rsidRPr="00ED3D25">
              <w:rPr>
                <w:lang w:val="lt-LT"/>
              </w:rPr>
              <w:t>7,6</w:t>
            </w:r>
            <w:r w:rsidR="008B249A" w:rsidRPr="00ED3D25">
              <w:rPr>
                <w:lang w:val="lt-LT"/>
              </w:rPr>
              <w:t>541</w:t>
            </w:r>
          </w:p>
        </w:tc>
        <w:tc>
          <w:tcPr>
            <w:tcW w:w="1821" w:type="dxa"/>
            <w:tcBorders>
              <w:bottom w:val="single" w:sz="4" w:space="0" w:color="auto"/>
            </w:tcBorders>
            <w:shd w:val="clear" w:color="auto" w:fill="BFBFBF" w:themeFill="background1" w:themeFillShade="BF"/>
            <w:vAlign w:val="center"/>
          </w:tcPr>
          <w:p w:rsidR="00A725C8" w:rsidRPr="00ED3D25" w:rsidRDefault="00245BEF" w:rsidP="00F45AE3">
            <w:pPr>
              <w:spacing w:line="240" w:lineRule="auto"/>
              <w:jc w:val="center"/>
              <w:rPr>
                <w:lang w:val="lt-LT"/>
              </w:rPr>
            </w:pPr>
            <w:r w:rsidRPr="00ED3D25">
              <w:rPr>
                <w:lang w:val="lt-LT"/>
              </w:rPr>
              <w:t>8,6541</w:t>
            </w:r>
          </w:p>
        </w:tc>
      </w:tr>
      <w:tr w:rsidR="00A725C8" w:rsidRPr="00ED3D25" w:rsidTr="00FE0D46">
        <w:trPr>
          <w:jc w:val="center"/>
        </w:trPr>
        <w:tc>
          <w:tcPr>
            <w:tcW w:w="1569" w:type="dxa"/>
            <w:vAlign w:val="center"/>
          </w:tcPr>
          <w:p w:rsidR="00A725C8" w:rsidRPr="00ED3D25" w:rsidRDefault="00A725C8" w:rsidP="00EB7E62">
            <w:pPr>
              <w:spacing w:line="240" w:lineRule="auto"/>
              <w:jc w:val="left"/>
              <w:rPr>
                <w:b/>
                <w:bCs/>
                <w:lang w:val="lt-LT"/>
              </w:rPr>
            </w:pPr>
            <w:r w:rsidRPr="00ED3D25">
              <w:rPr>
                <w:b/>
                <w:bCs/>
                <w:lang w:val="lt-LT"/>
              </w:rPr>
              <w:t>2013 m.</w:t>
            </w:r>
          </w:p>
        </w:tc>
        <w:tc>
          <w:tcPr>
            <w:tcW w:w="1929" w:type="dxa"/>
            <w:tcBorders>
              <w:top w:val="single" w:sz="4" w:space="0" w:color="auto"/>
            </w:tcBorders>
            <w:vAlign w:val="center"/>
          </w:tcPr>
          <w:p w:rsidR="00A725C8" w:rsidRPr="00ED3D25" w:rsidRDefault="00A725C8" w:rsidP="00F45AE3">
            <w:pPr>
              <w:spacing w:line="240" w:lineRule="auto"/>
              <w:jc w:val="center"/>
              <w:rPr>
                <w:lang w:val="lt-LT"/>
              </w:rPr>
            </w:pPr>
            <w:r w:rsidRPr="00ED3D25">
              <w:rPr>
                <w:lang w:val="lt-LT"/>
              </w:rPr>
              <w:t>0,0164</w:t>
            </w:r>
          </w:p>
        </w:tc>
        <w:tc>
          <w:tcPr>
            <w:tcW w:w="1256" w:type="dxa"/>
            <w:tcBorders>
              <w:top w:val="single" w:sz="4" w:space="0" w:color="auto"/>
            </w:tcBorders>
            <w:vAlign w:val="center"/>
          </w:tcPr>
          <w:p w:rsidR="00A725C8" w:rsidRPr="00ED3D25" w:rsidRDefault="00A725C8" w:rsidP="00F45AE3">
            <w:pPr>
              <w:spacing w:line="240" w:lineRule="auto"/>
              <w:jc w:val="center"/>
              <w:rPr>
                <w:lang w:val="lt-LT"/>
              </w:rPr>
            </w:pPr>
            <w:r w:rsidRPr="00ED3D25">
              <w:rPr>
                <w:lang w:val="lt-LT"/>
              </w:rPr>
              <w:t>0,002</w:t>
            </w:r>
          </w:p>
        </w:tc>
        <w:tc>
          <w:tcPr>
            <w:tcW w:w="1610" w:type="dxa"/>
            <w:tcBorders>
              <w:top w:val="single" w:sz="4" w:space="0" w:color="auto"/>
            </w:tcBorders>
            <w:vAlign w:val="center"/>
          </w:tcPr>
          <w:p w:rsidR="00A725C8" w:rsidRPr="00ED3D25" w:rsidRDefault="00A725C8" w:rsidP="00F45AE3">
            <w:pPr>
              <w:spacing w:line="240" w:lineRule="auto"/>
              <w:jc w:val="center"/>
              <w:rPr>
                <w:lang w:val="lt-LT"/>
              </w:rPr>
            </w:pPr>
            <w:r w:rsidRPr="00ED3D25">
              <w:rPr>
                <w:lang w:val="lt-LT"/>
              </w:rPr>
              <w:t>1,0171</w:t>
            </w:r>
          </w:p>
        </w:tc>
        <w:tc>
          <w:tcPr>
            <w:tcW w:w="1669" w:type="dxa"/>
            <w:tcBorders>
              <w:top w:val="single" w:sz="4" w:space="0" w:color="auto"/>
            </w:tcBorders>
            <w:vAlign w:val="center"/>
          </w:tcPr>
          <w:p w:rsidR="00A725C8" w:rsidRPr="00ED3D25" w:rsidRDefault="008B249A" w:rsidP="00F45AE3">
            <w:pPr>
              <w:spacing w:line="240" w:lineRule="auto"/>
              <w:jc w:val="center"/>
              <w:rPr>
                <w:lang w:val="lt-LT"/>
              </w:rPr>
            </w:pPr>
            <w:r w:rsidRPr="00ED3D25">
              <w:rPr>
                <w:lang w:val="lt-LT"/>
              </w:rPr>
              <w:t>24,3288</w:t>
            </w:r>
          </w:p>
        </w:tc>
        <w:tc>
          <w:tcPr>
            <w:tcW w:w="1821" w:type="dxa"/>
            <w:tcBorders>
              <w:top w:val="single" w:sz="4" w:space="0" w:color="auto"/>
            </w:tcBorders>
            <w:vAlign w:val="center"/>
          </w:tcPr>
          <w:p w:rsidR="00A725C8" w:rsidRPr="00ED3D25" w:rsidRDefault="00245BEF" w:rsidP="00F45AE3">
            <w:pPr>
              <w:spacing w:line="240" w:lineRule="auto"/>
              <w:jc w:val="center"/>
              <w:rPr>
                <w:lang w:val="lt-LT"/>
              </w:rPr>
            </w:pPr>
            <w:r w:rsidRPr="00ED3D25">
              <w:rPr>
                <w:lang w:val="lt-LT"/>
              </w:rPr>
              <w:t>58,5331</w:t>
            </w:r>
          </w:p>
        </w:tc>
      </w:tr>
      <w:tr w:rsidR="00A725C8" w:rsidRPr="00ED3D25" w:rsidTr="00FD5C5E">
        <w:trPr>
          <w:jc w:val="center"/>
        </w:trPr>
        <w:tc>
          <w:tcPr>
            <w:tcW w:w="1569" w:type="dxa"/>
            <w:vAlign w:val="center"/>
          </w:tcPr>
          <w:p w:rsidR="00A725C8" w:rsidRPr="00ED3D25" w:rsidRDefault="00A725C8" w:rsidP="00EB7E62">
            <w:pPr>
              <w:spacing w:line="240" w:lineRule="auto"/>
              <w:jc w:val="left"/>
              <w:rPr>
                <w:b/>
                <w:bCs/>
                <w:lang w:val="lt-LT"/>
              </w:rPr>
            </w:pPr>
            <w:r w:rsidRPr="00ED3D25">
              <w:rPr>
                <w:b/>
                <w:bCs/>
                <w:lang w:val="lt-LT"/>
              </w:rPr>
              <w:t>2014 m.</w:t>
            </w:r>
          </w:p>
        </w:tc>
        <w:tc>
          <w:tcPr>
            <w:tcW w:w="1929" w:type="dxa"/>
            <w:vAlign w:val="center"/>
          </w:tcPr>
          <w:p w:rsidR="00A725C8" w:rsidRPr="00ED3D25" w:rsidRDefault="00A725C8" w:rsidP="00F45AE3">
            <w:pPr>
              <w:spacing w:line="240" w:lineRule="auto"/>
              <w:jc w:val="center"/>
              <w:rPr>
                <w:lang w:val="lt-LT"/>
              </w:rPr>
            </w:pPr>
            <w:r w:rsidRPr="00ED3D25">
              <w:rPr>
                <w:lang w:val="lt-LT"/>
              </w:rPr>
              <w:t>0,539</w:t>
            </w:r>
          </w:p>
        </w:tc>
        <w:tc>
          <w:tcPr>
            <w:tcW w:w="1256" w:type="dxa"/>
            <w:vAlign w:val="center"/>
          </w:tcPr>
          <w:p w:rsidR="00A725C8" w:rsidRPr="00ED3D25" w:rsidRDefault="00A725C8" w:rsidP="00F45AE3">
            <w:pPr>
              <w:spacing w:line="240" w:lineRule="auto"/>
              <w:jc w:val="center"/>
              <w:rPr>
                <w:lang w:val="lt-LT"/>
              </w:rPr>
            </w:pPr>
            <w:r w:rsidRPr="00ED3D25">
              <w:rPr>
                <w:lang w:val="lt-LT"/>
              </w:rPr>
              <w:t>0,0175</w:t>
            </w:r>
          </w:p>
        </w:tc>
        <w:tc>
          <w:tcPr>
            <w:tcW w:w="1610" w:type="dxa"/>
            <w:vAlign w:val="center"/>
          </w:tcPr>
          <w:p w:rsidR="00A725C8" w:rsidRPr="00ED3D25" w:rsidRDefault="00A725C8" w:rsidP="00F45AE3">
            <w:pPr>
              <w:spacing w:line="240" w:lineRule="auto"/>
              <w:jc w:val="center"/>
              <w:rPr>
                <w:lang w:val="lt-LT"/>
              </w:rPr>
            </w:pPr>
            <w:r w:rsidRPr="00ED3D25">
              <w:rPr>
                <w:lang w:val="lt-LT"/>
              </w:rPr>
              <w:t>0,9459</w:t>
            </w:r>
          </w:p>
        </w:tc>
        <w:tc>
          <w:tcPr>
            <w:tcW w:w="1669" w:type="dxa"/>
            <w:vAlign w:val="center"/>
          </w:tcPr>
          <w:p w:rsidR="00A725C8" w:rsidRPr="00ED3D25" w:rsidRDefault="008B249A" w:rsidP="00F45AE3">
            <w:pPr>
              <w:spacing w:line="240" w:lineRule="auto"/>
              <w:jc w:val="center"/>
              <w:rPr>
                <w:lang w:val="lt-LT"/>
              </w:rPr>
            </w:pPr>
            <w:r w:rsidRPr="00ED3D25">
              <w:rPr>
                <w:lang w:val="lt-LT"/>
              </w:rPr>
              <w:t>6,9812</w:t>
            </w:r>
          </w:p>
        </w:tc>
        <w:tc>
          <w:tcPr>
            <w:tcW w:w="1821" w:type="dxa"/>
            <w:vAlign w:val="center"/>
          </w:tcPr>
          <w:p w:rsidR="00A725C8" w:rsidRPr="00ED3D25" w:rsidRDefault="00245BEF" w:rsidP="00F45AE3">
            <w:pPr>
              <w:spacing w:line="240" w:lineRule="auto"/>
              <w:jc w:val="center"/>
              <w:rPr>
                <w:lang w:val="lt-LT"/>
              </w:rPr>
            </w:pPr>
            <w:r w:rsidRPr="00ED3D25">
              <w:rPr>
                <w:lang w:val="lt-LT"/>
              </w:rPr>
              <w:t>18,49</w:t>
            </w:r>
          </w:p>
        </w:tc>
      </w:tr>
    </w:tbl>
    <w:p w:rsidR="00CD2674" w:rsidRPr="00ED3D25" w:rsidRDefault="00CD2674" w:rsidP="00FE0D46">
      <w:pPr>
        <w:tabs>
          <w:tab w:val="left" w:pos="8456"/>
        </w:tabs>
        <w:spacing w:after="0" w:line="240" w:lineRule="auto"/>
        <w:rPr>
          <w:sz w:val="20"/>
          <w:szCs w:val="20"/>
          <w:lang w:val="lt-LT"/>
        </w:rPr>
      </w:pPr>
      <w:r w:rsidRPr="00ED3D25">
        <w:rPr>
          <w:sz w:val="20"/>
          <w:szCs w:val="20"/>
          <w:lang w:val="lt-LT"/>
        </w:rPr>
        <w:t>Pastaba: lentelė sudaryta autorės</w:t>
      </w:r>
      <w:r w:rsidR="00E23683" w:rsidRPr="00ED3D25">
        <w:rPr>
          <w:sz w:val="20"/>
          <w:szCs w:val="20"/>
          <w:lang w:val="lt-LT"/>
        </w:rPr>
        <w:t>, remiantis įmonės B 2011-2014</w:t>
      </w:r>
      <w:r w:rsidRPr="00ED3D25">
        <w:rPr>
          <w:sz w:val="20"/>
          <w:szCs w:val="20"/>
          <w:lang w:val="lt-LT"/>
        </w:rPr>
        <w:t xml:space="preserve"> m. balanso finansiniais duomenimis</w:t>
      </w:r>
      <w:r w:rsidR="00FE0D46">
        <w:rPr>
          <w:sz w:val="20"/>
          <w:szCs w:val="20"/>
          <w:lang w:val="lt-LT"/>
        </w:rPr>
        <w:t xml:space="preserve">, taip pat </w:t>
      </w:r>
      <w:r w:rsidR="00FE0D46" w:rsidRPr="00B36302">
        <w:rPr>
          <w:sz w:val="20"/>
          <w:szCs w:val="20"/>
          <w:lang w:val="lt-LT"/>
        </w:rPr>
        <w:t xml:space="preserve"> </w:t>
      </w:r>
      <w:r w:rsidR="00FE0D46">
        <w:rPr>
          <w:sz w:val="20"/>
          <w:szCs w:val="20"/>
          <w:lang w:val="lt-LT"/>
        </w:rPr>
        <w:t>paryškintas laikotarpis, kada įmonė gavo paramą.</w:t>
      </w:r>
    </w:p>
    <w:p w:rsidR="00AD2BC0" w:rsidRPr="00FE0D46" w:rsidRDefault="00AD2BC0" w:rsidP="00F45AE3">
      <w:pPr>
        <w:spacing w:after="0" w:line="240" w:lineRule="auto"/>
        <w:ind w:firstLine="851"/>
        <w:rPr>
          <w:sz w:val="14"/>
          <w:szCs w:val="14"/>
          <w:lang w:val="lt-LT"/>
        </w:rPr>
      </w:pPr>
    </w:p>
    <w:p w:rsidR="00B93A7B" w:rsidRPr="00ED3D25" w:rsidRDefault="00303C40" w:rsidP="003376E4">
      <w:pPr>
        <w:spacing w:after="0"/>
        <w:ind w:firstLine="851"/>
        <w:rPr>
          <w:szCs w:val="24"/>
          <w:lang w:val="lt-LT"/>
        </w:rPr>
      </w:pPr>
      <w:r w:rsidRPr="00ED3D25">
        <w:rPr>
          <w:szCs w:val="24"/>
          <w:lang w:val="lt-LT"/>
        </w:rPr>
        <w:t xml:space="preserve">Analizuojant įmonę B susidurta su problema, kad įmonė pirmuosius savo gyvavimo metus nevykdė gamybos, tad 2011-2012 m. buvo nuostolingi, </w:t>
      </w:r>
      <w:r w:rsidR="008472F1" w:rsidRPr="00ED3D25">
        <w:rPr>
          <w:szCs w:val="24"/>
          <w:lang w:val="lt-LT"/>
        </w:rPr>
        <w:t xml:space="preserve">nes skaičiuojamos tik sąnaudos. </w:t>
      </w:r>
      <w:r w:rsidRPr="00ED3D25">
        <w:rPr>
          <w:szCs w:val="24"/>
          <w:lang w:val="lt-LT"/>
        </w:rPr>
        <w:t>Vertinant einamąjį likvidumą</w:t>
      </w:r>
      <w:r w:rsidR="004A5728">
        <w:rPr>
          <w:szCs w:val="24"/>
          <w:lang w:val="lt-LT"/>
        </w:rPr>
        <w:t xml:space="preserve"> (žr. 13 lentelę)</w:t>
      </w:r>
      <w:r w:rsidRPr="00ED3D25">
        <w:rPr>
          <w:szCs w:val="24"/>
          <w:lang w:val="lt-LT"/>
        </w:rPr>
        <w:t xml:space="preserve"> pastebėta, kad būtent 2011 m. įmonė buvo likvidžiausia, nes rodiklis</w:t>
      </w:r>
      <w:r w:rsidR="00A40E6E">
        <w:rPr>
          <w:szCs w:val="24"/>
          <w:lang w:val="lt-LT"/>
        </w:rPr>
        <w:t xml:space="preserve"> siekė</w:t>
      </w:r>
      <w:r w:rsidRPr="00ED3D25">
        <w:rPr>
          <w:szCs w:val="24"/>
          <w:lang w:val="lt-LT"/>
        </w:rPr>
        <w:t xml:space="preserve"> – 30,33, taip buvo dėl to, kad įmonės trumpalaikiai įsipareigojimai tebuvo 1</w:t>
      </w:r>
      <w:r w:rsidR="00AA322C">
        <w:rPr>
          <w:szCs w:val="24"/>
          <w:lang w:val="lt-LT"/>
        </w:rPr>
        <w:t xml:space="preserve"> </w:t>
      </w:r>
      <w:r w:rsidRPr="00ED3D25">
        <w:rPr>
          <w:szCs w:val="24"/>
          <w:lang w:val="lt-LT"/>
        </w:rPr>
        <w:t xml:space="preserve">312 </w:t>
      </w:r>
      <w:r w:rsidR="00A40E6E">
        <w:rPr>
          <w:szCs w:val="24"/>
          <w:lang w:val="lt-LT"/>
        </w:rPr>
        <w:t>Lt.</w:t>
      </w:r>
      <w:r w:rsidRPr="00ED3D25">
        <w:rPr>
          <w:szCs w:val="24"/>
          <w:lang w:val="lt-LT"/>
        </w:rPr>
        <w:t xml:space="preserve"> Tačiau nuo 2012 m. </w:t>
      </w:r>
      <w:r w:rsidR="00A40E6E">
        <w:rPr>
          <w:szCs w:val="24"/>
          <w:lang w:val="lt-LT"/>
        </w:rPr>
        <w:t>rodiklis nukrito iki 1, nes</w:t>
      </w:r>
      <w:r w:rsidRPr="00ED3D25">
        <w:rPr>
          <w:szCs w:val="24"/>
          <w:lang w:val="lt-LT"/>
        </w:rPr>
        <w:t xml:space="preserve"> trumpalaikis turtas išaugo iki 1309 proc., tiek ir įsipareigojimai </w:t>
      </w:r>
      <w:r w:rsidR="00A40E6E">
        <w:rPr>
          <w:szCs w:val="24"/>
          <w:lang w:val="lt-LT"/>
        </w:rPr>
        <w:t xml:space="preserve">išaugo </w:t>
      </w:r>
      <w:r w:rsidR="00AD2BC0" w:rsidRPr="00ED3D25">
        <w:rPr>
          <w:szCs w:val="24"/>
          <w:lang w:val="lt-LT"/>
        </w:rPr>
        <w:t>nuo 1312 lt</w:t>
      </w:r>
      <w:r w:rsidR="00A40E6E">
        <w:rPr>
          <w:szCs w:val="24"/>
          <w:lang w:val="lt-LT"/>
        </w:rPr>
        <w:t xml:space="preserve"> iki 507</w:t>
      </w:r>
      <w:r w:rsidR="006808CD">
        <w:rPr>
          <w:szCs w:val="24"/>
          <w:lang w:val="lt-LT"/>
        </w:rPr>
        <w:t xml:space="preserve"> </w:t>
      </w:r>
      <w:r w:rsidR="00A40E6E">
        <w:rPr>
          <w:szCs w:val="24"/>
          <w:lang w:val="lt-LT"/>
        </w:rPr>
        <w:t>864 Lt.</w:t>
      </w:r>
      <w:r w:rsidR="00AD2BC0" w:rsidRPr="00ED3D25">
        <w:rPr>
          <w:szCs w:val="24"/>
          <w:lang w:val="lt-LT"/>
        </w:rPr>
        <w:t xml:space="preserve"> Tik 2014 m. pastebima rodiklio augimo tendencija (0,5), nors ir nesiekiama rekomenduotina riba lygi 1</w:t>
      </w:r>
      <w:r w:rsidR="00884D5C">
        <w:rPr>
          <w:szCs w:val="24"/>
          <w:lang w:val="lt-LT"/>
        </w:rPr>
        <w:t>, tačiau po ES finansinės paramos įsisavinimo likvidumo lygis didėja</w:t>
      </w:r>
      <w:r w:rsidR="00AD2BC0" w:rsidRPr="00ED3D25">
        <w:rPr>
          <w:szCs w:val="24"/>
          <w:lang w:val="lt-LT"/>
        </w:rPr>
        <w:t xml:space="preserve">. </w:t>
      </w:r>
      <w:r w:rsidR="00BA7BF4" w:rsidRPr="00ED3D25">
        <w:rPr>
          <w:szCs w:val="24"/>
          <w:lang w:val="lt-LT"/>
        </w:rPr>
        <w:t>Toliau vertintas absoliutus likvidumas, kuris visu nagrinėjamu 2011-2014 m. laikotarpiu svyravo. Tai reiškia, kad įmonė pinigų ir jų ekvivalentų neturėjo, tad prireikus</w:t>
      </w:r>
      <w:r w:rsidR="00E32C2D">
        <w:rPr>
          <w:szCs w:val="24"/>
          <w:lang w:val="lt-LT"/>
        </w:rPr>
        <w:t xml:space="preserve"> nebūtų sugebėjusi įvykdyti savų</w:t>
      </w:r>
      <w:r w:rsidR="00BA7BF4" w:rsidRPr="00ED3D25">
        <w:rPr>
          <w:szCs w:val="24"/>
          <w:lang w:val="lt-LT"/>
        </w:rPr>
        <w:t xml:space="preserve"> </w:t>
      </w:r>
      <w:r w:rsidR="006808CD">
        <w:rPr>
          <w:szCs w:val="24"/>
          <w:lang w:val="lt-LT"/>
        </w:rPr>
        <w:t>įsipareigojimų</w:t>
      </w:r>
      <w:r w:rsidR="003376E4">
        <w:rPr>
          <w:szCs w:val="24"/>
          <w:lang w:val="lt-LT"/>
        </w:rPr>
        <w:t>, tačiau matoma tendencija, kad po ES finansinės paramos įsisavinimo</w:t>
      </w:r>
      <w:r w:rsidR="006808CD">
        <w:rPr>
          <w:szCs w:val="24"/>
          <w:lang w:val="lt-LT"/>
        </w:rPr>
        <w:t>,</w:t>
      </w:r>
      <w:r w:rsidR="00BA7BF4" w:rsidRPr="00ED3D25">
        <w:rPr>
          <w:szCs w:val="24"/>
          <w:lang w:val="lt-LT"/>
        </w:rPr>
        <w:t xml:space="preserve"> greitu laiku sulaukti daug geresnių rezultatų, nes</w:t>
      </w:r>
      <w:r w:rsidR="00C80E6C" w:rsidRPr="00ED3D25">
        <w:rPr>
          <w:szCs w:val="24"/>
          <w:lang w:val="lt-LT"/>
        </w:rPr>
        <w:t xml:space="preserve"> įmonė</w:t>
      </w:r>
      <w:r w:rsidR="00BA7BF4" w:rsidRPr="00ED3D25">
        <w:rPr>
          <w:szCs w:val="24"/>
          <w:lang w:val="lt-LT"/>
        </w:rPr>
        <w:t xml:space="preserve"> jau pradėta vykdyti pastovi</w:t>
      </w:r>
      <w:r w:rsidR="00C80E6C" w:rsidRPr="00ED3D25">
        <w:rPr>
          <w:szCs w:val="24"/>
          <w:lang w:val="lt-LT"/>
        </w:rPr>
        <w:t>ą gamybą</w:t>
      </w:r>
      <w:r w:rsidR="00BA7BF4" w:rsidRPr="00ED3D25">
        <w:rPr>
          <w:szCs w:val="24"/>
          <w:lang w:val="lt-LT"/>
        </w:rPr>
        <w:t>.</w:t>
      </w:r>
      <w:r w:rsidR="00A725C8" w:rsidRPr="00ED3D25">
        <w:rPr>
          <w:szCs w:val="24"/>
          <w:lang w:val="lt-LT"/>
        </w:rPr>
        <w:t xml:space="preserve"> </w:t>
      </w:r>
    </w:p>
    <w:p w:rsidR="00CD2674" w:rsidRPr="00ED3D25" w:rsidRDefault="00B93A7B" w:rsidP="000553C7">
      <w:pPr>
        <w:spacing w:after="0"/>
        <w:ind w:firstLine="851"/>
        <w:rPr>
          <w:szCs w:val="24"/>
          <w:lang w:val="lt-LT"/>
        </w:rPr>
      </w:pPr>
      <w:r w:rsidRPr="00ED3D25">
        <w:rPr>
          <w:szCs w:val="24"/>
          <w:lang w:val="lt-LT"/>
        </w:rPr>
        <w:t>Analizuojant finansinio sverto rodi</w:t>
      </w:r>
      <w:r w:rsidR="004A5728">
        <w:rPr>
          <w:szCs w:val="24"/>
          <w:lang w:val="lt-LT"/>
        </w:rPr>
        <w:t>klius (žr. 13</w:t>
      </w:r>
      <w:r w:rsidR="004C623F" w:rsidRPr="00ED3D25">
        <w:rPr>
          <w:szCs w:val="24"/>
          <w:lang w:val="lt-LT"/>
        </w:rPr>
        <w:t xml:space="preserve"> lentelę) matyti, kad</w:t>
      </w:r>
      <w:r w:rsidR="00B90F5E" w:rsidRPr="00ED3D25">
        <w:rPr>
          <w:szCs w:val="24"/>
          <w:lang w:val="lt-LT"/>
        </w:rPr>
        <w:t xml:space="preserve"> viso tirto laikotarpio</w:t>
      </w:r>
      <w:r w:rsidR="004C623F" w:rsidRPr="00ED3D25">
        <w:rPr>
          <w:szCs w:val="24"/>
          <w:lang w:val="lt-LT"/>
        </w:rPr>
        <w:t xml:space="preserve"> įsipareigojimo koeficientų reikšmės </w:t>
      </w:r>
      <w:r w:rsidR="00B90F5E" w:rsidRPr="00ED3D25">
        <w:rPr>
          <w:szCs w:val="24"/>
          <w:lang w:val="lt-LT"/>
        </w:rPr>
        <w:t>turėjo tendenciją didėti, t. y. 2011 m. įsiskolinimo koeficientas buvo mažiausiais ir siekė apie 0,3, o</w:t>
      </w:r>
      <w:r w:rsidR="000553C7">
        <w:rPr>
          <w:szCs w:val="24"/>
          <w:lang w:val="lt-LT"/>
        </w:rPr>
        <w:t xml:space="preserve"> po ES finansinės paramos panaudojimo, t. y.</w:t>
      </w:r>
      <w:r w:rsidR="00B90F5E" w:rsidRPr="00ED3D25">
        <w:rPr>
          <w:szCs w:val="24"/>
          <w:lang w:val="lt-LT"/>
        </w:rPr>
        <w:t xml:space="preserve"> 2013 m.</w:t>
      </w:r>
      <w:r w:rsidR="000553C7">
        <w:rPr>
          <w:szCs w:val="24"/>
          <w:lang w:val="lt-LT"/>
        </w:rPr>
        <w:t>,</w:t>
      </w:r>
      <w:r w:rsidR="00B90F5E" w:rsidRPr="00ED3D25">
        <w:rPr>
          <w:szCs w:val="24"/>
          <w:lang w:val="lt-LT"/>
        </w:rPr>
        <w:t xml:space="preserve"> rodiklis viršijo 1, taip atsitiko dėl to, kad tais metais </w:t>
      </w:r>
      <w:r w:rsidR="000553C7">
        <w:rPr>
          <w:szCs w:val="24"/>
          <w:lang w:val="lt-LT"/>
        </w:rPr>
        <w:t>turto vertė buvo mažesnė nei įsipareigojimų</w:t>
      </w:r>
      <w:r w:rsidR="00C80E6C" w:rsidRPr="00ED3D25">
        <w:rPr>
          <w:szCs w:val="24"/>
          <w:lang w:val="lt-LT"/>
        </w:rPr>
        <w:t xml:space="preserve">. </w:t>
      </w:r>
      <w:r w:rsidR="00E00C5E" w:rsidRPr="00ED3D25">
        <w:rPr>
          <w:szCs w:val="24"/>
          <w:lang w:val="lt-LT"/>
        </w:rPr>
        <w:t xml:space="preserve">Tuomet </w:t>
      </w:r>
      <w:r w:rsidR="00E00C5E" w:rsidRPr="00ED3D25">
        <w:rPr>
          <w:szCs w:val="24"/>
          <w:lang w:val="lt-LT"/>
        </w:rPr>
        <w:lastRenderedPageBreak/>
        <w:t xml:space="preserve">vertinamas įsipareigojimų ir NK turto santykis, </w:t>
      </w:r>
      <w:r w:rsidR="00F25488" w:rsidRPr="00ED3D25">
        <w:rPr>
          <w:szCs w:val="24"/>
          <w:lang w:val="lt-LT"/>
        </w:rPr>
        <w:t xml:space="preserve">kuris vienintelis tik pirmaisiais įmonės gyvavimo metais buvo </w:t>
      </w:r>
      <w:r w:rsidR="000553C7">
        <w:rPr>
          <w:szCs w:val="24"/>
          <w:lang w:val="lt-LT"/>
        </w:rPr>
        <w:t>patenkinamas</w:t>
      </w:r>
      <w:r w:rsidR="00F25488" w:rsidRPr="00ED3D25">
        <w:rPr>
          <w:szCs w:val="24"/>
          <w:lang w:val="lt-LT"/>
        </w:rPr>
        <w:t xml:space="preserve"> ir siekė 0,5. </w:t>
      </w:r>
      <w:r w:rsidR="00351086" w:rsidRPr="00ED3D25">
        <w:rPr>
          <w:szCs w:val="24"/>
          <w:lang w:val="lt-LT"/>
        </w:rPr>
        <w:t>Sekančiais</w:t>
      </w:r>
      <w:r w:rsidR="00F25488" w:rsidRPr="00ED3D25">
        <w:rPr>
          <w:szCs w:val="24"/>
          <w:lang w:val="lt-LT"/>
        </w:rPr>
        <w:t xml:space="preserve"> metais rodiklis vis augo, ne</w:t>
      </w:r>
      <w:r w:rsidR="00351086" w:rsidRPr="00ED3D25">
        <w:rPr>
          <w:szCs w:val="24"/>
          <w:lang w:val="lt-LT"/>
        </w:rPr>
        <w:t xml:space="preserve">s įsipareigojimai kasmet didėjo po 1188 proc., 131 proc. ir 76 proc. </w:t>
      </w:r>
      <w:r w:rsidR="006F6191" w:rsidRPr="00ED3D25">
        <w:rPr>
          <w:szCs w:val="24"/>
          <w:lang w:val="lt-LT"/>
        </w:rPr>
        <w:t>Paskutiniais metais rodiklis išliko labai aukštas, tad fiksuota didelė kreditavimo rizika. Analizuojant turto ir NK santykį matyti, kad tris metus iš keturių reikšmė buvo dide</w:t>
      </w:r>
      <w:r w:rsidR="000553C7">
        <w:rPr>
          <w:szCs w:val="24"/>
          <w:lang w:val="lt-LT"/>
        </w:rPr>
        <w:t>snė už vienetą ir reiškė</w:t>
      </w:r>
      <w:r w:rsidR="006F6191" w:rsidRPr="00ED3D25">
        <w:rPr>
          <w:szCs w:val="24"/>
          <w:lang w:val="lt-LT"/>
        </w:rPr>
        <w:t xml:space="preserve">, kad investuotas NK uždirba daugiau turto, tad reikšmės </w:t>
      </w:r>
      <w:r w:rsidR="000553C7">
        <w:rPr>
          <w:szCs w:val="24"/>
          <w:lang w:val="lt-LT"/>
        </w:rPr>
        <w:t xml:space="preserve">laikytos </w:t>
      </w:r>
      <w:r w:rsidR="006F6191" w:rsidRPr="00ED3D25">
        <w:rPr>
          <w:szCs w:val="24"/>
          <w:lang w:val="lt-LT"/>
        </w:rPr>
        <w:t>gero</w:t>
      </w:r>
      <w:r w:rsidR="000553C7">
        <w:rPr>
          <w:szCs w:val="24"/>
          <w:lang w:val="lt-LT"/>
        </w:rPr>
        <w:t>mi</w:t>
      </w:r>
      <w:r w:rsidR="006F6191" w:rsidRPr="00ED3D25">
        <w:rPr>
          <w:szCs w:val="24"/>
          <w:lang w:val="lt-LT"/>
        </w:rPr>
        <w:t>s.</w:t>
      </w:r>
      <w:r w:rsidR="000553C7">
        <w:rPr>
          <w:szCs w:val="24"/>
          <w:lang w:val="lt-LT"/>
        </w:rPr>
        <w:t xml:space="preserve"> Labiausiai išsiskiria 2013 m., nes dėl sukauptų didelių nuostolių </w:t>
      </w:r>
      <w:r w:rsidR="005764C8">
        <w:rPr>
          <w:szCs w:val="24"/>
          <w:lang w:val="lt-LT"/>
        </w:rPr>
        <w:t>verslo steigimo periodu stipriai sumažėjo nuosavo kapitalo vertė, o turtas augo, tad gaunamas labai aukštas rodiklis po ES struktūrinių fondų finansinės paramos panaudojimo</w:t>
      </w:r>
      <w:r w:rsidR="006F6191" w:rsidRPr="00ED3D25">
        <w:rPr>
          <w:szCs w:val="24"/>
          <w:lang w:val="lt-LT"/>
        </w:rPr>
        <w:t>.</w:t>
      </w:r>
      <w:r w:rsidR="005764C8">
        <w:rPr>
          <w:szCs w:val="24"/>
          <w:lang w:val="lt-LT"/>
        </w:rPr>
        <w:t xml:space="preserve"> 2014 m. fiksuojamas rodiklio sumažėjimas ir </w:t>
      </w:r>
      <w:r w:rsidR="006808CD">
        <w:rPr>
          <w:szCs w:val="24"/>
          <w:lang w:val="lt-LT"/>
        </w:rPr>
        <w:t>patenkinama</w:t>
      </w:r>
      <w:r w:rsidR="005764C8">
        <w:rPr>
          <w:szCs w:val="24"/>
          <w:lang w:val="lt-LT"/>
        </w:rPr>
        <w:t xml:space="preserve"> reikšmė.</w:t>
      </w:r>
    </w:p>
    <w:p w:rsidR="00BA7BF4" w:rsidRPr="00ED3D25" w:rsidRDefault="00E22853" w:rsidP="00F45AE3">
      <w:pPr>
        <w:spacing w:after="0"/>
        <w:jc w:val="right"/>
        <w:rPr>
          <w:b/>
          <w:bCs/>
          <w:szCs w:val="24"/>
          <w:lang w:val="lt-LT"/>
        </w:rPr>
      </w:pPr>
      <w:r w:rsidRPr="00ED3D25">
        <w:rPr>
          <w:b/>
          <w:bCs/>
          <w:szCs w:val="24"/>
          <w:lang w:val="lt-LT"/>
        </w:rPr>
        <w:t>14</w:t>
      </w:r>
      <w:r w:rsidR="006F6191" w:rsidRPr="00ED3D25">
        <w:rPr>
          <w:b/>
          <w:bCs/>
          <w:szCs w:val="24"/>
          <w:lang w:val="lt-LT"/>
        </w:rPr>
        <w:t xml:space="preserve"> lentelė</w:t>
      </w:r>
    </w:p>
    <w:p w:rsidR="006F6191" w:rsidRPr="00ED3D25" w:rsidRDefault="006F6191" w:rsidP="00F45AE3">
      <w:pPr>
        <w:spacing w:after="0" w:line="240" w:lineRule="auto"/>
        <w:jc w:val="center"/>
        <w:rPr>
          <w:b/>
          <w:bCs/>
          <w:sz w:val="22"/>
          <w:lang w:val="lt-LT"/>
        </w:rPr>
      </w:pPr>
      <w:r w:rsidRPr="00ED3D25">
        <w:rPr>
          <w:b/>
          <w:bCs/>
          <w:sz w:val="22"/>
          <w:lang w:val="lt-LT"/>
        </w:rPr>
        <w:t>Įmonės B pelningumo rodikliai</w:t>
      </w:r>
    </w:p>
    <w:p w:rsidR="006F6191" w:rsidRPr="00ED3D25" w:rsidRDefault="006F6191" w:rsidP="00F45AE3">
      <w:pPr>
        <w:spacing w:after="0" w:line="240" w:lineRule="auto"/>
        <w:rPr>
          <w:sz w:val="22"/>
          <w:lang w:val="lt-LT"/>
        </w:rPr>
      </w:pPr>
    </w:p>
    <w:tbl>
      <w:tblPr>
        <w:tblStyle w:val="TableGrid"/>
        <w:tblW w:w="5000" w:type="pct"/>
        <w:jc w:val="center"/>
        <w:tblLook w:val="04A0" w:firstRow="1" w:lastRow="0" w:firstColumn="1" w:lastColumn="0" w:noHBand="0" w:noVBand="1"/>
      </w:tblPr>
      <w:tblGrid>
        <w:gridCol w:w="1385"/>
        <w:gridCol w:w="2156"/>
        <w:gridCol w:w="1829"/>
        <w:gridCol w:w="1480"/>
        <w:gridCol w:w="1204"/>
        <w:gridCol w:w="1801"/>
      </w:tblGrid>
      <w:tr w:rsidR="00134896" w:rsidRPr="00ED3D25" w:rsidTr="00FE0D46">
        <w:trPr>
          <w:jc w:val="center"/>
        </w:trPr>
        <w:tc>
          <w:tcPr>
            <w:tcW w:w="702" w:type="pct"/>
            <w:tcBorders>
              <w:tl2br w:val="single" w:sz="4" w:space="0" w:color="auto"/>
            </w:tcBorders>
            <w:vAlign w:val="center"/>
          </w:tcPr>
          <w:p w:rsidR="00134896" w:rsidRDefault="00134896" w:rsidP="00EB7E62">
            <w:pPr>
              <w:spacing w:line="240" w:lineRule="auto"/>
              <w:jc w:val="right"/>
              <w:rPr>
                <w:b/>
                <w:bCs/>
                <w:lang w:val="lt-LT"/>
              </w:rPr>
            </w:pPr>
            <w:r w:rsidRPr="00ED3D25">
              <w:rPr>
                <w:b/>
                <w:bCs/>
                <w:lang w:val="lt-LT"/>
              </w:rPr>
              <w:t>Rodiklis</w:t>
            </w:r>
          </w:p>
          <w:p w:rsidR="00EB7E62" w:rsidRPr="00ED3D25" w:rsidRDefault="00EB7E62" w:rsidP="00EB7E62">
            <w:pPr>
              <w:spacing w:line="240" w:lineRule="auto"/>
              <w:rPr>
                <w:b/>
                <w:bCs/>
                <w:lang w:val="lt-LT"/>
              </w:rPr>
            </w:pPr>
            <w:r>
              <w:rPr>
                <w:b/>
                <w:bCs/>
                <w:lang w:val="lt-LT"/>
              </w:rPr>
              <w:t>Metai</w:t>
            </w:r>
          </w:p>
        </w:tc>
        <w:tc>
          <w:tcPr>
            <w:tcW w:w="1094" w:type="pct"/>
            <w:tcBorders>
              <w:bottom w:val="single" w:sz="4" w:space="0" w:color="auto"/>
            </w:tcBorders>
            <w:vAlign w:val="center"/>
          </w:tcPr>
          <w:p w:rsidR="00134896" w:rsidRPr="00ED3D25" w:rsidRDefault="00134896" w:rsidP="00F45AE3">
            <w:pPr>
              <w:spacing w:line="240" w:lineRule="auto"/>
              <w:jc w:val="center"/>
              <w:rPr>
                <w:b/>
                <w:bCs/>
                <w:lang w:val="lt-LT"/>
              </w:rPr>
            </w:pPr>
            <w:r w:rsidRPr="00ED3D25">
              <w:rPr>
                <w:rFonts w:asciiTheme="majorBidi" w:hAnsiTheme="majorBidi" w:cstheme="majorBidi"/>
                <w:b/>
                <w:bCs/>
                <w:lang w:val="lt-LT"/>
              </w:rPr>
              <w:t>Grynasis pelningumas</w:t>
            </w:r>
          </w:p>
        </w:tc>
        <w:tc>
          <w:tcPr>
            <w:tcW w:w="928" w:type="pct"/>
            <w:tcBorders>
              <w:bottom w:val="single" w:sz="4" w:space="0" w:color="auto"/>
            </w:tcBorders>
            <w:vAlign w:val="center"/>
          </w:tcPr>
          <w:p w:rsidR="00134896" w:rsidRPr="00ED3D25" w:rsidRDefault="00134896" w:rsidP="00F45AE3">
            <w:pPr>
              <w:spacing w:line="240" w:lineRule="auto"/>
              <w:jc w:val="center"/>
              <w:rPr>
                <w:rFonts w:asciiTheme="majorBidi" w:hAnsiTheme="majorBidi" w:cstheme="majorBidi"/>
                <w:b/>
                <w:bCs/>
                <w:lang w:val="lt-LT"/>
              </w:rPr>
            </w:pPr>
            <w:r w:rsidRPr="00ED3D25">
              <w:rPr>
                <w:rFonts w:asciiTheme="majorBidi" w:hAnsiTheme="majorBidi" w:cstheme="majorBidi"/>
                <w:b/>
                <w:bCs/>
                <w:lang w:val="lt-LT"/>
              </w:rPr>
              <w:t>Bendrasis pelningumas</w:t>
            </w:r>
          </w:p>
        </w:tc>
        <w:tc>
          <w:tcPr>
            <w:tcW w:w="751" w:type="pct"/>
            <w:tcBorders>
              <w:bottom w:val="single" w:sz="4" w:space="0" w:color="auto"/>
            </w:tcBorders>
            <w:vAlign w:val="center"/>
          </w:tcPr>
          <w:p w:rsidR="00134896" w:rsidRPr="00ED3D25" w:rsidRDefault="00134896" w:rsidP="00F45AE3">
            <w:pPr>
              <w:spacing w:line="240" w:lineRule="auto"/>
              <w:jc w:val="center"/>
              <w:rPr>
                <w:b/>
                <w:bCs/>
                <w:lang w:val="lt-LT"/>
              </w:rPr>
            </w:pPr>
            <w:r w:rsidRPr="00ED3D25">
              <w:rPr>
                <w:rFonts w:asciiTheme="majorBidi" w:hAnsiTheme="majorBidi" w:cstheme="majorBidi"/>
                <w:b/>
                <w:bCs/>
                <w:lang w:val="lt-LT"/>
              </w:rPr>
              <w:t>EBIT</w:t>
            </w:r>
          </w:p>
        </w:tc>
        <w:tc>
          <w:tcPr>
            <w:tcW w:w="611" w:type="pct"/>
            <w:tcBorders>
              <w:bottom w:val="single" w:sz="4" w:space="0" w:color="auto"/>
            </w:tcBorders>
            <w:vAlign w:val="center"/>
          </w:tcPr>
          <w:p w:rsidR="00134896" w:rsidRPr="00ED3D25" w:rsidRDefault="00134896" w:rsidP="00F45AE3">
            <w:pPr>
              <w:spacing w:line="240" w:lineRule="auto"/>
              <w:jc w:val="center"/>
              <w:rPr>
                <w:b/>
                <w:bCs/>
                <w:lang w:val="lt-LT"/>
              </w:rPr>
            </w:pPr>
            <w:r w:rsidRPr="00ED3D25">
              <w:rPr>
                <w:rFonts w:asciiTheme="majorBidi" w:hAnsiTheme="majorBidi" w:cstheme="majorBidi"/>
                <w:b/>
                <w:bCs/>
                <w:lang w:val="lt-LT"/>
              </w:rPr>
              <w:t>ROA</w:t>
            </w:r>
          </w:p>
        </w:tc>
        <w:tc>
          <w:tcPr>
            <w:tcW w:w="914" w:type="pct"/>
            <w:tcBorders>
              <w:bottom w:val="single" w:sz="4" w:space="0" w:color="auto"/>
            </w:tcBorders>
            <w:vAlign w:val="center"/>
          </w:tcPr>
          <w:p w:rsidR="00134896" w:rsidRPr="00ED3D25" w:rsidRDefault="00134896" w:rsidP="00F45AE3">
            <w:pPr>
              <w:spacing w:line="240" w:lineRule="auto"/>
              <w:jc w:val="center"/>
              <w:rPr>
                <w:rFonts w:asciiTheme="majorBidi" w:hAnsiTheme="majorBidi" w:cstheme="majorBidi"/>
                <w:b/>
                <w:bCs/>
                <w:lang w:val="lt-LT"/>
              </w:rPr>
            </w:pPr>
            <w:r w:rsidRPr="00ED3D25">
              <w:rPr>
                <w:rFonts w:asciiTheme="majorBidi" w:hAnsiTheme="majorBidi" w:cstheme="majorBidi"/>
                <w:b/>
                <w:bCs/>
                <w:lang w:val="lt-LT"/>
              </w:rPr>
              <w:t>ROE</w:t>
            </w:r>
          </w:p>
        </w:tc>
      </w:tr>
      <w:tr w:rsidR="00134896" w:rsidRPr="00ED3D25" w:rsidTr="00FE0D46">
        <w:trPr>
          <w:jc w:val="center"/>
        </w:trPr>
        <w:tc>
          <w:tcPr>
            <w:tcW w:w="702" w:type="pct"/>
            <w:vAlign w:val="center"/>
          </w:tcPr>
          <w:p w:rsidR="00134896" w:rsidRPr="00ED3D25" w:rsidRDefault="00134896" w:rsidP="00EB7E62">
            <w:pPr>
              <w:spacing w:line="240" w:lineRule="auto"/>
              <w:jc w:val="left"/>
              <w:rPr>
                <w:b/>
                <w:bCs/>
                <w:lang w:val="lt-LT"/>
              </w:rPr>
            </w:pPr>
            <w:r w:rsidRPr="00ED3D25">
              <w:rPr>
                <w:b/>
                <w:bCs/>
                <w:lang w:val="lt-LT"/>
              </w:rPr>
              <w:t>2011 m.</w:t>
            </w:r>
          </w:p>
        </w:tc>
        <w:tc>
          <w:tcPr>
            <w:tcW w:w="1094" w:type="pct"/>
            <w:tcBorders>
              <w:top w:val="single" w:sz="4" w:space="0" w:color="auto"/>
            </w:tcBorders>
            <w:shd w:val="clear" w:color="auto" w:fill="BFBFBF" w:themeFill="background1" w:themeFillShade="BF"/>
            <w:vAlign w:val="center"/>
          </w:tcPr>
          <w:p w:rsidR="00134896" w:rsidRPr="00ED3D25" w:rsidRDefault="00134896" w:rsidP="00F45AE3">
            <w:pPr>
              <w:spacing w:line="240" w:lineRule="auto"/>
              <w:jc w:val="center"/>
              <w:rPr>
                <w:lang w:val="lt-LT"/>
              </w:rPr>
            </w:pPr>
            <w:r w:rsidRPr="00ED3D25">
              <w:rPr>
                <w:lang w:val="lt-LT"/>
              </w:rPr>
              <w:t>-</w:t>
            </w:r>
          </w:p>
        </w:tc>
        <w:tc>
          <w:tcPr>
            <w:tcW w:w="928" w:type="pct"/>
            <w:tcBorders>
              <w:top w:val="single" w:sz="4" w:space="0" w:color="auto"/>
            </w:tcBorders>
            <w:shd w:val="clear" w:color="auto" w:fill="BFBFBF" w:themeFill="background1" w:themeFillShade="BF"/>
            <w:vAlign w:val="center"/>
          </w:tcPr>
          <w:p w:rsidR="00134896" w:rsidRPr="00ED3D25" w:rsidRDefault="00134896" w:rsidP="00F45AE3">
            <w:pPr>
              <w:spacing w:line="240" w:lineRule="auto"/>
              <w:jc w:val="center"/>
              <w:rPr>
                <w:lang w:val="lt-LT"/>
              </w:rPr>
            </w:pPr>
            <w:r w:rsidRPr="00ED3D25">
              <w:rPr>
                <w:lang w:val="lt-LT"/>
              </w:rPr>
              <w:t>-</w:t>
            </w:r>
          </w:p>
        </w:tc>
        <w:tc>
          <w:tcPr>
            <w:tcW w:w="751" w:type="pct"/>
            <w:tcBorders>
              <w:top w:val="single" w:sz="4" w:space="0" w:color="auto"/>
            </w:tcBorders>
            <w:shd w:val="clear" w:color="auto" w:fill="BFBFBF" w:themeFill="background1" w:themeFillShade="BF"/>
            <w:vAlign w:val="center"/>
          </w:tcPr>
          <w:p w:rsidR="00134896" w:rsidRPr="00ED3D25" w:rsidRDefault="00134896" w:rsidP="00F45AE3">
            <w:pPr>
              <w:spacing w:line="240" w:lineRule="auto"/>
              <w:jc w:val="center"/>
              <w:rPr>
                <w:lang w:val="lt-LT"/>
              </w:rPr>
            </w:pPr>
            <w:r w:rsidRPr="00ED3D25">
              <w:rPr>
                <w:lang w:val="lt-LT"/>
              </w:rPr>
              <w:t>-</w:t>
            </w:r>
          </w:p>
        </w:tc>
        <w:tc>
          <w:tcPr>
            <w:tcW w:w="611" w:type="pct"/>
            <w:tcBorders>
              <w:top w:val="single" w:sz="4" w:space="0" w:color="auto"/>
            </w:tcBorders>
            <w:shd w:val="clear" w:color="auto" w:fill="BFBFBF" w:themeFill="background1" w:themeFillShade="BF"/>
            <w:vAlign w:val="center"/>
          </w:tcPr>
          <w:p w:rsidR="00134896" w:rsidRPr="00ED3D25" w:rsidRDefault="00134896" w:rsidP="00F45AE3">
            <w:pPr>
              <w:spacing w:line="240" w:lineRule="auto"/>
              <w:jc w:val="center"/>
              <w:rPr>
                <w:lang w:val="lt-LT"/>
              </w:rPr>
            </w:pPr>
            <w:r w:rsidRPr="00ED3D25">
              <w:rPr>
                <w:lang w:val="lt-LT"/>
              </w:rPr>
              <w:t>-</w:t>
            </w:r>
          </w:p>
        </w:tc>
        <w:tc>
          <w:tcPr>
            <w:tcW w:w="914" w:type="pct"/>
            <w:tcBorders>
              <w:top w:val="single" w:sz="4" w:space="0" w:color="auto"/>
            </w:tcBorders>
            <w:shd w:val="clear" w:color="auto" w:fill="BFBFBF" w:themeFill="background1" w:themeFillShade="BF"/>
            <w:vAlign w:val="center"/>
          </w:tcPr>
          <w:p w:rsidR="00134896" w:rsidRPr="00ED3D25" w:rsidRDefault="00134896" w:rsidP="00F45AE3">
            <w:pPr>
              <w:spacing w:line="240" w:lineRule="auto"/>
              <w:jc w:val="center"/>
              <w:rPr>
                <w:lang w:val="lt-LT"/>
              </w:rPr>
            </w:pPr>
            <w:r w:rsidRPr="00ED3D25">
              <w:rPr>
                <w:lang w:val="lt-LT"/>
              </w:rPr>
              <w:t>-</w:t>
            </w:r>
          </w:p>
        </w:tc>
      </w:tr>
      <w:tr w:rsidR="00134896" w:rsidRPr="00ED3D25" w:rsidTr="00FE0D46">
        <w:trPr>
          <w:jc w:val="center"/>
        </w:trPr>
        <w:tc>
          <w:tcPr>
            <w:tcW w:w="702" w:type="pct"/>
            <w:vAlign w:val="center"/>
          </w:tcPr>
          <w:p w:rsidR="00134896" w:rsidRPr="00ED3D25" w:rsidRDefault="00134896" w:rsidP="00EB7E62">
            <w:pPr>
              <w:spacing w:line="240" w:lineRule="auto"/>
              <w:jc w:val="left"/>
              <w:rPr>
                <w:b/>
                <w:bCs/>
                <w:lang w:val="lt-LT"/>
              </w:rPr>
            </w:pPr>
            <w:r w:rsidRPr="00ED3D25">
              <w:rPr>
                <w:b/>
                <w:bCs/>
                <w:lang w:val="lt-LT"/>
              </w:rPr>
              <w:t>2012 m.</w:t>
            </w:r>
          </w:p>
        </w:tc>
        <w:tc>
          <w:tcPr>
            <w:tcW w:w="1094" w:type="pct"/>
            <w:tcBorders>
              <w:bottom w:val="single" w:sz="4" w:space="0" w:color="auto"/>
            </w:tcBorders>
            <w:shd w:val="clear" w:color="auto" w:fill="BFBFBF" w:themeFill="background1" w:themeFillShade="BF"/>
            <w:vAlign w:val="center"/>
          </w:tcPr>
          <w:p w:rsidR="00134896" w:rsidRPr="00ED3D25" w:rsidRDefault="00134896" w:rsidP="00F45AE3">
            <w:pPr>
              <w:spacing w:line="240" w:lineRule="auto"/>
              <w:jc w:val="center"/>
              <w:rPr>
                <w:lang w:val="lt-LT"/>
              </w:rPr>
            </w:pPr>
            <w:r w:rsidRPr="00ED3D25">
              <w:rPr>
                <w:lang w:val="lt-LT"/>
              </w:rPr>
              <w:t>-</w:t>
            </w:r>
          </w:p>
        </w:tc>
        <w:tc>
          <w:tcPr>
            <w:tcW w:w="928" w:type="pct"/>
            <w:tcBorders>
              <w:bottom w:val="single" w:sz="4" w:space="0" w:color="auto"/>
            </w:tcBorders>
            <w:shd w:val="clear" w:color="auto" w:fill="BFBFBF" w:themeFill="background1" w:themeFillShade="BF"/>
            <w:vAlign w:val="center"/>
          </w:tcPr>
          <w:p w:rsidR="00134896" w:rsidRPr="00ED3D25" w:rsidRDefault="00134896" w:rsidP="00F45AE3">
            <w:pPr>
              <w:spacing w:line="240" w:lineRule="auto"/>
              <w:jc w:val="center"/>
              <w:rPr>
                <w:lang w:val="lt-LT"/>
              </w:rPr>
            </w:pPr>
            <w:r w:rsidRPr="00ED3D25">
              <w:rPr>
                <w:lang w:val="lt-LT"/>
              </w:rPr>
              <w:t>-</w:t>
            </w:r>
          </w:p>
        </w:tc>
        <w:tc>
          <w:tcPr>
            <w:tcW w:w="751" w:type="pct"/>
            <w:tcBorders>
              <w:bottom w:val="single" w:sz="4" w:space="0" w:color="auto"/>
            </w:tcBorders>
            <w:shd w:val="clear" w:color="auto" w:fill="BFBFBF" w:themeFill="background1" w:themeFillShade="BF"/>
            <w:vAlign w:val="center"/>
          </w:tcPr>
          <w:p w:rsidR="00134896" w:rsidRPr="00ED3D25" w:rsidRDefault="00134896" w:rsidP="00F45AE3">
            <w:pPr>
              <w:spacing w:line="240" w:lineRule="auto"/>
              <w:jc w:val="center"/>
              <w:rPr>
                <w:lang w:val="lt-LT"/>
              </w:rPr>
            </w:pPr>
            <w:r w:rsidRPr="00ED3D25">
              <w:rPr>
                <w:lang w:val="lt-LT"/>
              </w:rPr>
              <w:t>-</w:t>
            </w:r>
          </w:p>
        </w:tc>
        <w:tc>
          <w:tcPr>
            <w:tcW w:w="611" w:type="pct"/>
            <w:tcBorders>
              <w:bottom w:val="single" w:sz="4" w:space="0" w:color="auto"/>
            </w:tcBorders>
            <w:shd w:val="clear" w:color="auto" w:fill="BFBFBF" w:themeFill="background1" w:themeFillShade="BF"/>
            <w:vAlign w:val="center"/>
          </w:tcPr>
          <w:p w:rsidR="00134896" w:rsidRPr="00ED3D25" w:rsidRDefault="00DA7BC6" w:rsidP="00F45AE3">
            <w:pPr>
              <w:spacing w:line="240" w:lineRule="auto"/>
              <w:jc w:val="center"/>
              <w:rPr>
                <w:lang w:val="lt-LT"/>
              </w:rPr>
            </w:pPr>
            <w:r>
              <w:rPr>
                <w:lang w:val="lt-LT"/>
              </w:rPr>
              <w:t>0,00</w:t>
            </w:r>
            <w:r w:rsidR="00134896" w:rsidRPr="00ED3D25">
              <w:rPr>
                <w:lang w:val="lt-LT"/>
              </w:rPr>
              <w:t>21</w:t>
            </w:r>
          </w:p>
        </w:tc>
        <w:tc>
          <w:tcPr>
            <w:tcW w:w="914" w:type="pct"/>
            <w:tcBorders>
              <w:bottom w:val="single" w:sz="4" w:space="0" w:color="auto"/>
            </w:tcBorders>
            <w:shd w:val="clear" w:color="auto" w:fill="BFBFBF" w:themeFill="background1" w:themeFillShade="BF"/>
            <w:vAlign w:val="center"/>
          </w:tcPr>
          <w:p w:rsidR="00134896" w:rsidRPr="00ED3D25" w:rsidRDefault="00DA7BC6" w:rsidP="00F45AE3">
            <w:pPr>
              <w:spacing w:line="240" w:lineRule="auto"/>
              <w:jc w:val="center"/>
              <w:rPr>
                <w:lang w:val="lt-LT"/>
              </w:rPr>
            </w:pPr>
            <w:r>
              <w:rPr>
                <w:lang w:val="lt-LT"/>
              </w:rPr>
              <w:t>0,00</w:t>
            </w:r>
            <w:r w:rsidR="00134896" w:rsidRPr="00ED3D25">
              <w:rPr>
                <w:lang w:val="lt-LT"/>
              </w:rPr>
              <w:t>45</w:t>
            </w:r>
          </w:p>
        </w:tc>
      </w:tr>
      <w:tr w:rsidR="00134896" w:rsidRPr="00ED3D25" w:rsidTr="00FE0D46">
        <w:trPr>
          <w:jc w:val="center"/>
        </w:trPr>
        <w:tc>
          <w:tcPr>
            <w:tcW w:w="702" w:type="pct"/>
            <w:vAlign w:val="center"/>
          </w:tcPr>
          <w:p w:rsidR="00134896" w:rsidRPr="00ED3D25" w:rsidRDefault="00134896" w:rsidP="00EB7E62">
            <w:pPr>
              <w:spacing w:line="240" w:lineRule="auto"/>
              <w:jc w:val="left"/>
              <w:rPr>
                <w:b/>
                <w:bCs/>
                <w:lang w:val="lt-LT"/>
              </w:rPr>
            </w:pPr>
            <w:r w:rsidRPr="00ED3D25">
              <w:rPr>
                <w:b/>
                <w:bCs/>
                <w:lang w:val="lt-LT"/>
              </w:rPr>
              <w:t>2013 m.</w:t>
            </w:r>
          </w:p>
        </w:tc>
        <w:tc>
          <w:tcPr>
            <w:tcW w:w="1094" w:type="pct"/>
            <w:tcBorders>
              <w:top w:val="single" w:sz="4" w:space="0" w:color="auto"/>
            </w:tcBorders>
            <w:vAlign w:val="center"/>
          </w:tcPr>
          <w:p w:rsidR="00134896" w:rsidRPr="00ED3D25" w:rsidRDefault="00DA7BC6" w:rsidP="00F45AE3">
            <w:pPr>
              <w:spacing w:line="240" w:lineRule="auto"/>
              <w:jc w:val="center"/>
              <w:rPr>
                <w:lang w:val="lt-LT"/>
              </w:rPr>
            </w:pPr>
            <w:r>
              <w:rPr>
                <w:lang w:val="lt-LT"/>
              </w:rPr>
              <w:t>0,000</w:t>
            </w:r>
            <w:r w:rsidR="00134896" w:rsidRPr="00ED3D25">
              <w:rPr>
                <w:lang w:val="lt-LT"/>
              </w:rPr>
              <w:t>3</w:t>
            </w:r>
          </w:p>
        </w:tc>
        <w:tc>
          <w:tcPr>
            <w:tcW w:w="928" w:type="pct"/>
            <w:tcBorders>
              <w:top w:val="single" w:sz="4" w:space="0" w:color="auto"/>
            </w:tcBorders>
            <w:vAlign w:val="center"/>
          </w:tcPr>
          <w:p w:rsidR="00134896" w:rsidRPr="00ED3D25" w:rsidRDefault="00134896" w:rsidP="00F45AE3">
            <w:pPr>
              <w:spacing w:line="240" w:lineRule="auto"/>
              <w:jc w:val="center"/>
              <w:rPr>
                <w:lang w:val="lt-LT"/>
              </w:rPr>
            </w:pPr>
            <w:r w:rsidRPr="00ED3D25">
              <w:rPr>
                <w:lang w:val="lt-LT"/>
              </w:rPr>
              <w:t>0,3655</w:t>
            </w:r>
          </w:p>
        </w:tc>
        <w:tc>
          <w:tcPr>
            <w:tcW w:w="751" w:type="pct"/>
            <w:tcBorders>
              <w:top w:val="single" w:sz="4" w:space="0" w:color="auto"/>
            </w:tcBorders>
            <w:vAlign w:val="center"/>
          </w:tcPr>
          <w:p w:rsidR="00134896" w:rsidRPr="00ED3D25" w:rsidRDefault="00DA7BC6" w:rsidP="00F45AE3">
            <w:pPr>
              <w:spacing w:line="240" w:lineRule="auto"/>
              <w:jc w:val="center"/>
              <w:rPr>
                <w:lang w:val="lt-LT"/>
              </w:rPr>
            </w:pPr>
            <w:r>
              <w:rPr>
                <w:lang w:val="lt-LT"/>
              </w:rPr>
              <w:t>0,0006</w:t>
            </w:r>
          </w:p>
        </w:tc>
        <w:tc>
          <w:tcPr>
            <w:tcW w:w="611" w:type="pct"/>
            <w:tcBorders>
              <w:top w:val="single" w:sz="4" w:space="0" w:color="auto"/>
            </w:tcBorders>
            <w:vAlign w:val="center"/>
          </w:tcPr>
          <w:p w:rsidR="00134896" w:rsidRPr="00ED3D25" w:rsidRDefault="00DA7BC6" w:rsidP="00F45AE3">
            <w:pPr>
              <w:spacing w:line="240" w:lineRule="auto"/>
              <w:jc w:val="center"/>
              <w:rPr>
                <w:lang w:val="lt-LT"/>
              </w:rPr>
            </w:pPr>
            <w:r>
              <w:rPr>
                <w:lang w:val="lt-LT"/>
              </w:rPr>
              <w:t>0,00</w:t>
            </w:r>
            <w:r w:rsidR="00134896" w:rsidRPr="00ED3D25">
              <w:rPr>
                <w:lang w:val="lt-LT"/>
              </w:rPr>
              <w:t>61</w:t>
            </w:r>
          </w:p>
        </w:tc>
        <w:tc>
          <w:tcPr>
            <w:tcW w:w="914" w:type="pct"/>
            <w:tcBorders>
              <w:top w:val="single" w:sz="4" w:space="0" w:color="auto"/>
            </w:tcBorders>
            <w:vAlign w:val="center"/>
          </w:tcPr>
          <w:p w:rsidR="00134896" w:rsidRPr="00ED3D25" w:rsidRDefault="00DA7BC6" w:rsidP="00F45AE3">
            <w:pPr>
              <w:spacing w:line="240" w:lineRule="auto"/>
              <w:jc w:val="center"/>
              <w:rPr>
                <w:lang w:val="lt-LT"/>
              </w:rPr>
            </w:pPr>
            <w:r>
              <w:rPr>
                <w:lang w:val="lt-LT"/>
              </w:rPr>
              <w:t>0,02</w:t>
            </w:r>
            <w:r w:rsidR="00134896" w:rsidRPr="00ED3D25">
              <w:rPr>
                <w:lang w:val="lt-LT"/>
              </w:rPr>
              <w:t>47</w:t>
            </w:r>
          </w:p>
        </w:tc>
      </w:tr>
      <w:tr w:rsidR="00134896" w:rsidRPr="00ED3D25" w:rsidTr="00EB7E62">
        <w:trPr>
          <w:jc w:val="center"/>
        </w:trPr>
        <w:tc>
          <w:tcPr>
            <w:tcW w:w="702" w:type="pct"/>
            <w:vAlign w:val="center"/>
          </w:tcPr>
          <w:p w:rsidR="00134896" w:rsidRPr="00ED3D25" w:rsidRDefault="00134896" w:rsidP="00EB7E62">
            <w:pPr>
              <w:spacing w:line="240" w:lineRule="auto"/>
              <w:jc w:val="left"/>
              <w:rPr>
                <w:b/>
                <w:bCs/>
                <w:lang w:val="lt-LT"/>
              </w:rPr>
            </w:pPr>
            <w:r w:rsidRPr="00ED3D25">
              <w:rPr>
                <w:b/>
                <w:bCs/>
                <w:lang w:val="lt-LT"/>
              </w:rPr>
              <w:t>2014 m.</w:t>
            </w:r>
          </w:p>
        </w:tc>
        <w:tc>
          <w:tcPr>
            <w:tcW w:w="1094" w:type="pct"/>
            <w:vAlign w:val="center"/>
          </w:tcPr>
          <w:p w:rsidR="00134896" w:rsidRPr="00ED3D25" w:rsidRDefault="00134896" w:rsidP="00F45AE3">
            <w:pPr>
              <w:spacing w:line="240" w:lineRule="auto"/>
              <w:jc w:val="center"/>
              <w:rPr>
                <w:lang w:val="lt-LT"/>
              </w:rPr>
            </w:pPr>
            <w:r w:rsidRPr="00ED3D25">
              <w:rPr>
                <w:lang w:val="lt-LT"/>
              </w:rPr>
              <w:t>0,1406</w:t>
            </w:r>
          </w:p>
        </w:tc>
        <w:tc>
          <w:tcPr>
            <w:tcW w:w="928" w:type="pct"/>
            <w:vAlign w:val="center"/>
          </w:tcPr>
          <w:p w:rsidR="00134896" w:rsidRPr="00ED3D25" w:rsidRDefault="00134896" w:rsidP="00F45AE3">
            <w:pPr>
              <w:spacing w:line="240" w:lineRule="auto"/>
              <w:jc w:val="center"/>
              <w:rPr>
                <w:lang w:val="lt-LT"/>
              </w:rPr>
            </w:pPr>
            <w:r w:rsidRPr="00ED3D25">
              <w:rPr>
                <w:lang w:val="lt-LT"/>
              </w:rPr>
              <w:t>0,3929</w:t>
            </w:r>
          </w:p>
        </w:tc>
        <w:tc>
          <w:tcPr>
            <w:tcW w:w="751" w:type="pct"/>
            <w:vAlign w:val="center"/>
          </w:tcPr>
          <w:p w:rsidR="00134896" w:rsidRPr="00ED3D25" w:rsidRDefault="00DA7BC6" w:rsidP="00F45AE3">
            <w:pPr>
              <w:spacing w:line="240" w:lineRule="auto"/>
              <w:jc w:val="center"/>
              <w:rPr>
                <w:lang w:val="lt-LT"/>
              </w:rPr>
            </w:pPr>
            <w:r>
              <w:rPr>
                <w:lang w:val="lt-LT"/>
              </w:rPr>
              <w:t>0,1688</w:t>
            </w:r>
          </w:p>
        </w:tc>
        <w:tc>
          <w:tcPr>
            <w:tcW w:w="611" w:type="pct"/>
            <w:vAlign w:val="center"/>
          </w:tcPr>
          <w:p w:rsidR="00134896" w:rsidRPr="00ED3D25" w:rsidRDefault="00134896" w:rsidP="00F45AE3">
            <w:pPr>
              <w:spacing w:line="240" w:lineRule="auto"/>
              <w:jc w:val="center"/>
              <w:rPr>
                <w:lang w:val="lt-LT"/>
              </w:rPr>
            </w:pPr>
            <w:r w:rsidRPr="00ED3D25">
              <w:rPr>
                <w:lang w:val="lt-LT"/>
              </w:rPr>
              <w:t>0,0679</w:t>
            </w:r>
          </w:p>
        </w:tc>
        <w:tc>
          <w:tcPr>
            <w:tcW w:w="914" w:type="pct"/>
            <w:vAlign w:val="center"/>
          </w:tcPr>
          <w:p w:rsidR="00134896" w:rsidRPr="00ED3D25" w:rsidRDefault="009A6BBF" w:rsidP="00F45AE3">
            <w:pPr>
              <w:spacing w:line="240" w:lineRule="auto"/>
              <w:jc w:val="center"/>
              <w:rPr>
                <w:lang w:val="lt-LT"/>
              </w:rPr>
            </w:pPr>
            <w:r w:rsidRPr="00ED3D25">
              <w:rPr>
                <w:lang w:val="lt-LT"/>
              </w:rPr>
              <w:t>1,6981</w:t>
            </w:r>
          </w:p>
        </w:tc>
      </w:tr>
    </w:tbl>
    <w:p w:rsidR="006F6191" w:rsidRPr="00ED3D25" w:rsidRDefault="006F6191" w:rsidP="00FE0D46">
      <w:pPr>
        <w:tabs>
          <w:tab w:val="left" w:pos="8456"/>
        </w:tabs>
        <w:spacing w:after="0" w:line="240" w:lineRule="auto"/>
        <w:rPr>
          <w:sz w:val="20"/>
          <w:szCs w:val="20"/>
          <w:lang w:val="lt-LT"/>
        </w:rPr>
      </w:pPr>
      <w:r w:rsidRPr="00ED3D25">
        <w:rPr>
          <w:sz w:val="20"/>
          <w:szCs w:val="20"/>
          <w:lang w:val="lt-LT"/>
        </w:rPr>
        <w:t>Pastaba: lentelė sudaryta autorės</w:t>
      </w:r>
      <w:r w:rsidR="00E23683" w:rsidRPr="00ED3D25">
        <w:rPr>
          <w:sz w:val="20"/>
          <w:szCs w:val="20"/>
          <w:lang w:val="lt-LT"/>
        </w:rPr>
        <w:t>, remiantis įmonės B 2011-2014</w:t>
      </w:r>
      <w:r w:rsidRPr="00ED3D25">
        <w:rPr>
          <w:sz w:val="20"/>
          <w:szCs w:val="20"/>
          <w:lang w:val="lt-LT"/>
        </w:rPr>
        <w:t xml:space="preserve"> m. pelno (nuostolio) ata</w:t>
      </w:r>
      <w:r w:rsidR="00FE0D46">
        <w:rPr>
          <w:sz w:val="20"/>
          <w:szCs w:val="20"/>
          <w:lang w:val="lt-LT"/>
        </w:rPr>
        <w:t xml:space="preserve">skaitos finansiniais duomenimis, taip pat </w:t>
      </w:r>
      <w:r w:rsidR="00FE0D46" w:rsidRPr="00B36302">
        <w:rPr>
          <w:sz w:val="20"/>
          <w:szCs w:val="20"/>
          <w:lang w:val="lt-LT"/>
        </w:rPr>
        <w:t xml:space="preserve"> </w:t>
      </w:r>
      <w:r w:rsidR="00FE0D46">
        <w:rPr>
          <w:sz w:val="20"/>
          <w:szCs w:val="20"/>
          <w:lang w:val="lt-LT"/>
        </w:rPr>
        <w:t>paryškintas laikotarpis, kada įmonė gavo paramą.</w:t>
      </w:r>
    </w:p>
    <w:p w:rsidR="00FF6FC9" w:rsidRPr="00FE0D46" w:rsidRDefault="00FF6FC9" w:rsidP="00F45AE3">
      <w:pPr>
        <w:spacing w:after="0" w:line="240" w:lineRule="auto"/>
        <w:rPr>
          <w:b/>
          <w:bCs/>
          <w:sz w:val="14"/>
          <w:szCs w:val="14"/>
          <w:lang w:val="lt-LT"/>
        </w:rPr>
      </w:pPr>
    </w:p>
    <w:p w:rsidR="0018575A" w:rsidRPr="00417AFE" w:rsidRDefault="00FF6FC9" w:rsidP="00417AFE">
      <w:pPr>
        <w:spacing w:after="0"/>
        <w:ind w:firstLine="851"/>
        <w:rPr>
          <w:szCs w:val="24"/>
          <w:lang w:val="lt-LT"/>
        </w:rPr>
      </w:pPr>
      <w:r w:rsidRPr="00ED3D25">
        <w:rPr>
          <w:szCs w:val="24"/>
          <w:lang w:val="lt-LT"/>
        </w:rPr>
        <w:t xml:space="preserve">Analizuojant įmonės B pelningumo </w:t>
      </w:r>
      <w:r w:rsidR="004A5728">
        <w:rPr>
          <w:szCs w:val="24"/>
          <w:lang w:val="lt-LT"/>
        </w:rPr>
        <w:t>rodiklius (žr. 14 lentelę)</w:t>
      </w:r>
      <w:r w:rsidRPr="00ED3D25">
        <w:rPr>
          <w:szCs w:val="24"/>
          <w:lang w:val="lt-LT"/>
        </w:rPr>
        <w:t xml:space="preserve"> matyti, kad daugumos 2011-2012 m. rodiklių neįmanoma apskaičiuoti dėl nevykdomos veiklos, t. y. nebuvo parduodami gaminiai. Tad vertinant grynąjį pelningumą 2013 m. fiksuotas </w:t>
      </w:r>
      <w:r w:rsidR="00DA7BC6">
        <w:rPr>
          <w:szCs w:val="24"/>
          <w:lang w:val="lt-LT"/>
        </w:rPr>
        <w:t>beveik nulinis rodiklis, nes grynojo pelno</w:t>
      </w:r>
      <w:r w:rsidRPr="00ED3D25">
        <w:rPr>
          <w:szCs w:val="24"/>
          <w:lang w:val="lt-LT"/>
        </w:rPr>
        <w:t xml:space="preserve"> </w:t>
      </w:r>
      <w:r w:rsidR="00DA7BC6">
        <w:rPr>
          <w:szCs w:val="24"/>
          <w:lang w:val="lt-LT"/>
        </w:rPr>
        <w:t>ne</w:t>
      </w:r>
      <w:r w:rsidRPr="00ED3D25">
        <w:rPr>
          <w:szCs w:val="24"/>
          <w:lang w:val="lt-LT"/>
        </w:rPr>
        <w:t xml:space="preserve">buvo </w:t>
      </w:r>
      <w:r w:rsidR="00DA7BC6">
        <w:rPr>
          <w:szCs w:val="24"/>
          <w:lang w:val="lt-LT"/>
        </w:rPr>
        <w:t>uždirbta.</w:t>
      </w:r>
      <w:r w:rsidRPr="00ED3D25">
        <w:rPr>
          <w:szCs w:val="24"/>
          <w:lang w:val="lt-LT"/>
        </w:rPr>
        <w:t xml:space="preserve"> Tačiau jau 2014 m. gautas teigiamas </w:t>
      </w:r>
      <w:r w:rsidR="001F7E95" w:rsidRPr="00ED3D25">
        <w:rPr>
          <w:szCs w:val="24"/>
          <w:lang w:val="lt-LT"/>
        </w:rPr>
        <w:t>pokytis ir rodiklio reikšmė</w:t>
      </w:r>
      <w:r w:rsidR="00DA7BC6">
        <w:rPr>
          <w:szCs w:val="24"/>
          <w:lang w:val="lt-LT"/>
        </w:rPr>
        <w:t xml:space="preserve"> pasiekė</w:t>
      </w:r>
      <w:r w:rsidR="001F7E95" w:rsidRPr="00ED3D25">
        <w:rPr>
          <w:szCs w:val="24"/>
          <w:lang w:val="lt-LT"/>
        </w:rPr>
        <w:t xml:space="preserve"> 0,14. Tai reiškia, kad vienas pa</w:t>
      </w:r>
      <w:r w:rsidR="00DA7BC6">
        <w:rPr>
          <w:szCs w:val="24"/>
          <w:lang w:val="lt-LT"/>
        </w:rPr>
        <w:t>rdavimų litas uždirbo 0,14 lito, tad po ES finansinės paramos įsisavinimo matomas teigiamas poveikis.</w:t>
      </w:r>
      <w:r w:rsidR="001F7E95" w:rsidRPr="00ED3D25">
        <w:rPr>
          <w:szCs w:val="24"/>
          <w:lang w:val="lt-LT"/>
        </w:rPr>
        <w:t xml:space="preserve"> Analizuojant bendrajį pelningumą matyti, kad 2013-2014 m. uždirbtas</w:t>
      </w:r>
      <w:r w:rsidR="00DA7BC6">
        <w:rPr>
          <w:szCs w:val="24"/>
          <w:lang w:val="lt-LT"/>
        </w:rPr>
        <w:t xml:space="preserve"> pelnas iš pagrindinės veiklos siekė 0,37-0,39 Lt už 1 pardavimo litą</w:t>
      </w:r>
      <w:r w:rsidR="001F7E95" w:rsidRPr="00ED3D25">
        <w:rPr>
          <w:szCs w:val="24"/>
          <w:lang w:val="lt-LT"/>
        </w:rPr>
        <w:t>.  Kitokia situacija atsiskleidžia vertinant EBIT rodi</w:t>
      </w:r>
      <w:r w:rsidR="005E4A50" w:rsidRPr="00ED3D25">
        <w:rPr>
          <w:szCs w:val="24"/>
          <w:lang w:val="lt-LT"/>
        </w:rPr>
        <w:t xml:space="preserve">klį, šiuo atveju 2013-2014 m. </w:t>
      </w:r>
      <w:r w:rsidR="001823D4">
        <w:rPr>
          <w:szCs w:val="24"/>
          <w:lang w:val="lt-LT"/>
        </w:rPr>
        <w:t xml:space="preserve">matomas pokytis per kelis įmonės veiklos metus, </w:t>
      </w:r>
      <w:r w:rsidR="005E4A50" w:rsidRPr="00ED3D25">
        <w:rPr>
          <w:szCs w:val="24"/>
          <w:lang w:val="lt-LT"/>
        </w:rPr>
        <w:t>nes įprastinės veiklos pelno pirmaisiais gam</w:t>
      </w:r>
      <w:r w:rsidR="006808CD">
        <w:rPr>
          <w:szCs w:val="24"/>
          <w:lang w:val="lt-LT"/>
        </w:rPr>
        <w:t>ybos metais neuždirbta</w:t>
      </w:r>
      <w:r w:rsidR="005E4A50" w:rsidRPr="00ED3D25">
        <w:rPr>
          <w:szCs w:val="24"/>
          <w:lang w:val="lt-LT"/>
        </w:rPr>
        <w:t xml:space="preserve">. 2014 m. rodiklis </w:t>
      </w:r>
      <w:r w:rsidR="001823D4">
        <w:rPr>
          <w:szCs w:val="24"/>
          <w:lang w:val="lt-LT"/>
        </w:rPr>
        <w:t>pasiekė apie 0,17</w:t>
      </w:r>
      <w:r w:rsidR="005E4A50" w:rsidRPr="00ED3D25">
        <w:rPr>
          <w:szCs w:val="24"/>
          <w:lang w:val="lt-LT"/>
        </w:rPr>
        <w:t>, ir</w:t>
      </w:r>
      <w:r w:rsidR="001823D4">
        <w:rPr>
          <w:szCs w:val="24"/>
          <w:lang w:val="lt-LT"/>
        </w:rPr>
        <w:t xml:space="preserve"> fiksuotas didesnis pelningumas</w:t>
      </w:r>
      <w:r w:rsidR="005E4A50" w:rsidRPr="00ED3D25">
        <w:rPr>
          <w:szCs w:val="24"/>
          <w:lang w:val="lt-LT"/>
        </w:rPr>
        <w:t>. Toliau apskačiuo</w:t>
      </w:r>
      <w:r w:rsidR="00163FFC" w:rsidRPr="00ED3D25">
        <w:rPr>
          <w:szCs w:val="24"/>
          <w:lang w:val="lt-LT"/>
        </w:rPr>
        <w:t>tas ROA, k</w:t>
      </w:r>
      <w:r w:rsidR="001823D4">
        <w:rPr>
          <w:szCs w:val="24"/>
          <w:lang w:val="lt-LT"/>
        </w:rPr>
        <w:t>urio reikšmė</w:t>
      </w:r>
      <w:r w:rsidR="00163FFC" w:rsidRPr="00ED3D25">
        <w:rPr>
          <w:szCs w:val="24"/>
          <w:lang w:val="lt-LT"/>
        </w:rPr>
        <w:t xml:space="preserve"> </w:t>
      </w:r>
      <w:r w:rsidR="005354CA" w:rsidRPr="00ED3D25">
        <w:rPr>
          <w:szCs w:val="24"/>
          <w:lang w:val="lt-LT"/>
        </w:rPr>
        <w:t>iki 2014 m.</w:t>
      </w:r>
      <w:r w:rsidR="00163FFC" w:rsidRPr="00ED3D25">
        <w:rPr>
          <w:szCs w:val="24"/>
          <w:lang w:val="lt-LT"/>
        </w:rPr>
        <w:t xml:space="preserve"> </w:t>
      </w:r>
      <w:r w:rsidR="001823D4">
        <w:rPr>
          <w:szCs w:val="24"/>
          <w:lang w:val="lt-LT"/>
        </w:rPr>
        <w:t>išliko labai žema</w:t>
      </w:r>
      <w:r w:rsidR="005354CA" w:rsidRPr="00ED3D25">
        <w:rPr>
          <w:szCs w:val="24"/>
          <w:lang w:val="lt-LT"/>
        </w:rPr>
        <w:t>, o paskut</w:t>
      </w:r>
      <w:r w:rsidR="001823D4">
        <w:rPr>
          <w:szCs w:val="24"/>
          <w:lang w:val="lt-LT"/>
        </w:rPr>
        <w:t>iniaisia</w:t>
      </w:r>
      <w:r w:rsidR="003069BD">
        <w:rPr>
          <w:szCs w:val="24"/>
          <w:lang w:val="lt-LT"/>
        </w:rPr>
        <w:t>i</w:t>
      </w:r>
      <w:r w:rsidR="001823D4">
        <w:rPr>
          <w:szCs w:val="24"/>
          <w:lang w:val="lt-LT"/>
        </w:rPr>
        <w:t>s tyrimo metais rodiklis</w:t>
      </w:r>
      <w:r w:rsidR="005354CA" w:rsidRPr="00ED3D25">
        <w:rPr>
          <w:szCs w:val="24"/>
          <w:lang w:val="lt-LT"/>
        </w:rPr>
        <w:t xml:space="preserve"> </w:t>
      </w:r>
      <w:r w:rsidR="001823D4">
        <w:rPr>
          <w:szCs w:val="24"/>
          <w:lang w:val="lt-LT"/>
        </w:rPr>
        <w:t>pasiekė</w:t>
      </w:r>
      <w:r w:rsidR="005354CA" w:rsidRPr="00ED3D25">
        <w:rPr>
          <w:szCs w:val="24"/>
          <w:lang w:val="lt-LT"/>
        </w:rPr>
        <w:t xml:space="preserve"> 0,07</w:t>
      </w:r>
      <w:r w:rsidR="001823D4">
        <w:rPr>
          <w:szCs w:val="24"/>
          <w:lang w:val="lt-LT"/>
        </w:rPr>
        <w:t xml:space="preserve"> reikšmę</w:t>
      </w:r>
      <w:r w:rsidR="00163FFC" w:rsidRPr="00ED3D25">
        <w:rPr>
          <w:szCs w:val="24"/>
          <w:lang w:val="lt-LT"/>
        </w:rPr>
        <w:t>.</w:t>
      </w:r>
      <w:r w:rsidR="005354CA" w:rsidRPr="00ED3D25">
        <w:rPr>
          <w:szCs w:val="24"/>
          <w:lang w:val="lt-LT"/>
        </w:rPr>
        <w:t xml:space="preserve"> Gautas rodiklis patenka į rekomenduotiną intervalą, tad galima teigti, kad įmonė B pradeda efektyviai valdyti savo turtą. </w:t>
      </w:r>
      <w:r w:rsidR="00163FFC" w:rsidRPr="00ED3D25">
        <w:rPr>
          <w:szCs w:val="24"/>
          <w:lang w:val="lt-LT"/>
        </w:rPr>
        <w:t xml:space="preserve"> Analizuojant ROE matyti, kad dvejus metus, t. y. iki 2013 m.</w:t>
      </w:r>
      <w:r w:rsidR="006808CD">
        <w:rPr>
          <w:szCs w:val="24"/>
          <w:lang w:val="lt-LT"/>
        </w:rPr>
        <w:t>,</w:t>
      </w:r>
      <w:r w:rsidR="00163FFC" w:rsidRPr="00ED3D25">
        <w:rPr>
          <w:szCs w:val="24"/>
          <w:lang w:val="lt-LT"/>
        </w:rPr>
        <w:t xml:space="preserve"> rodiklis </w:t>
      </w:r>
      <w:r w:rsidR="001823D4">
        <w:rPr>
          <w:szCs w:val="24"/>
          <w:lang w:val="lt-LT"/>
        </w:rPr>
        <w:t>svyravo apie 0</w:t>
      </w:r>
      <w:r w:rsidR="00163FFC" w:rsidRPr="00ED3D25">
        <w:rPr>
          <w:szCs w:val="24"/>
          <w:lang w:val="lt-LT"/>
        </w:rPr>
        <w:t>, tačiau 2014 m. gauta</w:t>
      </w:r>
      <w:r w:rsidR="001823D4">
        <w:rPr>
          <w:szCs w:val="24"/>
          <w:lang w:val="lt-LT"/>
        </w:rPr>
        <w:t xml:space="preserve"> reikšmė</w:t>
      </w:r>
      <w:r w:rsidR="005354CA" w:rsidRPr="00ED3D25">
        <w:rPr>
          <w:szCs w:val="24"/>
          <w:lang w:val="lt-LT"/>
        </w:rPr>
        <w:t xml:space="preserve"> parodo, kad 1,69 </w:t>
      </w:r>
      <w:r w:rsidR="00A40E6E">
        <w:rPr>
          <w:szCs w:val="24"/>
          <w:lang w:val="lt-LT"/>
        </w:rPr>
        <w:t>Lt.</w:t>
      </w:r>
      <w:r w:rsidR="001823D4">
        <w:rPr>
          <w:szCs w:val="24"/>
          <w:lang w:val="lt-LT"/>
        </w:rPr>
        <w:t xml:space="preserve"> tenka 1 nuosavo kapitalo litui</w:t>
      </w:r>
      <w:r w:rsidR="005354CA" w:rsidRPr="00ED3D25">
        <w:rPr>
          <w:szCs w:val="24"/>
          <w:lang w:val="lt-LT"/>
        </w:rPr>
        <w:t>, tai rodo labai aukštą nuosavo kapitalo efektyvumo lygį</w:t>
      </w:r>
      <w:r w:rsidR="00417AFE">
        <w:rPr>
          <w:szCs w:val="24"/>
          <w:lang w:val="lt-LT"/>
        </w:rPr>
        <w:t>.</w:t>
      </w:r>
    </w:p>
    <w:p w:rsidR="00417AFE" w:rsidRDefault="00417AFE">
      <w:pPr>
        <w:spacing w:line="276" w:lineRule="auto"/>
        <w:jc w:val="left"/>
        <w:rPr>
          <w:b/>
          <w:bCs/>
          <w:szCs w:val="24"/>
          <w:lang w:val="lt-LT"/>
        </w:rPr>
      </w:pPr>
      <w:r>
        <w:rPr>
          <w:b/>
          <w:bCs/>
          <w:szCs w:val="24"/>
          <w:lang w:val="lt-LT"/>
        </w:rPr>
        <w:br w:type="page"/>
      </w:r>
    </w:p>
    <w:p w:rsidR="009A6BBF" w:rsidRPr="00ED3D25" w:rsidRDefault="00E22853" w:rsidP="00F45AE3">
      <w:pPr>
        <w:spacing w:after="0"/>
        <w:jc w:val="right"/>
        <w:rPr>
          <w:b/>
          <w:bCs/>
          <w:szCs w:val="24"/>
          <w:lang w:val="lt-LT"/>
        </w:rPr>
      </w:pPr>
      <w:r w:rsidRPr="00ED3D25">
        <w:rPr>
          <w:b/>
          <w:bCs/>
          <w:szCs w:val="24"/>
          <w:lang w:val="lt-LT"/>
        </w:rPr>
        <w:lastRenderedPageBreak/>
        <w:t>15</w:t>
      </w:r>
      <w:r w:rsidR="009A6BBF" w:rsidRPr="00ED3D25">
        <w:rPr>
          <w:b/>
          <w:bCs/>
          <w:szCs w:val="24"/>
          <w:lang w:val="lt-LT"/>
        </w:rPr>
        <w:t xml:space="preserve"> lentelė</w:t>
      </w:r>
    </w:p>
    <w:p w:rsidR="009A6BBF" w:rsidRPr="00ED3D25" w:rsidRDefault="009A6BBF" w:rsidP="004665BD">
      <w:pPr>
        <w:spacing w:after="0" w:line="240" w:lineRule="auto"/>
        <w:jc w:val="center"/>
        <w:rPr>
          <w:b/>
          <w:bCs/>
          <w:sz w:val="22"/>
          <w:lang w:val="lt-LT"/>
        </w:rPr>
      </w:pPr>
      <w:r w:rsidRPr="00ED3D25">
        <w:rPr>
          <w:b/>
          <w:bCs/>
          <w:sz w:val="22"/>
          <w:lang w:val="lt-LT"/>
        </w:rPr>
        <w:t>Įmonės B veiklos efektyvumo rodikliai</w:t>
      </w:r>
    </w:p>
    <w:p w:rsidR="009A6BBF" w:rsidRPr="00ED3D25" w:rsidRDefault="009A6BBF" w:rsidP="004665BD">
      <w:pPr>
        <w:spacing w:after="0" w:line="240" w:lineRule="auto"/>
        <w:rPr>
          <w:sz w:val="22"/>
          <w:lang w:val="lt-LT"/>
        </w:rPr>
      </w:pPr>
    </w:p>
    <w:tbl>
      <w:tblPr>
        <w:tblStyle w:val="TableGrid"/>
        <w:tblW w:w="5000" w:type="pct"/>
        <w:jc w:val="center"/>
        <w:tblLook w:val="04A0" w:firstRow="1" w:lastRow="0" w:firstColumn="1" w:lastColumn="0" w:noHBand="0" w:noVBand="1"/>
      </w:tblPr>
      <w:tblGrid>
        <w:gridCol w:w="1432"/>
        <w:gridCol w:w="2194"/>
        <w:gridCol w:w="2077"/>
        <w:gridCol w:w="2077"/>
        <w:gridCol w:w="2075"/>
      </w:tblGrid>
      <w:tr w:rsidR="005B2612" w:rsidRPr="00ED3D25" w:rsidTr="00FE0D46">
        <w:trPr>
          <w:jc w:val="center"/>
        </w:trPr>
        <w:tc>
          <w:tcPr>
            <w:tcW w:w="726" w:type="pct"/>
            <w:tcBorders>
              <w:tl2br w:val="single" w:sz="4" w:space="0" w:color="auto"/>
            </w:tcBorders>
          </w:tcPr>
          <w:p w:rsidR="005B2612" w:rsidRDefault="005B2612" w:rsidP="00EB7E62">
            <w:pPr>
              <w:spacing w:line="240" w:lineRule="auto"/>
              <w:jc w:val="right"/>
              <w:rPr>
                <w:b/>
                <w:bCs/>
                <w:lang w:val="lt-LT"/>
              </w:rPr>
            </w:pPr>
            <w:r w:rsidRPr="00ED3D25">
              <w:rPr>
                <w:b/>
                <w:bCs/>
                <w:lang w:val="lt-LT"/>
              </w:rPr>
              <w:t>Rodiklis</w:t>
            </w:r>
          </w:p>
          <w:p w:rsidR="00EB7E62" w:rsidRDefault="00EB7E62" w:rsidP="00EB7E62">
            <w:pPr>
              <w:spacing w:line="240" w:lineRule="auto"/>
              <w:jc w:val="right"/>
              <w:rPr>
                <w:b/>
                <w:bCs/>
                <w:lang w:val="lt-LT"/>
              </w:rPr>
            </w:pPr>
          </w:p>
          <w:p w:rsidR="00EB7E62" w:rsidRPr="00ED3D25" w:rsidRDefault="00EB7E62" w:rsidP="00EB7E62">
            <w:pPr>
              <w:spacing w:line="240" w:lineRule="auto"/>
              <w:rPr>
                <w:b/>
                <w:bCs/>
                <w:lang w:val="lt-LT"/>
              </w:rPr>
            </w:pPr>
            <w:r>
              <w:rPr>
                <w:b/>
                <w:bCs/>
                <w:lang w:val="lt-LT"/>
              </w:rPr>
              <w:t>Metai</w:t>
            </w:r>
          </w:p>
        </w:tc>
        <w:tc>
          <w:tcPr>
            <w:tcW w:w="1113" w:type="pct"/>
            <w:tcBorders>
              <w:bottom w:val="single" w:sz="4" w:space="0" w:color="auto"/>
            </w:tcBorders>
            <w:vAlign w:val="center"/>
          </w:tcPr>
          <w:p w:rsidR="005B2612" w:rsidRPr="00ED3D25" w:rsidRDefault="005B2612" w:rsidP="00F45AE3">
            <w:pPr>
              <w:spacing w:line="240" w:lineRule="auto"/>
              <w:jc w:val="center"/>
              <w:rPr>
                <w:rFonts w:asciiTheme="majorBidi" w:hAnsiTheme="majorBidi" w:cstheme="majorBidi"/>
                <w:b/>
                <w:bCs/>
                <w:lang w:val="lt-LT"/>
              </w:rPr>
            </w:pPr>
            <w:r w:rsidRPr="00ED3D25">
              <w:rPr>
                <w:rFonts w:asciiTheme="majorBidi" w:hAnsiTheme="majorBidi" w:cstheme="majorBidi"/>
                <w:b/>
                <w:bCs/>
                <w:lang w:val="lt-LT"/>
              </w:rPr>
              <w:t>Veiklos sąnaudos vienam pajamų litui</w:t>
            </w:r>
          </w:p>
        </w:tc>
        <w:tc>
          <w:tcPr>
            <w:tcW w:w="1054" w:type="pct"/>
            <w:tcBorders>
              <w:bottom w:val="single" w:sz="4" w:space="0" w:color="auto"/>
            </w:tcBorders>
            <w:vAlign w:val="center"/>
          </w:tcPr>
          <w:p w:rsidR="005B2612" w:rsidRPr="00ED3D25" w:rsidRDefault="005B2612" w:rsidP="00F45AE3">
            <w:pPr>
              <w:spacing w:line="240" w:lineRule="auto"/>
              <w:jc w:val="center"/>
              <w:rPr>
                <w:rFonts w:asciiTheme="majorBidi" w:hAnsiTheme="majorBidi" w:cstheme="majorBidi"/>
                <w:b/>
                <w:bCs/>
                <w:lang w:val="lt-LT"/>
              </w:rPr>
            </w:pPr>
            <w:r w:rsidRPr="00ED3D25">
              <w:rPr>
                <w:rFonts w:asciiTheme="majorBidi" w:hAnsiTheme="majorBidi" w:cstheme="majorBidi"/>
                <w:b/>
                <w:bCs/>
                <w:lang w:val="lt-LT"/>
              </w:rPr>
              <w:t>Apyvartinio kapitalo apyvartumas</w:t>
            </w:r>
          </w:p>
        </w:tc>
        <w:tc>
          <w:tcPr>
            <w:tcW w:w="1054" w:type="pct"/>
            <w:tcBorders>
              <w:bottom w:val="single" w:sz="4" w:space="0" w:color="auto"/>
            </w:tcBorders>
            <w:vAlign w:val="center"/>
          </w:tcPr>
          <w:p w:rsidR="005B2612" w:rsidRPr="00ED3D25" w:rsidRDefault="005B2612" w:rsidP="00F45AE3">
            <w:pPr>
              <w:spacing w:line="240" w:lineRule="auto"/>
              <w:jc w:val="center"/>
              <w:rPr>
                <w:rFonts w:asciiTheme="majorBidi" w:hAnsiTheme="majorBidi" w:cstheme="majorBidi"/>
                <w:b/>
                <w:bCs/>
                <w:lang w:val="lt-LT"/>
              </w:rPr>
            </w:pPr>
            <w:r w:rsidRPr="00ED3D25">
              <w:rPr>
                <w:rFonts w:asciiTheme="majorBidi" w:hAnsiTheme="majorBidi" w:cstheme="majorBidi"/>
                <w:b/>
                <w:bCs/>
                <w:lang w:val="lt-LT"/>
              </w:rPr>
              <w:t>Grynojo turto apyvartumas</w:t>
            </w:r>
          </w:p>
        </w:tc>
        <w:tc>
          <w:tcPr>
            <w:tcW w:w="1054" w:type="pct"/>
            <w:tcBorders>
              <w:bottom w:val="single" w:sz="4" w:space="0" w:color="auto"/>
            </w:tcBorders>
            <w:vAlign w:val="center"/>
          </w:tcPr>
          <w:p w:rsidR="005B2612" w:rsidRPr="00ED3D25" w:rsidRDefault="005B2612" w:rsidP="00F45AE3">
            <w:pPr>
              <w:spacing w:line="240" w:lineRule="auto"/>
              <w:jc w:val="center"/>
              <w:rPr>
                <w:rFonts w:asciiTheme="majorBidi" w:hAnsiTheme="majorBidi" w:cstheme="majorBidi"/>
                <w:b/>
                <w:bCs/>
                <w:lang w:val="lt-LT"/>
              </w:rPr>
            </w:pPr>
            <w:r w:rsidRPr="00ED3D25">
              <w:rPr>
                <w:rFonts w:asciiTheme="majorBidi" w:hAnsiTheme="majorBidi" w:cstheme="majorBidi"/>
                <w:b/>
                <w:bCs/>
                <w:lang w:val="lt-LT"/>
              </w:rPr>
              <w:t>Turto apyvartumas</w:t>
            </w:r>
          </w:p>
        </w:tc>
      </w:tr>
      <w:tr w:rsidR="005B2612" w:rsidRPr="00ED3D25" w:rsidTr="00FE0D46">
        <w:trPr>
          <w:jc w:val="center"/>
        </w:trPr>
        <w:tc>
          <w:tcPr>
            <w:tcW w:w="726" w:type="pct"/>
            <w:vAlign w:val="center"/>
          </w:tcPr>
          <w:p w:rsidR="005B2612" w:rsidRPr="00ED3D25" w:rsidRDefault="005B2612" w:rsidP="00EB7E62">
            <w:pPr>
              <w:spacing w:line="240" w:lineRule="auto"/>
              <w:jc w:val="left"/>
              <w:rPr>
                <w:b/>
                <w:bCs/>
                <w:lang w:val="lt-LT"/>
              </w:rPr>
            </w:pPr>
            <w:r w:rsidRPr="00ED3D25">
              <w:rPr>
                <w:b/>
                <w:bCs/>
                <w:lang w:val="lt-LT"/>
              </w:rPr>
              <w:t>2011 m.</w:t>
            </w:r>
          </w:p>
        </w:tc>
        <w:tc>
          <w:tcPr>
            <w:tcW w:w="1113" w:type="pct"/>
            <w:tcBorders>
              <w:top w:val="single" w:sz="4" w:space="0" w:color="auto"/>
            </w:tcBorders>
            <w:shd w:val="clear" w:color="auto" w:fill="BFBFBF" w:themeFill="background1" w:themeFillShade="BF"/>
            <w:vAlign w:val="center"/>
          </w:tcPr>
          <w:p w:rsidR="005B2612" w:rsidRPr="00ED3D25" w:rsidRDefault="005B2612" w:rsidP="00F45AE3">
            <w:pPr>
              <w:spacing w:line="240" w:lineRule="auto"/>
              <w:jc w:val="center"/>
              <w:rPr>
                <w:lang w:val="lt-LT"/>
              </w:rPr>
            </w:pPr>
            <w:r w:rsidRPr="00ED3D25">
              <w:rPr>
                <w:lang w:val="lt-LT"/>
              </w:rPr>
              <w:t>-</w:t>
            </w:r>
          </w:p>
        </w:tc>
        <w:tc>
          <w:tcPr>
            <w:tcW w:w="1054" w:type="pct"/>
            <w:tcBorders>
              <w:top w:val="single" w:sz="4" w:space="0" w:color="auto"/>
            </w:tcBorders>
            <w:shd w:val="clear" w:color="auto" w:fill="BFBFBF" w:themeFill="background1" w:themeFillShade="BF"/>
            <w:vAlign w:val="center"/>
          </w:tcPr>
          <w:p w:rsidR="005B2612" w:rsidRPr="00ED3D25" w:rsidRDefault="005B2612" w:rsidP="00F45AE3">
            <w:pPr>
              <w:spacing w:line="240" w:lineRule="auto"/>
              <w:jc w:val="center"/>
              <w:rPr>
                <w:lang w:val="lt-LT"/>
              </w:rPr>
            </w:pPr>
            <w:r w:rsidRPr="00ED3D25">
              <w:rPr>
                <w:lang w:val="lt-LT"/>
              </w:rPr>
              <w:t>-</w:t>
            </w:r>
          </w:p>
        </w:tc>
        <w:tc>
          <w:tcPr>
            <w:tcW w:w="1054" w:type="pct"/>
            <w:tcBorders>
              <w:top w:val="single" w:sz="4" w:space="0" w:color="auto"/>
            </w:tcBorders>
            <w:shd w:val="clear" w:color="auto" w:fill="BFBFBF" w:themeFill="background1" w:themeFillShade="BF"/>
            <w:vAlign w:val="center"/>
          </w:tcPr>
          <w:p w:rsidR="005B2612" w:rsidRPr="00ED3D25" w:rsidRDefault="005B2612" w:rsidP="00F45AE3">
            <w:pPr>
              <w:spacing w:line="240" w:lineRule="auto"/>
              <w:jc w:val="center"/>
              <w:rPr>
                <w:lang w:val="lt-LT"/>
              </w:rPr>
            </w:pPr>
            <w:r w:rsidRPr="00ED3D25">
              <w:rPr>
                <w:lang w:val="lt-LT"/>
              </w:rPr>
              <w:t>-</w:t>
            </w:r>
          </w:p>
        </w:tc>
        <w:tc>
          <w:tcPr>
            <w:tcW w:w="1054" w:type="pct"/>
            <w:tcBorders>
              <w:top w:val="single" w:sz="4" w:space="0" w:color="auto"/>
            </w:tcBorders>
            <w:shd w:val="clear" w:color="auto" w:fill="BFBFBF" w:themeFill="background1" w:themeFillShade="BF"/>
            <w:vAlign w:val="center"/>
          </w:tcPr>
          <w:p w:rsidR="005B2612" w:rsidRPr="00ED3D25" w:rsidRDefault="005B2612" w:rsidP="00F45AE3">
            <w:pPr>
              <w:spacing w:line="240" w:lineRule="auto"/>
              <w:jc w:val="center"/>
              <w:rPr>
                <w:lang w:val="lt-LT"/>
              </w:rPr>
            </w:pPr>
            <w:r w:rsidRPr="00ED3D25">
              <w:rPr>
                <w:lang w:val="lt-LT"/>
              </w:rPr>
              <w:t>-</w:t>
            </w:r>
          </w:p>
        </w:tc>
      </w:tr>
      <w:tr w:rsidR="005B2612" w:rsidRPr="00ED3D25" w:rsidTr="00FE0D46">
        <w:trPr>
          <w:jc w:val="center"/>
        </w:trPr>
        <w:tc>
          <w:tcPr>
            <w:tcW w:w="726" w:type="pct"/>
            <w:vAlign w:val="center"/>
          </w:tcPr>
          <w:p w:rsidR="005B2612" w:rsidRPr="00ED3D25" w:rsidRDefault="005B2612" w:rsidP="00EB7E62">
            <w:pPr>
              <w:spacing w:line="240" w:lineRule="auto"/>
              <w:jc w:val="left"/>
              <w:rPr>
                <w:b/>
                <w:bCs/>
                <w:lang w:val="lt-LT"/>
              </w:rPr>
            </w:pPr>
            <w:r w:rsidRPr="00ED3D25">
              <w:rPr>
                <w:b/>
                <w:bCs/>
                <w:lang w:val="lt-LT"/>
              </w:rPr>
              <w:t>2012 m.</w:t>
            </w:r>
          </w:p>
        </w:tc>
        <w:tc>
          <w:tcPr>
            <w:tcW w:w="1113" w:type="pct"/>
            <w:tcBorders>
              <w:bottom w:val="single" w:sz="4" w:space="0" w:color="auto"/>
            </w:tcBorders>
            <w:shd w:val="clear" w:color="auto" w:fill="BFBFBF" w:themeFill="background1" w:themeFillShade="BF"/>
            <w:vAlign w:val="center"/>
          </w:tcPr>
          <w:p w:rsidR="005B2612" w:rsidRPr="00ED3D25" w:rsidRDefault="005B2612" w:rsidP="00F45AE3">
            <w:pPr>
              <w:spacing w:line="240" w:lineRule="auto"/>
              <w:jc w:val="center"/>
              <w:rPr>
                <w:lang w:val="lt-LT"/>
              </w:rPr>
            </w:pPr>
            <w:r w:rsidRPr="00ED3D25">
              <w:rPr>
                <w:lang w:val="lt-LT"/>
              </w:rPr>
              <w:t>-</w:t>
            </w:r>
          </w:p>
        </w:tc>
        <w:tc>
          <w:tcPr>
            <w:tcW w:w="1054" w:type="pct"/>
            <w:tcBorders>
              <w:bottom w:val="single" w:sz="4" w:space="0" w:color="auto"/>
            </w:tcBorders>
            <w:shd w:val="clear" w:color="auto" w:fill="BFBFBF" w:themeFill="background1" w:themeFillShade="BF"/>
            <w:vAlign w:val="center"/>
          </w:tcPr>
          <w:p w:rsidR="005B2612" w:rsidRPr="00ED3D25" w:rsidRDefault="005B2612" w:rsidP="00F45AE3">
            <w:pPr>
              <w:spacing w:line="240" w:lineRule="auto"/>
              <w:jc w:val="center"/>
              <w:rPr>
                <w:lang w:val="lt-LT"/>
              </w:rPr>
            </w:pPr>
            <w:r w:rsidRPr="00ED3D25">
              <w:rPr>
                <w:lang w:val="lt-LT"/>
              </w:rPr>
              <w:t>-</w:t>
            </w:r>
          </w:p>
        </w:tc>
        <w:tc>
          <w:tcPr>
            <w:tcW w:w="1054" w:type="pct"/>
            <w:tcBorders>
              <w:bottom w:val="single" w:sz="4" w:space="0" w:color="auto"/>
            </w:tcBorders>
            <w:shd w:val="clear" w:color="auto" w:fill="BFBFBF" w:themeFill="background1" w:themeFillShade="BF"/>
            <w:vAlign w:val="center"/>
          </w:tcPr>
          <w:p w:rsidR="005B2612" w:rsidRPr="00ED3D25" w:rsidRDefault="005B2612" w:rsidP="00F45AE3">
            <w:pPr>
              <w:spacing w:line="240" w:lineRule="auto"/>
              <w:jc w:val="center"/>
              <w:rPr>
                <w:lang w:val="lt-LT"/>
              </w:rPr>
            </w:pPr>
            <w:r w:rsidRPr="00ED3D25">
              <w:rPr>
                <w:lang w:val="lt-LT"/>
              </w:rPr>
              <w:t>-</w:t>
            </w:r>
          </w:p>
        </w:tc>
        <w:tc>
          <w:tcPr>
            <w:tcW w:w="1054" w:type="pct"/>
            <w:tcBorders>
              <w:bottom w:val="single" w:sz="4" w:space="0" w:color="auto"/>
            </w:tcBorders>
            <w:shd w:val="clear" w:color="auto" w:fill="BFBFBF" w:themeFill="background1" w:themeFillShade="BF"/>
            <w:vAlign w:val="center"/>
          </w:tcPr>
          <w:p w:rsidR="005B2612" w:rsidRPr="00ED3D25" w:rsidRDefault="005B2612" w:rsidP="00F45AE3">
            <w:pPr>
              <w:spacing w:line="240" w:lineRule="auto"/>
              <w:jc w:val="center"/>
              <w:rPr>
                <w:lang w:val="lt-LT"/>
              </w:rPr>
            </w:pPr>
            <w:r w:rsidRPr="00ED3D25">
              <w:rPr>
                <w:lang w:val="lt-LT"/>
              </w:rPr>
              <w:t>-</w:t>
            </w:r>
          </w:p>
        </w:tc>
      </w:tr>
      <w:tr w:rsidR="005B2612" w:rsidRPr="00ED3D25" w:rsidTr="00FE0D46">
        <w:trPr>
          <w:jc w:val="center"/>
        </w:trPr>
        <w:tc>
          <w:tcPr>
            <w:tcW w:w="726" w:type="pct"/>
            <w:vAlign w:val="center"/>
          </w:tcPr>
          <w:p w:rsidR="005B2612" w:rsidRPr="00ED3D25" w:rsidRDefault="005B2612" w:rsidP="00EB7E62">
            <w:pPr>
              <w:spacing w:line="240" w:lineRule="auto"/>
              <w:jc w:val="left"/>
              <w:rPr>
                <w:b/>
                <w:bCs/>
                <w:lang w:val="lt-LT"/>
              </w:rPr>
            </w:pPr>
            <w:r w:rsidRPr="00ED3D25">
              <w:rPr>
                <w:b/>
                <w:bCs/>
                <w:lang w:val="lt-LT"/>
              </w:rPr>
              <w:t>2013 m.</w:t>
            </w:r>
          </w:p>
        </w:tc>
        <w:tc>
          <w:tcPr>
            <w:tcW w:w="1113" w:type="pct"/>
            <w:tcBorders>
              <w:top w:val="single" w:sz="4" w:space="0" w:color="auto"/>
            </w:tcBorders>
            <w:vAlign w:val="center"/>
          </w:tcPr>
          <w:p w:rsidR="005B2612" w:rsidRPr="00ED3D25" w:rsidRDefault="005B2612" w:rsidP="00F45AE3">
            <w:pPr>
              <w:spacing w:line="240" w:lineRule="auto"/>
              <w:jc w:val="center"/>
              <w:rPr>
                <w:lang w:val="lt-LT"/>
              </w:rPr>
            </w:pPr>
            <w:r w:rsidRPr="00ED3D25">
              <w:rPr>
                <w:lang w:val="lt-LT"/>
              </w:rPr>
              <w:t>0,7882</w:t>
            </w:r>
          </w:p>
        </w:tc>
        <w:tc>
          <w:tcPr>
            <w:tcW w:w="1054" w:type="pct"/>
            <w:tcBorders>
              <w:top w:val="single" w:sz="4" w:space="0" w:color="auto"/>
            </w:tcBorders>
            <w:vAlign w:val="center"/>
          </w:tcPr>
          <w:p w:rsidR="005B2612" w:rsidRPr="00ED3D25" w:rsidRDefault="004C3B50" w:rsidP="004C3B50">
            <w:pPr>
              <w:spacing w:line="240" w:lineRule="auto"/>
              <w:jc w:val="center"/>
              <w:rPr>
                <w:lang w:val="lt-LT"/>
              </w:rPr>
            </w:pPr>
            <w:r>
              <w:rPr>
                <w:lang w:val="lt-LT"/>
              </w:rPr>
              <w:t>0</w:t>
            </w:r>
          </w:p>
        </w:tc>
        <w:tc>
          <w:tcPr>
            <w:tcW w:w="1054" w:type="pct"/>
            <w:tcBorders>
              <w:top w:val="single" w:sz="4" w:space="0" w:color="auto"/>
            </w:tcBorders>
            <w:vAlign w:val="center"/>
          </w:tcPr>
          <w:p w:rsidR="005B2612" w:rsidRPr="00ED3D25" w:rsidRDefault="005B2612" w:rsidP="00F45AE3">
            <w:pPr>
              <w:spacing w:line="240" w:lineRule="auto"/>
              <w:jc w:val="center"/>
              <w:rPr>
                <w:lang w:val="lt-LT"/>
              </w:rPr>
            </w:pPr>
            <w:r w:rsidRPr="00ED3D25">
              <w:rPr>
                <w:lang w:val="lt-LT"/>
              </w:rPr>
              <w:t>0,1326</w:t>
            </w:r>
          </w:p>
        </w:tc>
        <w:tc>
          <w:tcPr>
            <w:tcW w:w="1054" w:type="pct"/>
            <w:tcBorders>
              <w:top w:val="single" w:sz="4" w:space="0" w:color="auto"/>
            </w:tcBorders>
            <w:vAlign w:val="center"/>
          </w:tcPr>
          <w:p w:rsidR="005B2612" w:rsidRPr="00ED3D25" w:rsidRDefault="005B2612" w:rsidP="00F45AE3">
            <w:pPr>
              <w:spacing w:line="240" w:lineRule="auto"/>
              <w:jc w:val="center"/>
              <w:rPr>
                <w:lang w:val="lt-LT"/>
              </w:rPr>
            </w:pPr>
            <w:r w:rsidRPr="00ED3D25">
              <w:rPr>
                <w:lang w:val="lt-LT"/>
              </w:rPr>
              <w:t>0,0775</w:t>
            </w:r>
          </w:p>
        </w:tc>
      </w:tr>
      <w:tr w:rsidR="005B2612" w:rsidRPr="00ED3D25" w:rsidTr="00F45AE3">
        <w:trPr>
          <w:jc w:val="center"/>
        </w:trPr>
        <w:tc>
          <w:tcPr>
            <w:tcW w:w="726" w:type="pct"/>
            <w:vAlign w:val="center"/>
          </w:tcPr>
          <w:p w:rsidR="005B2612" w:rsidRPr="00ED3D25" w:rsidRDefault="005B2612" w:rsidP="00EB7E62">
            <w:pPr>
              <w:spacing w:line="240" w:lineRule="auto"/>
              <w:jc w:val="left"/>
              <w:rPr>
                <w:b/>
                <w:bCs/>
                <w:lang w:val="lt-LT"/>
              </w:rPr>
            </w:pPr>
            <w:r w:rsidRPr="00ED3D25">
              <w:rPr>
                <w:b/>
                <w:bCs/>
                <w:lang w:val="lt-LT"/>
              </w:rPr>
              <w:t>2014 m.</w:t>
            </w:r>
          </w:p>
        </w:tc>
        <w:tc>
          <w:tcPr>
            <w:tcW w:w="1113" w:type="pct"/>
            <w:vAlign w:val="center"/>
          </w:tcPr>
          <w:p w:rsidR="005B2612" w:rsidRPr="00ED3D25" w:rsidRDefault="005B2612" w:rsidP="00F45AE3">
            <w:pPr>
              <w:spacing w:line="240" w:lineRule="auto"/>
              <w:jc w:val="center"/>
              <w:rPr>
                <w:lang w:val="lt-LT"/>
              </w:rPr>
            </w:pPr>
            <w:r w:rsidRPr="00ED3D25">
              <w:rPr>
                <w:lang w:val="lt-LT"/>
              </w:rPr>
              <w:t>0,2242</w:t>
            </w:r>
          </w:p>
        </w:tc>
        <w:tc>
          <w:tcPr>
            <w:tcW w:w="1054" w:type="pct"/>
            <w:vAlign w:val="center"/>
          </w:tcPr>
          <w:p w:rsidR="005B2612" w:rsidRPr="00ED3D25" w:rsidRDefault="004C3B50" w:rsidP="00F45AE3">
            <w:pPr>
              <w:spacing w:line="240" w:lineRule="auto"/>
              <w:jc w:val="center"/>
              <w:rPr>
                <w:lang w:val="lt-LT"/>
              </w:rPr>
            </w:pPr>
            <w:r>
              <w:rPr>
                <w:lang w:val="lt-LT"/>
              </w:rPr>
              <w:t>0</w:t>
            </w:r>
          </w:p>
        </w:tc>
        <w:tc>
          <w:tcPr>
            <w:tcW w:w="1054" w:type="pct"/>
            <w:vAlign w:val="center"/>
          </w:tcPr>
          <w:p w:rsidR="005B2612" w:rsidRPr="00ED3D25" w:rsidRDefault="005B2612" w:rsidP="00F45AE3">
            <w:pPr>
              <w:spacing w:line="240" w:lineRule="auto"/>
              <w:jc w:val="center"/>
              <w:rPr>
                <w:lang w:val="lt-LT"/>
              </w:rPr>
            </w:pPr>
            <w:r w:rsidRPr="00ED3D25">
              <w:rPr>
                <w:lang w:val="lt-LT"/>
              </w:rPr>
              <w:t>0,8512</w:t>
            </w:r>
          </w:p>
        </w:tc>
        <w:tc>
          <w:tcPr>
            <w:tcW w:w="1054" w:type="pct"/>
            <w:vAlign w:val="center"/>
          </w:tcPr>
          <w:p w:rsidR="005B2612" w:rsidRPr="00ED3D25" w:rsidRDefault="005B2612" w:rsidP="00F45AE3">
            <w:pPr>
              <w:spacing w:line="240" w:lineRule="auto"/>
              <w:jc w:val="center"/>
              <w:rPr>
                <w:lang w:val="lt-LT"/>
              </w:rPr>
            </w:pPr>
            <w:r w:rsidRPr="00ED3D25">
              <w:rPr>
                <w:lang w:val="lt-LT"/>
              </w:rPr>
              <w:t>0,0745</w:t>
            </w:r>
          </w:p>
        </w:tc>
      </w:tr>
    </w:tbl>
    <w:p w:rsidR="009A6BBF" w:rsidRPr="00ED3D25" w:rsidRDefault="009A6BBF" w:rsidP="00FE0D46">
      <w:pPr>
        <w:tabs>
          <w:tab w:val="left" w:pos="8456"/>
        </w:tabs>
        <w:spacing w:after="0" w:line="240" w:lineRule="auto"/>
        <w:rPr>
          <w:sz w:val="20"/>
          <w:szCs w:val="20"/>
          <w:lang w:val="lt-LT"/>
        </w:rPr>
      </w:pPr>
      <w:r w:rsidRPr="00ED3D25">
        <w:rPr>
          <w:sz w:val="20"/>
          <w:szCs w:val="20"/>
          <w:lang w:val="lt-LT"/>
        </w:rPr>
        <w:t>Pastaba: lentelė sudaryta autorės</w:t>
      </w:r>
      <w:r w:rsidR="004955A5" w:rsidRPr="00ED3D25">
        <w:rPr>
          <w:sz w:val="20"/>
          <w:szCs w:val="20"/>
          <w:lang w:val="lt-LT"/>
        </w:rPr>
        <w:t>, remiantis įmonės B 2011-2014</w:t>
      </w:r>
      <w:r w:rsidRPr="00ED3D25">
        <w:rPr>
          <w:sz w:val="20"/>
          <w:szCs w:val="20"/>
          <w:lang w:val="lt-LT"/>
        </w:rPr>
        <w:t xml:space="preserve"> m. pelno (nuostolio)</w:t>
      </w:r>
      <w:r w:rsidR="00784423" w:rsidRPr="00ED3D25">
        <w:rPr>
          <w:sz w:val="20"/>
          <w:szCs w:val="20"/>
          <w:lang w:val="lt-LT"/>
        </w:rPr>
        <w:t xml:space="preserve"> ir balanso ataskaitų</w:t>
      </w:r>
      <w:r w:rsidR="00FE0D46">
        <w:rPr>
          <w:sz w:val="20"/>
          <w:szCs w:val="20"/>
          <w:lang w:val="lt-LT"/>
        </w:rPr>
        <w:t xml:space="preserve"> finansiniais duomenimis, taip pat </w:t>
      </w:r>
      <w:r w:rsidR="00FE0D46" w:rsidRPr="00B36302">
        <w:rPr>
          <w:sz w:val="20"/>
          <w:szCs w:val="20"/>
          <w:lang w:val="lt-LT"/>
        </w:rPr>
        <w:t xml:space="preserve"> </w:t>
      </w:r>
      <w:r w:rsidR="00FE0D46">
        <w:rPr>
          <w:sz w:val="20"/>
          <w:szCs w:val="20"/>
          <w:lang w:val="lt-LT"/>
        </w:rPr>
        <w:t>paryškintas laikotarpis, kada įmonė gavo paramą.</w:t>
      </w:r>
    </w:p>
    <w:p w:rsidR="00763BF3" w:rsidRPr="00FE0D46" w:rsidRDefault="00763BF3" w:rsidP="004665BD">
      <w:pPr>
        <w:spacing w:after="0" w:line="240" w:lineRule="auto"/>
        <w:rPr>
          <w:sz w:val="14"/>
          <w:szCs w:val="14"/>
          <w:lang w:val="lt-LT"/>
        </w:rPr>
      </w:pPr>
    </w:p>
    <w:p w:rsidR="00A062F1" w:rsidRDefault="00763BF3" w:rsidP="004C3B50">
      <w:pPr>
        <w:spacing w:after="0"/>
        <w:ind w:firstLine="851"/>
        <w:rPr>
          <w:szCs w:val="24"/>
          <w:lang w:val="lt-LT"/>
        </w:rPr>
      </w:pPr>
      <w:r w:rsidRPr="00ED3D25">
        <w:rPr>
          <w:szCs w:val="24"/>
          <w:lang w:val="lt-LT"/>
        </w:rPr>
        <w:t>Vertinant įmonės B veik</w:t>
      </w:r>
      <w:r w:rsidR="004A5728">
        <w:rPr>
          <w:szCs w:val="24"/>
          <w:lang w:val="lt-LT"/>
        </w:rPr>
        <w:t>los efektyvumo rodiklius (žr. 15</w:t>
      </w:r>
      <w:r w:rsidRPr="00ED3D25">
        <w:rPr>
          <w:szCs w:val="24"/>
          <w:lang w:val="lt-LT"/>
        </w:rPr>
        <w:t xml:space="preserve"> lentelę) matyti, kad 2011-2012 m. lentelės reikšmės tuščios, </w:t>
      </w:r>
      <w:r w:rsidR="004C3B50">
        <w:rPr>
          <w:szCs w:val="24"/>
          <w:lang w:val="lt-LT"/>
        </w:rPr>
        <w:t>kaip jau anksčiau minėta,</w:t>
      </w:r>
      <w:r w:rsidR="005B2612" w:rsidRPr="00ED3D25">
        <w:rPr>
          <w:szCs w:val="24"/>
          <w:lang w:val="lt-LT"/>
        </w:rPr>
        <w:t xml:space="preserve"> šiems rodikliams apskaičiuoti reikalingos pardavimo pajamos, o įmonė pirmuosius savo gyvavimo metus gamybos nevykdė, tad šių metų apskaičiuoti neįmanoma.</w:t>
      </w:r>
      <w:r w:rsidRPr="00ED3D25">
        <w:rPr>
          <w:szCs w:val="24"/>
          <w:lang w:val="lt-LT"/>
        </w:rPr>
        <w:t xml:space="preserve"> </w:t>
      </w:r>
      <w:r w:rsidR="005B2612" w:rsidRPr="00ED3D25">
        <w:rPr>
          <w:szCs w:val="24"/>
          <w:lang w:val="lt-LT"/>
        </w:rPr>
        <w:t xml:space="preserve">Vertinant 2013 m. veiklos sąnaudas vienam pajamų litui fiksuojama reikšmė lygi 0,7, tai rodo labai aukštas veiklos sąnaudas palyginus su pardavimo pajamomis, tačiau sekančiais metais rodiklis nukrito iki 0,2. Toks rodiklio pasikeitimas rodo, kad </w:t>
      </w:r>
      <w:r w:rsidR="00937C65" w:rsidRPr="00ED3D25">
        <w:rPr>
          <w:szCs w:val="24"/>
          <w:lang w:val="lt-LT"/>
        </w:rPr>
        <w:t xml:space="preserve">veiklos sąnaudų politika </w:t>
      </w:r>
      <w:r w:rsidR="005B2612" w:rsidRPr="00ED3D25">
        <w:rPr>
          <w:szCs w:val="24"/>
          <w:lang w:val="lt-LT"/>
        </w:rPr>
        <w:t>koreguojama</w:t>
      </w:r>
      <w:r w:rsidR="00937C65" w:rsidRPr="00ED3D25">
        <w:rPr>
          <w:szCs w:val="24"/>
          <w:lang w:val="lt-LT"/>
        </w:rPr>
        <w:t xml:space="preserve"> tinkama linkme</w:t>
      </w:r>
      <w:r w:rsidR="005B2612" w:rsidRPr="00ED3D25">
        <w:rPr>
          <w:szCs w:val="24"/>
          <w:lang w:val="lt-LT"/>
        </w:rPr>
        <w:t xml:space="preserve"> </w:t>
      </w:r>
      <w:r w:rsidR="004C3B50">
        <w:rPr>
          <w:szCs w:val="24"/>
          <w:lang w:val="lt-LT"/>
        </w:rPr>
        <w:t>ir rodiklis artėja link</w:t>
      </w:r>
      <w:r w:rsidR="00937C65" w:rsidRPr="00ED3D25">
        <w:rPr>
          <w:szCs w:val="24"/>
          <w:lang w:val="lt-LT"/>
        </w:rPr>
        <w:t xml:space="preserve"> rekomenduojamos 0,18 ribos. Apyvartinio kapitalo apyvartumas gaunamas </w:t>
      </w:r>
      <w:r w:rsidR="004C3B50">
        <w:rPr>
          <w:szCs w:val="24"/>
          <w:lang w:val="lt-LT"/>
        </w:rPr>
        <w:t>nulinis</w:t>
      </w:r>
      <w:r w:rsidR="00937C65" w:rsidRPr="00ED3D25">
        <w:rPr>
          <w:szCs w:val="24"/>
          <w:lang w:val="lt-LT"/>
        </w:rPr>
        <w:t xml:space="preserve">, nes nėra sudaryto pakankamo apyvartinio kapitalo, kuomet 2014 m. trumpalaikis turtas lyginant su trumpalaikiais įsipareigojimais buvo </w:t>
      </w:r>
      <w:r w:rsidR="003D4B8F" w:rsidRPr="00ED3D25">
        <w:rPr>
          <w:szCs w:val="24"/>
          <w:lang w:val="lt-LT"/>
        </w:rPr>
        <w:t>1,85</w:t>
      </w:r>
      <w:r w:rsidR="004C3B50">
        <w:rPr>
          <w:szCs w:val="24"/>
          <w:lang w:val="lt-LT"/>
        </w:rPr>
        <w:t xml:space="preserve"> karto mažesnis. Tai parodo, kad įmonei B trūksta apyvartinio kapitalo ir jį reikia formuoti.</w:t>
      </w:r>
      <w:r w:rsidR="003D4B8F" w:rsidRPr="00ED3D25">
        <w:rPr>
          <w:szCs w:val="24"/>
          <w:lang w:val="lt-LT"/>
        </w:rPr>
        <w:t xml:space="preserve"> Apskaičiavus grynojo turto apyvartumą </w:t>
      </w:r>
      <w:r w:rsidR="00A062F1" w:rsidRPr="00ED3D25">
        <w:rPr>
          <w:szCs w:val="24"/>
          <w:lang w:val="lt-LT"/>
        </w:rPr>
        <w:t xml:space="preserve">matyti, kad 2014 m. jo reikšmė siekė 0,85, o tai reiškia, kad investavus 1 litą į ilgalaikį turtą ir apyvartinį kapitalą, jis uždirba 0,85 </w:t>
      </w:r>
      <w:r w:rsidR="00A40E6E">
        <w:rPr>
          <w:szCs w:val="24"/>
          <w:lang w:val="lt-LT"/>
        </w:rPr>
        <w:t>Lt.</w:t>
      </w:r>
      <w:r w:rsidR="004C3B50">
        <w:rPr>
          <w:szCs w:val="24"/>
          <w:lang w:val="lt-LT"/>
        </w:rPr>
        <w:t xml:space="preserve"> grynojo pelno. Apskaičiuotas t</w:t>
      </w:r>
      <w:r w:rsidR="00A062F1" w:rsidRPr="00ED3D25">
        <w:rPr>
          <w:szCs w:val="24"/>
          <w:lang w:val="lt-LT"/>
        </w:rPr>
        <w:t xml:space="preserve">urto apyvartumas parodo, kaip įmonė neefektyviai naudoja savo turimą turtą, nes </w:t>
      </w:r>
      <w:r w:rsidR="004C3B50">
        <w:rPr>
          <w:szCs w:val="24"/>
          <w:lang w:val="lt-LT"/>
        </w:rPr>
        <w:t>jo</w:t>
      </w:r>
      <w:r w:rsidR="00A062F1" w:rsidRPr="00ED3D25">
        <w:rPr>
          <w:szCs w:val="24"/>
          <w:lang w:val="lt-LT"/>
        </w:rPr>
        <w:t xml:space="preserve"> reikšmė 2014 m. siekia tik 0,07, kuomet rekomenduojama 1,6-1,8, tad norint  tai pakeisti įmonė B turi koreguoti savo veiklos politiką šiuo aspektu.</w:t>
      </w:r>
    </w:p>
    <w:p w:rsidR="004C3B50" w:rsidRDefault="00771EAB" w:rsidP="007B4BC3">
      <w:pPr>
        <w:spacing w:after="0"/>
        <w:ind w:firstLine="851"/>
        <w:rPr>
          <w:szCs w:val="24"/>
          <w:lang w:val="lt-LT"/>
        </w:rPr>
      </w:pPr>
      <w:r>
        <w:rPr>
          <w:szCs w:val="24"/>
          <w:lang w:val="lt-LT"/>
        </w:rPr>
        <w:t xml:space="preserve">Apibendrinant pirmuosius įmonės B veiklos metus galima teigti, kad įmonės veikla </w:t>
      </w:r>
      <w:r w:rsidR="009C46C7">
        <w:rPr>
          <w:szCs w:val="24"/>
          <w:lang w:val="lt-LT"/>
        </w:rPr>
        <w:t xml:space="preserve">po susikūrimo ir ES struktūrinių fondų finansinės paramos lėšų panaudojimo </w:t>
      </w:r>
      <w:r>
        <w:rPr>
          <w:szCs w:val="24"/>
          <w:lang w:val="lt-LT"/>
        </w:rPr>
        <w:t>sėkminga. Pastebimas visų keturių grupių finansinių rodik</w:t>
      </w:r>
      <w:r w:rsidR="007B4BC3">
        <w:rPr>
          <w:szCs w:val="24"/>
          <w:lang w:val="lt-LT"/>
        </w:rPr>
        <w:t>lių gerėjimas, tad</w:t>
      </w:r>
      <w:r>
        <w:rPr>
          <w:szCs w:val="24"/>
          <w:lang w:val="lt-LT"/>
        </w:rPr>
        <w:t xml:space="preserve"> </w:t>
      </w:r>
      <w:r w:rsidR="007B4BC3">
        <w:rPr>
          <w:szCs w:val="24"/>
          <w:lang w:val="lt-LT"/>
        </w:rPr>
        <w:t xml:space="preserve">galima daryti išvadą, kad </w:t>
      </w:r>
      <w:r>
        <w:rPr>
          <w:szCs w:val="24"/>
          <w:lang w:val="lt-LT"/>
        </w:rPr>
        <w:t>ES finansinė</w:t>
      </w:r>
      <w:r w:rsidR="007B4BC3">
        <w:rPr>
          <w:szCs w:val="24"/>
          <w:lang w:val="lt-LT"/>
        </w:rPr>
        <w:t>s paramos paskatintas</w:t>
      </w:r>
      <w:r w:rsidR="003069BD">
        <w:rPr>
          <w:szCs w:val="24"/>
          <w:lang w:val="lt-LT"/>
        </w:rPr>
        <w:t xml:space="preserve"> įmonės steigimas buvo teigiamas</w:t>
      </w:r>
      <w:r w:rsidR="007B4BC3">
        <w:rPr>
          <w:szCs w:val="24"/>
          <w:lang w:val="lt-LT"/>
        </w:rPr>
        <w:t>. Taip pat pažymima p</w:t>
      </w:r>
      <w:r>
        <w:rPr>
          <w:szCs w:val="24"/>
          <w:lang w:val="lt-LT"/>
        </w:rPr>
        <w:t>rod</w:t>
      </w:r>
      <w:r w:rsidR="003069BD">
        <w:rPr>
          <w:szCs w:val="24"/>
          <w:lang w:val="lt-LT"/>
        </w:rPr>
        <w:t xml:space="preserve">uktyvi veikla. </w:t>
      </w:r>
    </w:p>
    <w:p w:rsidR="00771EAB" w:rsidRPr="00ED3D25" w:rsidRDefault="00771EAB" w:rsidP="00771EAB">
      <w:pPr>
        <w:spacing w:after="0"/>
        <w:ind w:firstLine="851"/>
        <w:rPr>
          <w:szCs w:val="24"/>
          <w:lang w:val="lt-LT"/>
        </w:rPr>
      </w:pPr>
    </w:p>
    <w:p w:rsidR="00843D8F" w:rsidRPr="00ED3D25" w:rsidRDefault="00843D8F" w:rsidP="004665BD">
      <w:pPr>
        <w:spacing w:after="0"/>
        <w:jc w:val="center"/>
        <w:rPr>
          <w:i/>
          <w:lang w:val="lt-LT"/>
        </w:rPr>
      </w:pPr>
      <w:r w:rsidRPr="00ED3D25">
        <w:rPr>
          <w:i/>
          <w:lang w:val="lt-LT"/>
        </w:rPr>
        <w:t>Įmonė C</w:t>
      </w:r>
    </w:p>
    <w:p w:rsidR="00843D8F" w:rsidRPr="00ED3D25" w:rsidRDefault="00843D8F" w:rsidP="004665BD">
      <w:pPr>
        <w:spacing w:after="0"/>
        <w:ind w:firstLine="851"/>
        <w:rPr>
          <w:lang w:val="lt-LT"/>
        </w:rPr>
      </w:pPr>
      <w:r w:rsidRPr="00ED3D25">
        <w:rPr>
          <w:lang w:val="lt-LT"/>
        </w:rPr>
        <w:t>Įmonė C veikia</w:t>
      </w:r>
      <w:r w:rsidR="007B4BC3">
        <w:rPr>
          <w:lang w:val="lt-LT"/>
        </w:rPr>
        <w:t xml:space="preserve"> Panevėžio rajono</w:t>
      </w:r>
      <w:r w:rsidRPr="00ED3D25">
        <w:rPr>
          <w:lang w:val="lt-LT"/>
        </w:rPr>
        <w:t xml:space="preserve"> Paį</w:t>
      </w:r>
      <w:r w:rsidR="007B4BC3">
        <w:rPr>
          <w:lang w:val="lt-LT"/>
        </w:rPr>
        <w:t>strio kaime</w:t>
      </w:r>
      <w:r w:rsidR="00E84B8B">
        <w:rPr>
          <w:lang w:val="lt-LT"/>
        </w:rPr>
        <w:t xml:space="preserve"> ir buvo naujai įsteigta</w:t>
      </w:r>
      <w:r w:rsidRPr="00ED3D25">
        <w:rPr>
          <w:lang w:val="lt-LT"/>
        </w:rPr>
        <w:t xml:space="preserve"> prieš ES finansinės paramos prašymo teikimą. Įmonės pagrindine veikla buvo numatyta statybinių medienos dirbinių gamyba, t. y. tašių, gegnių, stogo atramų, kas naudojama statyboms, taip pat medinių padėklų gamyba. </w:t>
      </w:r>
    </w:p>
    <w:p w:rsidR="00843D8F" w:rsidRPr="00ED3D25" w:rsidRDefault="00843D8F" w:rsidP="00DE3433">
      <w:pPr>
        <w:spacing w:after="0"/>
        <w:ind w:firstLine="851"/>
        <w:rPr>
          <w:lang w:val="lt-LT"/>
        </w:rPr>
      </w:pPr>
      <w:r w:rsidRPr="00ED3D25">
        <w:rPr>
          <w:lang w:val="lt-LT"/>
        </w:rPr>
        <w:lastRenderedPageBreak/>
        <w:t xml:space="preserve">Įmonė C teikė paraišką dėl paramos gavimo kurti naują verslą, o prašoma paramos suma siekė 690 560 </w:t>
      </w:r>
      <w:r w:rsidR="00A40E6E">
        <w:rPr>
          <w:lang w:val="lt-LT"/>
        </w:rPr>
        <w:t>Lt.</w:t>
      </w:r>
      <w:r w:rsidRPr="00ED3D25">
        <w:rPr>
          <w:lang w:val="lt-LT"/>
        </w:rPr>
        <w:t xml:space="preserve"> Lėšas numatyta panaudoti senų pastatų rekonstrukcijai, įsigyti reikiamos įrangos – pjovimo staklių, juostinio gaterio ir medienos džiovyklą</w:t>
      </w:r>
      <w:r w:rsidR="003069BD">
        <w:rPr>
          <w:lang w:val="lt-LT"/>
        </w:rPr>
        <w:t>.</w:t>
      </w:r>
      <w:r w:rsidRPr="00ED3D25">
        <w:rPr>
          <w:lang w:val="lt-LT"/>
        </w:rPr>
        <w:t xml:space="preserve"> Projektas buvo numatytas vykdyt</w:t>
      </w:r>
      <w:r w:rsidR="0029046B">
        <w:rPr>
          <w:lang w:val="lt-LT"/>
        </w:rPr>
        <w:t>i nuo 2011-12-31 iki 2013-01-31, šis laikotarpis paryškintas ir 16 lentelėje.</w:t>
      </w:r>
      <w:r w:rsidRPr="00ED3D25">
        <w:rPr>
          <w:lang w:val="lt-LT"/>
        </w:rPr>
        <w:t xml:space="preserve"> Iki paramos gavimo jau buvo įsigyti pastatai, miškovežis, išanalizuota rinka.</w:t>
      </w:r>
      <w:r w:rsidR="00FE004C">
        <w:rPr>
          <w:lang w:val="lt-LT"/>
        </w:rPr>
        <w:t xml:space="preserve"> </w:t>
      </w:r>
      <w:r w:rsidR="00DE3433">
        <w:rPr>
          <w:lang w:val="lt-LT"/>
        </w:rPr>
        <w:t>Toliau analizuojami įmonės 2011-2013 m. finansiniai rodikliai (žr. 9 priedą).</w:t>
      </w:r>
    </w:p>
    <w:p w:rsidR="00A65ADB" w:rsidRPr="00ED3D25" w:rsidRDefault="00E22853" w:rsidP="004665BD">
      <w:pPr>
        <w:spacing w:after="0"/>
        <w:jc w:val="right"/>
        <w:rPr>
          <w:b/>
          <w:bCs/>
          <w:szCs w:val="24"/>
          <w:lang w:val="lt-LT"/>
        </w:rPr>
      </w:pPr>
      <w:r w:rsidRPr="00ED3D25">
        <w:rPr>
          <w:b/>
          <w:bCs/>
          <w:szCs w:val="24"/>
          <w:lang w:val="lt-LT"/>
        </w:rPr>
        <w:t>16</w:t>
      </w:r>
      <w:r w:rsidR="00A65ADB" w:rsidRPr="00ED3D25">
        <w:rPr>
          <w:b/>
          <w:bCs/>
          <w:szCs w:val="24"/>
          <w:lang w:val="lt-LT"/>
        </w:rPr>
        <w:t xml:space="preserve"> lentelė</w:t>
      </w:r>
    </w:p>
    <w:p w:rsidR="00A65ADB" w:rsidRPr="00ED3D25" w:rsidRDefault="00A65ADB" w:rsidP="004665BD">
      <w:pPr>
        <w:spacing w:after="0" w:line="240" w:lineRule="auto"/>
        <w:jc w:val="center"/>
        <w:rPr>
          <w:b/>
          <w:bCs/>
          <w:sz w:val="22"/>
          <w:lang w:val="lt-LT"/>
        </w:rPr>
      </w:pPr>
      <w:r w:rsidRPr="00ED3D25">
        <w:rPr>
          <w:b/>
          <w:bCs/>
          <w:sz w:val="22"/>
          <w:lang w:val="lt-LT"/>
        </w:rPr>
        <w:t>Įmonės C</w:t>
      </w:r>
      <w:r w:rsidR="003E4F69" w:rsidRPr="00ED3D25">
        <w:rPr>
          <w:b/>
          <w:bCs/>
          <w:sz w:val="22"/>
          <w:lang w:val="lt-LT"/>
        </w:rPr>
        <w:t xml:space="preserve"> finansiniai rodikliai</w:t>
      </w:r>
    </w:p>
    <w:p w:rsidR="003E4F69" w:rsidRPr="00ED3D25" w:rsidRDefault="003E4F69" w:rsidP="004665BD">
      <w:pPr>
        <w:spacing w:after="0" w:line="240" w:lineRule="auto"/>
        <w:rPr>
          <w:sz w:val="22"/>
          <w:lang w:val="lt-LT"/>
        </w:rPr>
      </w:pPr>
    </w:p>
    <w:tbl>
      <w:tblPr>
        <w:tblStyle w:val="TableGrid"/>
        <w:tblW w:w="5000" w:type="pct"/>
        <w:jc w:val="center"/>
        <w:tblLook w:val="04A0" w:firstRow="1" w:lastRow="0" w:firstColumn="1" w:lastColumn="0" w:noHBand="0" w:noVBand="1"/>
      </w:tblPr>
      <w:tblGrid>
        <w:gridCol w:w="1383"/>
        <w:gridCol w:w="1528"/>
        <w:gridCol w:w="2020"/>
        <w:gridCol w:w="1478"/>
        <w:gridCol w:w="2060"/>
        <w:gridCol w:w="1386"/>
      </w:tblGrid>
      <w:tr w:rsidR="003E4F69" w:rsidRPr="00ED3D25" w:rsidTr="00EB7E62">
        <w:trPr>
          <w:jc w:val="center"/>
        </w:trPr>
        <w:tc>
          <w:tcPr>
            <w:tcW w:w="2502" w:type="pct"/>
            <w:gridSpan w:val="3"/>
          </w:tcPr>
          <w:p w:rsidR="003E4F69" w:rsidRPr="00ED3D25" w:rsidRDefault="003E4F69" w:rsidP="000A1340">
            <w:pPr>
              <w:spacing w:line="240" w:lineRule="auto"/>
              <w:jc w:val="right"/>
              <w:rPr>
                <w:b/>
                <w:bCs/>
                <w:lang w:val="lt-LT"/>
              </w:rPr>
            </w:pPr>
            <w:r w:rsidRPr="00ED3D25">
              <w:rPr>
                <w:b/>
                <w:bCs/>
                <w:lang w:val="lt-LT"/>
              </w:rPr>
              <w:t>Trumpalaikio turto likvidumo rodikliai</w:t>
            </w:r>
          </w:p>
        </w:tc>
        <w:tc>
          <w:tcPr>
            <w:tcW w:w="2498" w:type="pct"/>
            <w:gridSpan w:val="3"/>
          </w:tcPr>
          <w:p w:rsidR="003E4F69" w:rsidRPr="00ED3D25" w:rsidRDefault="003E4F69" w:rsidP="004665BD">
            <w:pPr>
              <w:spacing w:line="240" w:lineRule="auto"/>
              <w:jc w:val="center"/>
              <w:rPr>
                <w:b/>
                <w:bCs/>
                <w:lang w:val="lt-LT"/>
              </w:rPr>
            </w:pPr>
            <w:r w:rsidRPr="00ED3D25">
              <w:rPr>
                <w:b/>
                <w:bCs/>
                <w:lang w:val="lt-LT"/>
              </w:rPr>
              <w:t>Finansinio sverto rodikliai</w:t>
            </w:r>
          </w:p>
        </w:tc>
      </w:tr>
      <w:tr w:rsidR="00B308B6" w:rsidRPr="00ED3D25" w:rsidTr="00EB7E62">
        <w:trPr>
          <w:jc w:val="center"/>
        </w:trPr>
        <w:tc>
          <w:tcPr>
            <w:tcW w:w="702" w:type="pct"/>
            <w:tcBorders>
              <w:tl2br w:val="single" w:sz="4" w:space="0" w:color="auto"/>
            </w:tcBorders>
            <w:vAlign w:val="center"/>
          </w:tcPr>
          <w:p w:rsidR="000A1340" w:rsidRDefault="00B308B6" w:rsidP="00EB7E62">
            <w:pPr>
              <w:spacing w:line="240" w:lineRule="auto"/>
              <w:jc w:val="right"/>
              <w:rPr>
                <w:b/>
                <w:bCs/>
                <w:lang w:val="lt-LT"/>
              </w:rPr>
            </w:pPr>
            <w:r w:rsidRPr="00ED3D25">
              <w:rPr>
                <w:b/>
                <w:bCs/>
                <w:lang w:val="lt-LT"/>
              </w:rPr>
              <w:t>Rodiklis</w:t>
            </w:r>
          </w:p>
          <w:p w:rsidR="000A1340" w:rsidRPr="00ED3D25" w:rsidRDefault="000A1340" w:rsidP="000A1340">
            <w:pPr>
              <w:spacing w:line="240" w:lineRule="auto"/>
              <w:rPr>
                <w:b/>
                <w:bCs/>
                <w:lang w:val="lt-LT"/>
              </w:rPr>
            </w:pPr>
            <w:r>
              <w:rPr>
                <w:b/>
                <w:bCs/>
                <w:lang w:val="lt-LT"/>
              </w:rPr>
              <w:t>Metai</w:t>
            </w:r>
          </w:p>
        </w:tc>
        <w:tc>
          <w:tcPr>
            <w:tcW w:w="775" w:type="pct"/>
            <w:vAlign w:val="center"/>
          </w:tcPr>
          <w:p w:rsidR="00B308B6" w:rsidRPr="00ED3D25" w:rsidRDefault="00B308B6" w:rsidP="004665BD">
            <w:pPr>
              <w:spacing w:line="240" w:lineRule="auto"/>
              <w:jc w:val="center"/>
              <w:rPr>
                <w:b/>
                <w:bCs/>
                <w:lang w:val="lt-LT"/>
              </w:rPr>
            </w:pPr>
            <w:r w:rsidRPr="00ED3D25">
              <w:rPr>
                <w:b/>
                <w:bCs/>
                <w:lang w:val="lt-LT"/>
              </w:rPr>
              <w:t>Einamasis likvidumas</w:t>
            </w:r>
          </w:p>
        </w:tc>
        <w:tc>
          <w:tcPr>
            <w:tcW w:w="1024" w:type="pct"/>
            <w:vAlign w:val="center"/>
          </w:tcPr>
          <w:p w:rsidR="00B308B6" w:rsidRPr="00ED3D25" w:rsidRDefault="00B308B6" w:rsidP="004665BD">
            <w:pPr>
              <w:spacing w:line="240" w:lineRule="auto"/>
              <w:jc w:val="center"/>
              <w:rPr>
                <w:b/>
                <w:bCs/>
                <w:lang w:val="lt-LT"/>
              </w:rPr>
            </w:pPr>
            <w:r w:rsidRPr="00ED3D25">
              <w:rPr>
                <w:b/>
                <w:bCs/>
                <w:lang w:val="lt-LT"/>
              </w:rPr>
              <w:t>Absoliutus likvidumas</w:t>
            </w:r>
          </w:p>
        </w:tc>
        <w:tc>
          <w:tcPr>
            <w:tcW w:w="750" w:type="pct"/>
            <w:vAlign w:val="center"/>
          </w:tcPr>
          <w:p w:rsidR="00B308B6" w:rsidRPr="00ED3D25" w:rsidRDefault="00B308B6" w:rsidP="004665BD">
            <w:pPr>
              <w:spacing w:line="240" w:lineRule="auto"/>
              <w:jc w:val="center"/>
              <w:rPr>
                <w:b/>
                <w:bCs/>
                <w:lang w:val="lt-LT"/>
              </w:rPr>
            </w:pPr>
            <w:r w:rsidRPr="00ED3D25">
              <w:rPr>
                <w:rFonts w:asciiTheme="majorBidi" w:hAnsiTheme="majorBidi" w:cstheme="majorBidi"/>
                <w:b/>
                <w:bCs/>
                <w:lang w:val="lt-LT"/>
              </w:rPr>
              <w:t>Įsiskolinimo koeficientas</w:t>
            </w:r>
          </w:p>
        </w:tc>
        <w:tc>
          <w:tcPr>
            <w:tcW w:w="1045" w:type="pct"/>
            <w:vAlign w:val="center"/>
          </w:tcPr>
          <w:p w:rsidR="00B308B6" w:rsidRPr="00ED3D25" w:rsidRDefault="00B308B6" w:rsidP="004665BD">
            <w:pPr>
              <w:spacing w:line="240" w:lineRule="auto"/>
              <w:jc w:val="center"/>
              <w:rPr>
                <w:rFonts w:asciiTheme="majorBidi" w:hAnsiTheme="majorBidi" w:cstheme="majorBidi"/>
                <w:b/>
                <w:bCs/>
                <w:lang w:val="lt-LT"/>
              </w:rPr>
            </w:pPr>
            <w:r w:rsidRPr="00ED3D25">
              <w:rPr>
                <w:rFonts w:asciiTheme="majorBidi" w:hAnsiTheme="majorBidi" w:cstheme="majorBidi"/>
                <w:b/>
                <w:bCs/>
                <w:lang w:val="lt-LT"/>
              </w:rPr>
              <w:t>Įsipareigojimų ir NK santykis</w:t>
            </w:r>
          </w:p>
        </w:tc>
        <w:tc>
          <w:tcPr>
            <w:tcW w:w="704" w:type="pct"/>
            <w:vAlign w:val="center"/>
          </w:tcPr>
          <w:p w:rsidR="00B308B6" w:rsidRPr="00ED3D25" w:rsidRDefault="00B308B6" w:rsidP="004665BD">
            <w:pPr>
              <w:spacing w:line="240" w:lineRule="auto"/>
              <w:jc w:val="center"/>
              <w:rPr>
                <w:rFonts w:asciiTheme="majorBidi" w:hAnsiTheme="majorBidi" w:cstheme="majorBidi"/>
                <w:b/>
                <w:bCs/>
                <w:lang w:val="lt-LT"/>
              </w:rPr>
            </w:pPr>
            <w:r w:rsidRPr="00ED3D25">
              <w:rPr>
                <w:rFonts w:asciiTheme="majorBidi" w:hAnsiTheme="majorBidi" w:cstheme="majorBidi"/>
                <w:b/>
                <w:bCs/>
                <w:lang w:val="lt-LT"/>
              </w:rPr>
              <w:t>Turto ir NK santykis</w:t>
            </w:r>
          </w:p>
        </w:tc>
      </w:tr>
      <w:tr w:rsidR="00B308B6" w:rsidRPr="00ED3D25" w:rsidTr="0029046B">
        <w:trPr>
          <w:jc w:val="center"/>
        </w:trPr>
        <w:tc>
          <w:tcPr>
            <w:tcW w:w="702" w:type="pct"/>
          </w:tcPr>
          <w:p w:rsidR="00B308B6" w:rsidRPr="00ED3D25" w:rsidRDefault="00B308B6" w:rsidP="00EB7E62">
            <w:pPr>
              <w:spacing w:line="240" w:lineRule="auto"/>
              <w:jc w:val="left"/>
              <w:rPr>
                <w:b/>
                <w:bCs/>
                <w:lang w:val="lt-LT"/>
              </w:rPr>
            </w:pPr>
            <w:r w:rsidRPr="00ED3D25">
              <w:rPr>
                <w:b/>
                <w:bCs/>
                <w:lang w:val="lt-LT"/>
              </w:rPr>
              <w:t>2011 m.</w:t>
            </w:r>
          </w:p>
        </w:tc>
        <w:tc>
          <w:tcPr>
            <w:tcW w:w="775" w:type="pct"/>
            <w:tcBorders>
              <w:bottom w:val="single" w:sz="4" w:space="0" w:color="auto"/>
            </w:tcBorders>
          </w:tcPr>
          <w:p w:rsidR="00B308B6" w:rsidRPr="00ED3D25" w:rsidRDefault="00B308B6" w:rsidP="004665BD">
            <w:pPr>
              <w:spacing w:line="240" w:lineRule="auto"/>
              <w:jc w:val="center"/>
              <w:rPr>
                <w:lang w:val="lt-LT"/>
              </w:rPr>
            </w:pPr>
            <w:r w:rsidRPr="00ED3D25">
              <w:rPr>
                <w:lang w:val="lt-LT"/>
              </w:rPr>
              <w:t>0,687</w:t>
            </w:r>
          </w:p>
        </w:tc>
        <w:tc>
          <w:tcPr>
            <w:tcW w:w="1024" w:type="pct"/>
            <w:tcBorders>
              <w:bottom w:val="single" w:sz="4" w:space="0" w:color="auto"/>
            </w:tcBorders>
          </w:tcPr>
          <w:p w:rsidR="00B308B6" w:rsidRPr="00ED3D25" w:rsidRDefault="00B308B6" w:rsidP="004665BD">
            <w:pPr>
              <w:spacing w:line="240" w:lineRule="auto"/>
              <w:jc w:val="center"/>
              <w:rPr>
                <w:lang w:val="lt-LT"/>
              </w:rPr>
            </w:pPr>
            <w:r w:rsidRPr="00ED3D25">
              <w:rPr>
                <w:lang w:val="lt-LT"/>
              </w:rPr>
              <w:t>0,1828</w:t>
            </w:r>
          </w:p>
        </w:tc>
        <w:tc>
          <w:tcPr>
            <w:tcW w:w="750" w:type="pct"/>
            <w:tcBorders>
              <w:bottom w:val="single" w:sz="4" w:space="0" w:color="auto"/>
            </w:tcBorders>
          </w:tcPr>
          <w:p w:rsidR="00B308B6" w:rsidRPr="00ED3D25" w:rsidRDefault="00B308B6" w:rsidP="004665BD">
            <w:pPr>
              <w:spacing w:line="240" w:lineRule="auto"/>
              <w:jc w:val="center"/>
              <w:rPr>
                <w:lang w:val="lt-LT"/>
              </w:rPr>
            </w:pPr>
            <w:r w:rsidRPr="00ED3D25">
              <w:rPr>
                <w:lang w:val="lt-LT"/>
              </w:rPr>
              <w:t>0,9238</w:t>
            </w:r>
          </w:p>
        </w:tc>
        <w:tc>
          <w:tcPr>
            <w:tcW w:w="1045" w:type="pct"/>
            <w:tcBorders>
              <w:bottom w:val="single" w:sz="4" w:space="0" w:color="auto"/>
            </w:tcBorders>
          </w:tcPr>
          <w:p w:rsidR="00B308B6" w:rsidRPr="00ED3D25" w:rsidRDefault="00B308B6" w:rsidP="004665BD">
            <w:pPr>
              <w:spacing w:line="240" w:lineRule="auto"/>
              <w:jc w:val="center"/>
              <w:rPr>
                <w:lang w:val="lt-LT"/>
              </w:rPr>
            </w:pPr>
            <w:r w:rsidRPr="00ED3D25">
              <w:rPr>
                <w:lang w:val="lt-LT"/>
              </w:rPr>
              <w:t>12,1303</w:t>
            </w:r>
          </w:p>
        </w:tc>
        <w:tc>
          <w:tcPr>
            <w:tcW w:w="704" w:type="pct"/>
            <w:tcBorders>
              <w:bottom w:val="single" w:sz="4" w:space="0" w:color="auto"/>
            </w:tcBorders>
          </w:tcPr>
          <w:p w:rsidR="00B308B6" w:rsidRPr="00ED3D25" w:rsidRDefault="00B308B6" w:rsidP="004665BD">
            <w:pPr>
              <w:spacing w:line="240" w:lineRule="auto"/>
              <w:jc w:val="center"/>
              <w:rPr>
                <w:lang w:val="lt-LT"/>
              </w:rPr>
            </w:pPr>
            <w:r w:rsidRPr="00ED3D25">
              <w:rPr>
                <w:lang w:val="lt-LT"/>
              </w:rPr>
              <w:t>13,13</w:t>
            </w:r>
          </w:p>
        </w:tc>
      </w:tr>
      <w:tr w:rsidR="00B308B6" w:rsidRPr="00ED3D25" w:rsidTr="0029046B">
        <w:trPr>
          <w:jc w:val="center"/>
        </w:trPr>
        <w:tc>
          <w:tcPr>
            <w:tcW w:w="702" w:type="pct"/>
          </w:tcPr>
          <w:p w:rsidR="00B308B6" w:rsidRPr="00ED3D25" w:rsidRDefault="00B308B6" w:rsidP="00EB7E62">
            <w:pPr>
              <w:spacing w:line="240" w:lineRule="auto"/>
              <w:jc w:val="left"/>
              <w:rPr>
                <w:b/>
                <w:bCs/>
                <w:lang w:val="lt-LT"/>
              </w:rPr>
            </w:pPr>
            <w:r w:rsidRPr="00ED3D25">
              <w:rPr>
                <w:b/>
                <w:bCs/>
                <w:lang w:val="lt-LT"/>
              </w:rPr>
              <w:t>2012 m.</w:t>
            </w:r>
          </w:p>
        </w:tc>
        <w:tc>
          <w:tcPr>
            <w:tcW w:w="775" w:type="pct"/>
            <w:tcBorders>
              <w:top w:val="single" w:sz="4" w:space="0" w:color="auto"/>
              <w:bottom w:val="single" w:sz="4" w:space="0" w:color="auto"/>
            </w:tcBorders>
            <w:shd w:val="clear" w:color="auto" w:fill="BFBFBF" w:themeFill="background1" w:themeFillShade="BF"/>
          </w:tcPr>
          <w:p w:rsidR="00B308B6" w:rsidRPr="00ED3D25" w:rsidRDefault="00B308B6" w:rsidP="004665BD">
            <w:pPr>
              <w:spacing w:line="240" w:lineRule="auto"/>
              <w:jc w:val="center"/>
              <w:rPr>
                <w:lang w:val="lt-LT"/>
              </w:rPr>
            </w:pPr>
            <w:r w:rsidRPr="00ED3D25">
              <w:rPr>
                <w:lang w:val="lt-LT"/>
              </w:rPr>
              <w:t>1,7464</w:t>
            </w:r>
          </w:p>
        </w:tc>
        <w:tc>
          <w:tcPr>
            <w:tcW w:w="1024" w:type="pct"/>
            <w:tcBorders>
              <w:top w:val="single" w:sz="4" w:space="0" w:color="auto"/>
              <w:bottom w:val="single" w:sz="4" w:space="0" w:color="auto"/>
            </w:tcBorders>
            <w:shd w:val="clear" w:color="auto" w:fill="BFBFBF" w:themeFill="background1" w:themeFillShade="BF"/>
          </w:tcPr>
          <w:p w:rsidR="00B308B6" w:rsidRPr="00ED3D25" w:rsidRDefault="00B308B6" w:rsidP="004665BD">
            <w:pPr>
              <w:spacing w:line="240" w:lineRule="auto"/>
              <w:jc w:val="center"/>
              <w:rPr>
                <w:lang w:val="lt-LT"/>
              </w:rPr>
            </w:pPr>
            <w:r w:rsidRPr="00ED3D25">
              <w:rPr>
                <w:lang w:val="lt-LT"/>
              </w:rPr>
              <w:t>0,2732</w:t>
            </w:r>
          </w:p>
        </w:tc>
        <w:tc>
          <w:tcPr>
            <w:tcW w:w="750" w:type="pct"/>
            <w:tcBorders>
              <w:top w:val="single" w:sz="4" w:space="0" w:color="auto"/>
              <w:bottom w:val="single" w:sz="4" w:space="0" w:color="auto"/>
            </w:tcBorders>
            <w:shd w:val="clear" w:color="auto" w:fill="BFBFBF" w:themeFill="background1" w:themeFillShade="BF"/>
          </w:tcPr>
          <w:p w:rsidR="00B308B6" w:rsidRPr="00ED3D25" w:rsidRDefault="00B308B6" w:rsidP="004665BD">
            <w:pPr>
              <w:spacing w:line="240" w:lineRule="auto"/>
              <w:jc w:val="center"/>
              <w:rPr>
                <w:lang w:val="lt-LT"/>
              </w:rPr>
            </w:pPr>
            <w:r w:rsidRPr="00ED3D25">
              <w:rPr>
                <w:lang w:val="lt-LT"/>
              </w:rPr>
              <w:t>0,4708</w:t>
            </w:r>
          </w:p>
        </w:tc>
        <w:tc>
          <w:tcPr>
            <w:tcW w:w="1045" w:type="pct"/>
            <w:tcBorders>
              <w:top w:val="single" w:sz="4" w:space="0" w:color="auto"/>
              <w:bottom w:val="single" w:sz="4" w:space="0" w:color="auto"/>
            </w:tcBorders>
            <w:shd w:val="clear" w:color="auto" w:fill="BFBFBF" w:themeFill="background1" w:themeFillShade="BF"/>
          </w:tcPr>
          <w:p w:rsidR="00B308B6" w:rsidRPr="00ED3D25" w:rsidRDefault="00B308B6" w:rsidP="004665BD">
            <w:pPr>
              <w:spacing w:line="240" w:lineRule="auto"/>
              <w:jc w:val="center"/>
              <w:rPr>
                <w:lang w:val="lt-LT"/>
              </w:rPr>
            </w:pPr>
            <w:r w:rsidRPr="00ED3D25">
              <w:rPr>
                <w:lang w:val="lt-LT"/>
              </w:rPr>
              <w:t>0,8896</w:t>
            </w:r>
          </w:p>
        </w:tc>
        <w:tc>
          <w:tcPr>
            <w:tcW w:w="704" w:type="pct"/>
            <w:tcBorders>
              <w:top w:val="single" w:sz="4" w:space="0" w:color="auto"/>
              <w:bottom w:val="single" w:sz="4" w:space="0" w:color="auto"/>
            </w:tcBorders>
            <w:shd w:val="clear" w:color="auto" w:fill="BFBFBF" w:themeFill="background1" w:themeFillShade="BF"/>
          </w:tcPr>
          <w:p w:rsidR="00B308B6" w:rsidRPr="00ED3D25" w:rsidRDefault="00B308B6" w:rsidP="004665BD">
            <w:pPr>
              <w:spacing w:line="240" w:lineRule="auto"/>
              <w:jc w:val="center"/>
              <w:rPr>
                <w:lang w:val="lt-LT"/>
              </w:rPr>
            </w:pPr>
            <w:r w:rsidRPr="00ED3D25">
              <w:rPr>
                <w:lang w:val="lt-LT"/>
              </w:rPr>
              <w:t>1,8896</w:t>
            </w:r>
          </w:p>
        </w:tc>
      </w:tr>
      <w:tr w:rsidR="00B308B6" w:rsidRPr="00ED3D25" w:rsidTr="0029046B">
        <w:trPr>
          <w:jc w:val="center"/>
        </w:trPr>
        <w:tc>
          <w:tcPr>
            <w:tcW w:w="702" w:type="pct"/>
          </w:tcPr>
          <w:p w:rsidR="00B308B6" w:rsidRPr="00ED3D25" w:rsidRDefault="00B308B6" w:rsidP="00EB7E62">
            <w:pPr>
              <w:spacing w:line="240" w:lineRule="auto"/>
              <w:jc w:val="left"/>
              <w:rPr>
                <w:b/>
                <w:bCs/>
                <w:lang w:val="lt-LT"/>
              </w:rPr>
            </w:pPr>
            <w:r w:rsidRPr="00ED3D25">
              <w:rPr>
                <w:b/>
                <w:bCs/>
                <w:lang w:val="lt-LT"/>
              </w:rPr>
              <w:t>2013 m.</w:t>
            </w:r>
          </w:p>
        </w:tc>
        <w:tc>
          <w:tcPr>
            <w:tcW w:w="775" w:type="pct"/>
            <w:tcBorders>
              <w:top w:val="single" w:sz="4" w:space="0" w:color="auto"/>
            </w:tcBorders>
          </w:tcPr>
          <w:p w:rsidR="00B308B6" w:rsidRPr="00ED3D25" w:rsidRDefault="00B308B6" w:rsidP="004665BD">
            <w:pPr>
              <w:spacing w:line="240" w:lineRule="auto"/>
              <w:jc w:val="center"/>
              <w:rPr>
                <w:lang w:val="lt-LT"/>
              </w:rPr>
            </w:pPr>
            <w:r w:rsidRPr="00ED3D25">
              <w:rPr>
                <w:lang w:val="lt-LT"/>
              </w:rPr>
              <w:t>0,6394</w:t>
            </w:r>
          </w:p>
        </w:tc>
        <w:tc>
          <w:tcPr>
            <w:tcW w:w="1024" w:type="pct"/>
            <w:tcBorders>
              <w:top w:val="single" w:sz="4" w:space="0" w:color="auto"/>
            </w:tcBorders>
          </w:tcPr>
          <w:p w:rsidR="00B308B6" w:rsidRPr="00ED3D25" w:rsidRDefault="00B308B6" w:rsidP="004665BD">
            <w:pPr>
              <w:spacing w:line="240" w:lineRule="auto"/>
              <w:jc w:val="center"/>
              <w:rPr>
                <w:lang w:val="lt-LT"/>
              </w:rPr>
            </w:pPr>
            <w:r w:rsidRPr="00ED3D25">
              <w:rPr>
                <w:lang w:val="lt-LT"/>
              </w:rPr>
              <w:t>0,0722</w:t>
            </w:r>
          </w:p>
        </w:tc>
        <w:tc>
          <w:tcPr>
            <w:tcW w:w="750" w:type="pct"/>
            <w:tcBorders>
              <w:top w:val="single" w:sz="4" w:space="0" w:color="auto"/>
            </w:tcBorders>
          </w:tcPr>
          <w:p w:rsidR="00B308B6" w:rsidRPr="00ED3D25" w:rsidRDefault="00B308B6" w:rsidP="004665BD">
            <w:pPr>
              <w:spacing w:line="240" w:lineRule="auto"/>
              <w:jc w:val="center"/>
              <w:rPr>
                <w:lang w:val="lt-LT"/>
              </w:rPr>
            </w:pPr>
            <w:r w:rsidRPr="00ED3D25">
              <w:rPr>
                <w:lang w:val="lt-LT"/>
              </w:rPr>
              <w:t>0,3245</w:t>
            </w:r>
          </w:p>
        </w:tc>
        <w:tc>
          <w:tcPr>
            <w:tcW w:w="1045" w:type="pct"/>
            <w:tcBorders>
              <w:top w:val="single" w:sz="4" w:space="0" w:color="auto"/>
            </w:tcBorders>
          </w:tcPr>
          <w:p w:rsidR="00B308B6" w:rsidRPr="00ED3D25" w:rsidRDefault="00B308B6" w:rsidP="004665BD">
            <w:pPr>
              <w:spacing w:line="240" w:lineRule="auto"/>
              <w:jc w:val="center"/>
              <w:rPr>
                <w:lang w:val="lt-LT"/>
              </w:rPr>
            </w:pPr>
            <w:r w:rsidRPr="00ED3D25">
              <w:rPr>
                <w:lang w:val="lt-LT"/>
              </w:rPr>
              <w:t>1,9529</w:t>
            </w:r>
          </w:p>
        </w:tc>
        <w:tc>
          <w:tcPr>
            <w:tcW w:w="704" w:type="pct"/>
            <w:tcBorders>
              <w:top w:val="single" w:sz="4" w:space="0" w:color="auto"/>
            </w:tcBorders>
          </w:tcPr>
          <w:p w:rsidR="00B308B6" w:rsidRPr="00ED3D25" w:rsidRDefault="00B308B6" w:rsidP="004665BD">
            <w:pPr>
              <w:spacing w:line="240" w:lineRule="auto"/>
              <w:jc w:val="center"/>
              <w:rPr>
                <w:lang w:val="lt-LT"/>
              </w:rPr>
            </w:pPr>
            <w:r w:rsidRPr="00ED3D25">
              <w:rPr>
                <w:lang w:val="lt-LT"/>
              </w:rPr>
              <w:t>6,0174</w:t>
            </w:r>
          </w:p>
        </w:tc>
      </w:tr>
    </w:tbl>
    <w:p w:rsidR="00A65ADB" w:rsidRPr="00ED3D25" w:rsidRDefault="00A65ADB" w:rsidP="0029046B">
      <w:pPr>
        <w:tabs>
          <w:tab w:val="left" w:pos="8456"/>
        </w:tabs>
        <w:spacing w:after="0" w:line="240" w:lineRule="auto"/>
        <w:rPr>
          <w:sz w:val="20"/>
          <w:szCs w:val="20"/>
          <w:lang w:val="lt-LT"/>
        </w:rPr>
      </w:pPr>
      <w:r w:rsidRPr="00ED3D25">
        <w:rPr>
          <w:sz w:val="20"/>
          <w:szCs w:val="20"/>
          <w:lang w:val="lt-LT"/>
        </w:rPr>
        <w:t>Pastaba: lentelė sudaryta autorės</w:t>
      </w:r>
      <w:r w:rsidR="004955A5" w:rsidRPr="00ED3D25">
        <w:rPr>
          <w:sz w:val="20"/>
          <w:szCs w:val="20"/>
          <w:lang w:val="lt-LT"/>
        </w:rPr>
        <w:t>, remiantis įmonės C 2011-2013</w:t>
      </w:r>
      <w:r w:rsidRPr="00ED3D25">
        <w:rPr>
          <w:sz w:val="20"/>
          <w:szCs w:val="20"/>
          <w:lang w:val="lt-LT"/>
        </w:rPr>
        <w:t xml:space="preserve"> m. </w:t>
      </w:r>
      <w:r w:rsidR="0029046B">
        <w:rPr>
          <w:sz w:val="20"/>
          <w:szCs w:val="20"/>
          <w:lang w:val="lt-LT"/>
        </w:rPr>
        <w:t xml:space="preserve">balanso finansiniais duomenimis, taip pat </w:t>
      </w:r>
      <w:r w:rsidR="0029046B" w:rsidRPr="00B36302">
        <w:rPr>
          <w:sz w:val="20"/>
          <w:szCs w:val="20"/>
          <w:lang w:val="lt-LT"/>
        </w:rPr>
        <w:t xml:space="preserve"> </w:t>
      </w:r>
      <w:r w:rsidR="0029046B">
        <w:rPr>
          <w:sz w:val="20"/>
          <w:szCs w:val="20"/>
          <w:lang w:val="lt-LT"/>
        </w:rPr>
        <w:t>paryškintas laikotarpis, kada įmonė gavo paramą.</w:t>
      </w:r>
    </w:p>
    <w:p w:rsidR="00A062F1" w:rsidRPr="0029046B" w:rsidRDefault="00A062F1" w:rsidP="004665BD">
      <w:pPr>
        <w:spacing w:after="0" w:line="240" w:lineRule="auto"/>
        <w:rPr>
          <w:sz w:val="14"/>
          <w:szCs w:val="14"/>
          <w:lang w:val="lt-LT"/>
        </w:rPr>
      </w:pPr>
    </w:p>
    <w:p w:rsidR="00A062F1" w:rsidRPr="00ED3D25" w:rsidRDefault="00A062F1" w:rsidP="006E654B">
      <w:pPr>
        <w:spacing w:after="0"/>
        <w:ind w:firstLine="851"/>
        <w:rPr>
          <w:szCs w:val="24"/>
          <w:lang w:val="lt-LT"/>
        </w:rPr>
      </w:pPr>
      <w:r w:rsidRPr="00ED3D25">
        <w:rPr>
          <w:szCs w:val="24"/>
          <w:lang w:val="lt-LT"/>
        </w:rPr>
        <w:t xml:space="preserve">Toliau </w:t>
      </w:r>
      <w:r w:rsidR="00777277" w:rsidRPr="00ED3D25">
        <w:rPr>
          <w:szCs w:val="24"/>
          <w:lang w:val="lt-LT"/>
        </w:rPr>
        <w:t>analizuojami kitos</w:t>
      </w:r>
      <w:r w:rsidRPr="00ED3D25">
        <w:rPr>
          <w:szCs w:val="24"/>
          <w:lang w:val="lt-LT"/>
        </w:rPr>
        <w:t xml:space="preserve"> įmonė</w:t>
      </w:r>
      <w:r w:rsidR="00777277" w:rsidRPr="00ED3D25">
        <w:rPr>
          <w:szCs w:val="24"/>
          <w:lang w:val="lt-LT"/>
        </w:rPr>
        <w:t>s</w:t>
      </w:r>
      <w:r w:rsidR="004A5728">
        <w:rPr>
          <w:szCs w:val="24"/>
          <w:lang w:val="lt-LT"/>
        </w:rPr>
        <w:t xml:space="preserve"> C finansiniai rodikliai (žr. 16</w:t>
      </w:r>
      <w:r w:rsidR="006F3D74">
        <w:rPr>
          <w:szCs w:val="24"/>
          <w:lang w:val="lt-LT"/>
        </w:rPr>
        <w:t xml:space="preserve"> lentelę) ir</w:t>
      </w:r>
      <w:r w:rsidR="00317BFE" w:rsidRPr="00ED3D25">
        <w:rPr>
          <w:szCs w:val="24"/>
          <w:lang w:val="lt-LT"/>
        </w:rPr>
        <w:t xml:space="preserve"> ką jie parodo</w:t>
      </w:r>
      <w:r w:rsidRPr="00ED3D25">
        <w:rPr>
          <w:szCs w:val="24"/>
          <w:lang w:val="lt-LT"/>
        </w:rPr>
        <w:t xml:space="preserve"> apie įmonę.</w:t>
      </w:r>
      <w:r w:rsidR="001F2943" w:rsidRPr="00ED3D25">
        <w:rPr>
          <w:szCs w:val="24"/>
          <w:lang w:val="lt-LT"/>
        </w:rPr>
        <w:t xml:space="preserve"> Einamojo likvidumo rodiklis </w:t>
      </w:r>
      <w:r w:rsidR="00317BFE" w:rsidRPr="00ED3D25">
        <w:rPr>
          <w:szCs w:val="24"/>
          <w:lang w:val="lt-LT"/>
        </w:rPr>
        <w:t>didžiausias</w:t>
      </w:r>
      <w:r w:rsidR="00BB4AEA">
        <w:rPr>
          <w:szCs w:val="24"/>
          <w:lang w:val="lt-LT"/>
        </w:rPr>
        <w:t xml:space="preserve"> per ES finansinės paramos įsisavinimo metus, t. y.</w:t>
      </w:r>
      <w:r w:rsidR="00317BFE" w:rsidRPr="00ED3D25">
        <w:rPr>
          <w:szCs w:val="24"/>
          <w:lang w:val="lt-LT"/>
        </w:rPr>
        <w:t xml:space="preserve"> 2012 m., tad</w:t>
      </w:r>
      <w:r w:rsidR="001F2943" w:rsidRPr="00ED3D25">
        <w:rPr>
          <w:szCs w:val="24"/>
          <w:lang w:val="lt-LT"/>
        </w:rPr>
        <w:t xml:space="preserve"> jei reikėtų, imonė C galėtų trumpalaikiu turtu 1,74 karto paden</w:t>
      </w:r>
      <w:r w:rsidR="00B8138A" w:rsidRPr="00ED3D25">
        <w:rPr>
          <w:szCs w:val="24"/>
          <w:lang w:val="lt-LT"/>
        </w:rPr>
        <w:t>gti trumpalaikius įsiskolinimus.</w:t>
      </w:r>
      <w:r w:rsidR="001F2943" w:rsidRPr="00ED3D25">
        <w:rPr>
          <w:szCs w:val="24"/>
          <w:lang w:val="lt-LT"/>
        </w:rPr>
        <w:t xml:space="preserve"> Vis dėlto, sekančiais metais</w:t>
      </w:r>
      <w:r w:rsidR="006035F1">
        <w:rPr>
          <w:szCs w:val="24"/>
          <w:lang w:val="lt-LT"/>
        </w:rPr>
        <w:t xml:space="preserve"> </w:t>
      </w:r>
      <w:r w:rsidR="001F2943" w:rsidRPr="00ED3D25">
        <w:rPr>
          <w:szCs w:val="24"/>
          <w:lang w:val="lt-LT"/>
        </w:rPr>
        <w:t>rodiklis stip</w:t>
      </w:r>
      <w:r w:rsidR="00B8138A" w:rsidRPr="00ED3D25">
        <w:rPr>
          <w:szCs w:val="24"/>
          <w:lang w:val="lt-LT"/>
        </w:rPr>
        <w:t>riai pakinta ir tesiekia 0,64. T</w:t>
      </w:r>
      <w:r w:rsidR="006035F1">
        <w:rPr>
          <w:szCs w:val="24"/>
          <w:lang w:val="lt-LT"/>
        </w:rPr>
        <w:t xml:space="preserve">ai </w:t>
      </w:r>
      <w:r w:rsidR="001F2943" w:rsidRPr="00ED3D25">
        <w:rPr>
          <w:szCs w:val="24"/>
          <w:lang w:val="lt-LT"/>
        </w:rPr>
        <w:t xml:space="preserve">lėmė, kad išaugo trumpalaikiai </w:t>
      </w:r>
      <w:r w:rsidR="006035F1">
        <w:rPr>
          <w:szCs w:val="24"/>
          <w:lang w:val="lt-LT"/>
        </w:rPr>
        <w:t>įsipareigojimai iki 238 tūks. Lt.</w:t>
      </w:r>
      <w:r w:rsidR="001F2943" w:rsidRPr="00ED3D25">
        <w:rPr>
          <w:szCs w:val="24"/>
          <w:lang w:val="lt-LT"/>
        </w:rPr>
        <w:t>, kai pr</w:t>
      </w:r>
      <w:r w:rsidR="00B8138A" w:rsidRPr="00ED3D25">
        <w:rPr>
          <w:szCs w:val="24"/>
          <w:lang w:val="lt-LT"/>
        </w:rPr>
        <w:t xml:space="preserve">ieš tai buvo apie 97 tūkst. </w:t>
      </w:r>
      <w:r w:rsidR="00A40E6E">
        <w:rPr>
          <w:szCs w:val="24"/>
          <w:lang w:val="lt-LT"/>
        </w:rPr>
        <w:t>Lt.</w:t>
      </w:r>
      <w:r w:rsidR="001B0EC7" w:rsidRPr="00ED3D25">
        <w:rPr>
          <w:szCs w:val="24"/>
          <w:lang w:val="lt-LT"/>
        </w:rPr>
        <w:t xml:space="preserve"> Didžiausią įsipareigojimų pakitimą lėmė gauti išankstiniai apmokėjimai, tad neefektyvią įmonės atsiskaitymų su pirkėjais politiką reikėtų pakeisti, nes dideli reikalavimai gali atstumti klientus dėl nelanksčios ir neprisitaikančios politikos. Vertinant absoliutųjį likvidumą matoma, kad prireikus įmonė nesugebėtų greitai atsiskaityti su tiekėjais </w:t>
      </w:r>
      <w:r w:rsidR="00B8138A" w:rsidRPr="00ED3D25">
        <w:rPr>
          <w:szCs w:val="24"/>
          <w:lang w:val="lt-LT"/>
        </w:rPr>
        <w:t>ir įvykdyti kitus trumpalaikius</w:t>
      </w:r>
      <w:r w:rsidR="003E4F69" w:rsidRPr="00ED3D25">
        <w:rPr>
          <w:szCs w:val="24"/>
          <w:lang w:val="lt-LT"/>
        </w:rPr>
        <w:t xml:space="preserve"> įsipareigojimus, </w:t>
      </w:r>
      <w:r w:rsidR="001B0EC7" w:rsidRPr="00ED3D25">
        <w:rPr>
          <w:szCs w:val="24"/>
          <w:lang w:val="lt-LT"/>
        </w:rPr>
        <w:t xml:space="preserve">nes nelaiko </w:t>
      </w:r>
      <w:r w:rsidR="003E4F69" w:rsidRPr="00ED3D25">
        <w:rPr>
          <w:szCs w:val="24"/>
          <w:lang w:val="lt-LT"/>
        </w:rPr>
        <w:t xml:space="preserve">tam </w:t>
      </w:r>
      <w:r w:rsidR="001B0EC7" w:rsidRPr="00ED3D25">
        <w:rPr>
          <w:szCs w:val="24"/>
          <w:lang w:val="lt-LT"/>
        </w:rPr>
        <w:t>pakankamų pinigų aktyvų</w:t>
      </w:r>
      <w:r w:rsidR="00B8138A" w:rsidRPr="00ED3D25">
        <w:rPr>
          <w:szCs w:val="24"/>
          <w:lang w:val="lt-LT"/>
        </w:rPr>
        <w:t>, tiriamo laikotarpio rodiklio vidurkis lygus 0,176</w:t>
      </w:r>
      <w:r w:rsidR="00797884">
        <w:rPr>
          <w:szCs w:val="24"/>
          <w:lang w:val="lt-LT"/>
        </w:rPr>
        <w:t>, o po ES finansinės paramos panaudojimo rodiklis</w:t>
      </w:r>
      <w:r w:rsidR="005F36DD">
        <w:rPr>
          <w:szCs w:val="24"/>
          <w:lang w:val="lt-LT"/>
        </w:rPr>
        <w:t xml:space="preserve"> dar</w:t>
      </w:r>
      <w:r w:rsidR="00797884">
        <w:rPr>
          <w:szCs w:val="24"/>
          <w:lang w:val="lt-LT"/>
        </w:rPr>
        <w:t xml:space="preserve"> nukrito</w:t>
      </w:r>
      <w:r w:rsidR="001B0EC7" w:rsidRPr="00ED3D25">
        <w:rPr>
          <w:szCs w:val="24"/>
          <w:lang w:val="lt-LT"/>
        </w:rPr>
        <w:t xml:space="preserve">. </w:t>
      </w:r>
    </w:p>
    <w:p w:rsidR="006274B1" w:rsidRPr="00ED3D25" w:rsidRDefault="00D139D1" w:rsidP="000A1340">
      <w:pPr>
        <w:spacing w:after="0"/>
        <w:ind w:firstLine="851"/>
        <w:rPr>
          <w:szCs w:val="24"/>
          <w:lang w:val="lt-LT"/>
        </w:rPr>
      </w:pPr>
      <w:r w:rsidRPr="00ED3D25">
        <w:rPr>
          <w:szCs w:val="24"/>
          <w:lang w:val="lt-LT"/>
        </w:rPr>
        <w:t>Įmonės C įsiskolinimo koeficientas paro</w:t>
      </w:r>
      <w:r w:rsidR="007A67C7" w:rsidRPr="00ED3D25">
        <w:rPr>
          <w:szCs w:val="24"/>
          <w:lang w:val="lt-LT"/>
        </w:rPr>
        <w:t>do, kad 2011 m. 0,92 turto</w:t>
      </w:r>
      <w:r w:rsidRPr="00ED3D25">
        <w:rPr>
          <w:szCs w:val="24"/>
          <w:lang w:val="lt-LT"/>
        </w:rPr>
        <w:t xml:space="preserve"> yra finansuota skolintomis lėšomis, o sekančiais metais</w:t>
      </w:r>
      <w:r w:rsidR="007A67C7" w:rsidRPr="00ED3D25">
        <w:rPr>
          <w:szCs w:val="24"/>
          <w:lang w:val="lt-LT"/>
        </w:rPr>
        <w:t xml:space="preserve"> santykis sumažėja iki 0,47 ir 0,32</w:t>
      </w:r>
      <w:r w:rsidRPr="00ED3D25">
        <w:rPr>
          <w:szCs w:val="24"/>
          <w:lang w:val="lt-LT"/>
        </w:rPr>
        <w:t>.</w:t>
      </w:r>
      <w:r w:rsidR="00F37F0A" w:rsidRPr="00ED3D25">
        <w:rPr>
          <w:szCs w:val="24"/>
          <w:lang w:val="lt-LT"/>
        </w:rPr>
        <w:t xml:space="preserve"> </w:t>
      </w:r>
      <w:r w:rsidR="005F36DD">
        <w:rPr>
          <w:szCs w:val="24"/>
          <w:lang w:val="lt-LT"/>
        </w:rPr>
        <w:t xml:space="preserve">Tai </w:t>
      </w:r>
      <w:r w:rsidR="001A3747" w:rsidRPr="00ED3D25">
        <w:rPr>
          <w:szCs w:val="24"/>
          <w:lang w:val="lt-LT"/>
        </w:rPr>
        <w:t xml:space="preserve">rodo, kad įmonė darosi vis patrauklesnė kreditoriams, nes yra </w:t>
      </w:r>
      <w:r w:rsidR="0094644B">
        <w:rPr>
          <w:szCs w:val="24"/>
          <w:lang w:val="lt-LT"/>
        </w:rPr>
        <w:t>pajėgi</w:t>
      </w:r>
      <w:r w:rsidR="001A3747" w:rsidRPr="00ED3D25">
        <w:rPr>
          <w:szCs w:val="24"/>
          <w:lang w:val="lt-LT"/>
        </w:rPr>
        <w:t xml:space="preserve"> padengti įsiskolinimus.</w:t>
      </w:r>
      <w:r w:rsidR="0094644B">
        <w:rPr>
          <w:szCs w:val="24"/>
          <w:lang w:val="lt-LT"/>
        </w:rPr>
        <w:t xml:space="preserve"> Tad ES finansinė parama įmonei buvo labai naudinga.</w:t>
      </w:r>
      <w:r w:rsidR="001A3747" w:rsidRPr="00ED3D25">
        <w:rPr>
          <w:szCs w:val="24"/>
          <w:lang w:val="lt-LT"/>
        </w:rPr>
        <w:t xml:space="preserve"> </w:t>
      </w:r>
      <w:r w:rsidR="00F37F0A" w:rsidRPr="00ED3D25">
        <w:rPr>
          <w:szCs w:val="24"/>
          <w:lang w:val="lt-LT"/>
        </w:rPr>
        <w:t xml:space="preserve">Įsipareigojimų ir NK santykis 2012 m. tebuvo 0,88, lyginant su sekančių metų 1,95. Tokius didelius pasikeitimus lėmė perpus išaugusios mokėtinos sumos ir įsipareigojimai, kai nuosavas kapitas išaugo vos 4 trūkst. </w:t>
      </w:r>
      <w:r w:rsidR="005F36DD">
        <w:rPr>
          <w:szCs w:val="24"/>
          <w:lang w:val="lt-LT"/>
        </w:rPr>
        <w:t>litų</w:t>
      </w:r>
      <w:r w:rsidR="00A40E6E">
        <w:rPr>
          <w:szCs w:val="24"/>
          <w:lang w:val="lt-LT"/>
        </w:rPr>
        <w:t>.</w:t>
      </w:r>
      <w:r w:rsidR="00F37F0A" w:rsidRPr="00ED3D25">
        <w:rPr>
          <w:szCs w:val="24"/>
          <w:lang w:val="lt-LT"/>
        </w:rPr>
        <w:t xml:space="preserve"> Tai reiškia, kad įsipareigojimai auga greičiau nei nuosavas kapitalas, tad rekėtų atkreipti dėmesį į </w:t>
      </w:r>
      <w:r w:rsidR="006274B1" w:rsidRPr="00ED3D25">
        <w:rPr>
          <w:szCs w:val="24"/>
          <w:lang w:val="lt-LT"/>
        </w:rPr>
        <w:t>įsipareigojimų</w:t>
      </w:r>
      <w:r w:rsidR="00F37F0A" w:rsidRPr="00ED3D25">
        <w:rPr>
          <w:szCs w:val="24"/>
          <w:lang w:val="lt-LT"/>
        </w:rPr>
        <w:t xml:space="preserve"> valdymo politiką.</w:t>
      </w:r>
      <w:r w:rsidR="006274B1" w:rsidRPr="00ED3D25">
        <w:rPr>
          <w:szCs w:val="24"/>
          <w:lang w:val="lt-LT"/>
        </w:rPr>
        <w:t xml:space="preserve"> Ir paskutinis iš finansio sverto rodiklių – </w:t>
      </w:r>
      <w:r w:rsidR="00513DB9" w:rsidRPr="00ED3D25">
        <w:rPr>
          <w:szCs w:val="24"/>
          <w:lang w:val="lt-LT"/>
        </w:rPr>
        <w:t>turto ir NK santykis, kuris 2011</w:t>
      </w:r>
      <w:r w:rsidR="006274B1" w:rsidRPr="00ED3D25">
        <w:rPr>
          <w:szCs w:val="24"/>
          <w:lang w:val="lt-LT"/>
        </w:rPr>
        <w:t xml:space="preserve"> m. rodo, kad</w:t>
      </w:r>
      <w:r w:rsidR="00513DB9" w:rsidRPr="00ED3D25">
        <w:rPr>
          <w:szCs w:val="24"/>
          <w:lang w:val="lt-LT"/>
        </w:rPr>
        <w:t xml:space="preserve"> turtas viršija </w:t>
      </w:r>
      <w:r w:rsidR="000A1340">
        <w:rPr>
          <w:szCs w:val="24"/>
          <w:lang w:val="lt-LT"/>
        </w:rPr>
        <w:lastRenderedPageBreak/>
        <w:t>nuosavą kapitalą</w:t>
      </w:r>
      <w:r w:rsidR="00513DB9" w:rsidRPr="00ED3D25">
        <w:rPr>
          <w:szCs w:val="24"/>
          <w:lang w:val="lt-LT"/>
        </w:rPr>
        <w:t xml:space="preserve"> 13 kartų</w:t>
      </w:r>
      <w:r w:rsidR="006274B1" w:rsidRPr="00ED3D25">
        <w:rPr>
          <w:szCs w:val="24"/>
          <w:lang w:val="lt-LT"/>
        </w:rPr>
        <w:t xml:space="preserve">, o 2013 m. net 6 kartus. Tai </w:t>
      </w:r>
      <w:r w:rsidR="000A1340">
        <w:rPr>
          <w:szCs w:val="24"/>
          <w:lang w:val="lt-LT"/>
        </w:rPr>
        <w:t>reiškia</w:t>
      </w:r>
      <w:r w:rsidR="006274B1" w:rsidRPr="00ED3D25">
        <w:rPr>
          <w:szCs w:val="24"/>
          <w:lang w:val="lt-LT"/>
        </w:rPr>
        <w:t>, kad įmonė C puikiai investuo</w:t>
      </w:r>
      <w:r w:rsidR="00513DB9" w:rsidRPr="00ED3D25">
        <w:rPr>
          <w:szCs w:val="24"/>
          <w:lang w:val="lt-LT"/>
        </w:rPr>
        <w:t>ja į nuosavą kapitalą, kuris</w:t>
      </w:r>
      <w:r w:rsidR="006274B1" w:rsidRPr="00ED3D25">
        <w:rPr>
          <w:szCs w:val="24"/>
          <w:lang w:val="lt-LT"/>
        </w:rPr>
        <w:t xml:space="preserve"> uždirba</w:t>
      </w:r>
      <w:r w:rsidR="00E22853" w:rsidRPr="00ED3D25">
        <w:rPr>
          <w:szCs w:val="24"/>
          <w:lang w:val="lt-LT"/>
        </w:rPr>
        <w:t xml:space="preserve"> paskutiniais metais</w:t>
      </w:r>
      <w:r w:rsidR="00513DB9" w:rsidRPr="00ED3D25">
        <w:rPr>
          <w:szCs w:val="24"/>
          <w:lang w:val="lt-LT"/>
        </w:rPr>
        <w:t xml:space="preserve"> net</w:t>
      </w:r>
      <w:r w:rsidR="006274B1" w:rsidRPr="00ED3D25">
        <w:rPr>
          <w:szCs w:val="24"/>
          <w:lang w:val="lt-LT"/>
        </w:rPr>
        <w:t xml:space="preserve"> 6 kartus daugiau turto.</w:t>
      </w:r>
    </w:p>
    <w:p w:rsidR="00A062F1" w:rsidRPr="00ED3D25" w:rsidRDefault="00E22853" w:rsidP="004665BD">
      <w:pPr>
        <w:spacing w:after="0"/>
        <w:jc w:val="right"/>
        <w:rPr>
          <w:b/>
          <w:bCs/>
          <w:szCs w:val="24"/>
          <w:lang w:val="lt-LT"/>
        </w:rPr>
      </w:pPr>
      <w:r w:rsidRPr="00ED3D25">
        <w:rPr>
          <w:b/>
          <w:bCs/>
          <w:szCs w:val="24"/>
          <w:lang w:val="lt-LT"/>
        </w:rPr>
        <w:t>17</w:t>
      </w:r>
      <w:r w:rsidR="00A65ADB" w:rsidRPr="00ED3D25">
        <w:rPr>
          <w:b/>
          <w:bCs/>
          <w:szCs w:val="24"/>
          <w:lang w:val="lt-LT"/>
        </w:rPr>
        <w:t xml:space="preserve"> lentelė</w:t>
      </w:r>
    </w:p>
    <w:p w:rsidR="00A65ADB" w:rsidRPr="00ED3D25" w:rsidRDefault="00A65ADB" w:rsidP="004665BD">
      <w:pPr>
        <w:spacing w:after="0" w:line="240" w:lineRule="auto"/>
        <w:jc w:val="center"/>
        <w:rPr>
          <w:b/>
          <w:bCs/>
          <w:sz w:val="22"/>
          <w:lang w:val="lt-LT"/>
        </w:rPr>
      </w:pPr>
      <w:r w:rsidRPr="00ED3D25">
        <w:rPr>
          <w:b/>
          <w:bCs/>
          <w:sz w:val="22"/>
          <w:lang w:val="lt-LT"/>
        </w:rPr>
        <w:t>Įmonės C pelningumo rodikliai</w:t>
      </w:r>
    </w:p>
    <w:p w:rsidR="00A65ADB" w:rsidRPr="00ED3D25" w:rsidRDefault="00A65ADB" w:rsidP="004665BD">
      <w:pPr>
        <w:spacing w:after="0" w:line="240" w:lineRule="auto"/>
        <w:jc w:val="center"/>
        <w:rPr>
          <w:b/>
          <w:bCs/>
          <w:sz w:val="22"/>
          <w:lang w:val="lt-LT"/>
        </w:rPr>
      </w:pPr>
    </w:p>
    <w:tbl>
      <w:tblPr>
        <w:tblStyle w:val="TableGrid"/>
        <w:tblW w:w="5000" w:type="pct"/>
        <w:jc w:val="center"/>
        <w:tblLook w:val="04A0" w:firstRow="1" w:lastRow="0" w:firstColumn="1" w:lastColumn="0" w:noHBand="0" w:noVBand="1"/>
      </w:tblPr>
      <w:tblGrid>
        <w:gridCol w:w="1527"/>
        <w:gridCol w:w="2014"/>
        <w:gridCol w:w="1829"/>
        <w:gridCol w:w="1480"/>
        <w:gridCol w:w="1204"/>
        <w:gridCol w:w="1801"/>
      </w:tblGrid>
      <w:tr w:rsidR="00A65ADB" w:rsidRPr="00ED3D25" w:rsidTr="00EB7E62">
        <w:trPr>
          <w:jc w:val="center"/>
        </w:trPr>
        <w:tc>
          <w:tcPr>
            <w:tcW w:w="774" w:type="pct"/>
            <w:tcBorders>
              <w:tl2br w:val="single" w:sz="4" w:space="0" w:color="auto"/>
            </w:tcBorders>
            <w:vAlign w:val="center"/>
          </w:tcPr>
          <w:p w:rsidR="00A65ADB" w:rsidRDefault="00A65ADB" w:rsidP="00EB7E62">
            <w:pPr>
              <w:spacing w:line="240" w:lineRule="auto"/>
              <w:jc w:val="right"/>
              <w:rPr>
                <w:b/>
                <w:bCs/>
                <w:lang w:val="lt-LT"/>
              </w:rPr>
            </w:pPr>
            <w:r w:rsidRPr="00ED3D25">
              <w:rPr>
                <w:b/>
                <w:bCs/>
                <w:lang w:val="lt-LT"/>
              </w:rPr>
              <w:t>Rodiklis</w:t>
            </w:r>
          </w:p>
          <w:p w:rsidR="00EB7E62" w:rsidRPr="00ED3D25" w:rsidRDefault="00EB7E62" w:rsidP="00EB7E62">
            <w:pPr>
              <w:spacing w:line="240" w:lineRule="auto"/>
              <w:rPr>
                <w:b/>
                <w:bCs/>
                <w:lang w:val="lt-LT"/>
              </w:rPr>
            </w:pPr>
            <w:r>
              <w:rPr>
                <w:b/>
                <w:bCs/>
                <w:lang w:val="lt-LT"/>
              </w:rPr>
              <w:t>Metai</w:t>
            </w:r>
          </w:p>
        </w:tc>
        <w:tc>
          <w:tcPr>
            <w:tcW w:w="1022" w:type="pct"/>
            <w:vAlign w:val="center"/>
          </w:tcPr>
          <w:p w:rsidR="00A65ADB" w:rsidRPr="00ED3D25" w:rsidRDefault="00A65ADB" w:rsidP="004665BD">
            <w:pPr>
              <w:spacing w:line="240" w:lineRule="auto"/>
              <w:jc w:val="center"/>
              <w:rPr>
                <w:b/>
                <w:bCs/>
                <w:lang w:val="lt-LT"/>
              </w:rPr>
            </w:pPr>
            <w:r w:rsidRPr="00ED3D25">
              <w:rPr>
                <w:rFonts w:asciiTheme="majorBidi" w:hAnsiTheme="majorBidi" w:cstheme="majorBidi"/>
                <w:b/>
                <w:bCs/>
                <w:lang w:val="lt-LT"/>
              </w:rPr>
              <w:t>Grynasis pelningumas</w:t>
            </w:r>
          </w:p>
        </w:tc>
        <w:tc>
          <w:tcPr>
            <w:tcW w:w="928" w:type="pct"/>
            <w:vAlign w:val="center"/>
          </w:tcPr>
          <w:p w:rsidR="00A65ADB" w:rsidRPr="00ED3D25" w:rsidRDefault="00A65ADB" w:rsidP="004665BD">
            <w:pPr>
              <w:spacing w:line="240" w:lineRule="auto"/>
              <w:jc w:val="center"/>
              <w:rPr>
                <w:rFonts w:asciiTheme="majorBidi" w:hAnsiTheme="majorBidi" w:cstheme="majorBidi"/>
                <w:b/>
                <w:bCs/>
                <w:lang w:val="lt-LT"/>
              </w:rPr>
            </w:pPr>
            <w:r w:rsidRPr="00ED3D25">
              <w:rPr>
                <w:rFonts w:asciiTheme="majorBidi" w:hAnsiTheme="majorBidi" w:cstheme="majorBidi"/>
                <w:b/>
                <w:bCs/>
                <w:lang w:val="lt-LT"/>
              </w:rPr>
              <w:t>Bendrasis pelningumas</w:t>
            </w:r>
          </w:p>
        </w:tc>
        <w:tc>
          <w:tcPr>
            <w:tcW w:w="751" w:type="pct"/>
            <w:vAlign w:val="center"/>
          </w:tcPr>
          <w:p w:rsidR="00A65ADB" w:rsidRPr="00ED3D25" w:rsidRDefault="00A65ADB" w:rsidP="004665BD">
            <w:pPr>
              <w:spacing w:line="240" w:lineRule="auto"/>
              <w:jc w:val="center"/>
              <w:rPr>
                <w:b/>
                <w:bCs/>
                <w:lang w:val="lt-LT"/>
              </w:rPr>
            </w:pPr>
            <w:r w:rsidRPr="00ED3D25">
              <w:rPr>
                <w:rFonts w:asciiTheme="majorBidi" w:hAnsiTheme="majorBidi" w:cstheme="majorBidi"/>
                <w:b/>
                <w:bCs/>
                <w:lang w:val="lt-LT"/>
              </w:rPr>
              <w:t>EBIT</w:t>
            </w:r>
          </w:p>
        </w:tc>
        <w:tc>
          <w:tcPr>
            <w:tcW w:w="611" w:type="pct"/>
            <w:vAlign w:val="center"/>
          </w:tcPr>
          <w:p w:rsidR="00A65ADB" w:rsidRPr="00ED3D25" w:rsidRDefault="00A65ADB" w:rsidP="004665BD">
            <w:pPr>
              <w:spacing w:line="240" w:lineRule="auto"/>
              <w:jc w:val="center"/>
              <w:rPr>
                <w:b/>
                <w:bCs/>
                <w:lang w:val="lt-LT"/>
              </w:rPr>
            </w:pPr>
            <w:r w:rsidRPr="00ED3D25">
              <w:rPr>
                <w:rFonts w:asciiTheme="majorBidi" w:hAnsiTheme="majorBidi" w:cstheme="majorBidi"/>
                <w:b/>
                <w:bCs/>
                <w:lang w:val="lt-LT"/>
              </w:rPr>
              <w:t>ROA</w:t>
            </w:r>
          </w:p>
        </w:tc>
        <w:tc>
          <w:tcPr>
            <w:tcW w:w="914" w:type="pct"/>
            <w:vAlign w:val="center"/>
          </w:tcPr>
          <w:p w:rsidR="00A65ADB" w:rsidRPr="00ED3D25" w:rsidRDefault="00A65ADB" w:rsidP="004665BD">
            <w:pPr>
              <w:spacing w:line="240" w:lineRule="auto"/>
              <w:jc w:val="center"/>
              <w:rPr>
                <w:rFonts w:asciiTheme="majorBidi" w:hAnsiTheme="majorBidi" w:cstheme="majorBidi"/>
                <w:b/>
                <w:bCs/>
                <w:lang w:val="lt-LT"/>
              </w:rPr>
            </w:pPr>
            <w:r w:rsidRPr="00ED3D25">
              <w:rPr>
                <w:rFonts w:asciiTheme="majorBidi" w:hAnsiTheme="majorBidi" w:cstheme="majorBidi"/>
                <w:b/>
                <w:bCs/>
                <w:lang w:val="lt-LT"/>
              </w:rPr>
              <w:t>ROE</w:t>
            </w:r>
          </w:p>
        </w:tc>
      </w:tr>
      <w:tr w:rsidR="00A65ADB" w:rsidRPr="00ED3D25" w:rsidTr="0029046B">
        <w:trPr>
          <w:jc w:val="center"/>
        </w:trPr>
        <w:tc>
          <w:tcPr>
            <w:tcW w:w="774" w:type="pct"/>
          </w:tcPr>
          <w:p w:rsidR="00A65ADB" w:rsidRPr="00ED3D25" w:rsidRDefault="00A65ADB" w:rsidP="00EB7E62">
            <w:pPr>
              <w:spacing w:line="240" w:lineRule="auto"/>
              <w:jc w:val="left"/>
              <w:rPr>
                <w:b/>
                <w:bCs/>
                <w:lang w:val="lt-LT"/>
              </w:rPr>
            </w:pPr>
            <w:r w:rsidRPr="00ED3D25">
              <w:rPr>
                <w:b/>
                <w:bCs/>
                <w:lang w:val="lt-LT"/>
              </w:rPr>
              <w:t>2011 m.</w:t>
            </w:r>
          </w:p>
        </w:tc>
        <w:tc>
          <w:tcPr>
            <w:tcW w:w="1022" w:type="pct"/>
            <w:tcBorders>
              <w:bottom w:val="single" w:sz="4" w:space="0" w:color="auto"/>
            </w:tcBorders>
          </w:tcPr>
          <w:p w:rsidR="00A65ADB" w:rsidRPr="00ED3D25" w:rsidRDefault="00513DB9" w:rsidP="004665BD">
            <w:pPr>
              <w:spacing w:line="240" w:lineRule="auto"/>
              <w:jc w:val="center"/>
              <w:rPr>
                <w:lang w:val="lt-LT"/>
              </w:rPr>
            </w:pPr>
            <w:r w:rsidRPr="00ED3D25">
              <w:rPr>
                <w:lang w:val="lt-LT"/>
              </w:rPr>
              <w:t>0,0813</w:t>
            </w:r>
          </w:p>
        </w:tc>
        <w:tc>
          <w:tcPr>
            <w:tcW w:w="928" w:type="pct"/>
            <w:tcBorders>
              <w:bottom w:val="single" w:sz="4" w:space="0" w:color="auto"/>
            </w:tcBorders>
          </w:tcPr>
          <w:p w:rsidR="00A65ADB" w:rsidRPr="00ED3D25" w:rsidRDefault="00513DB9" w:rsidP="004665BD">
            <w:pPr>
              <w:spacing w:line="240" w:lineRule="auto"/>
              <w:jc w:val="center"/>
              <w:rPr>
                <w:lang w:val="lt-LT"/>
              </w:rPr>
            </w:pPr>
            <w:r w:rsidRPr="00ED3D25">
              <w:rPr>
                <w:lang w:val="lt-LT"/>
              </w:rPr>
              <w:t>0,164</w:t>
            </w:r>
          </w:p>
        </w:tc>
        <w:tc>
          <w:tcPr>
            <w:tcW w:w="751" w:type="pct"/>
            <w:tcBorders>
              <w:bottom w:val="single" w:sz="4" w:space="0" w:color="auto"/>
            </w:tcBorders>
          </w:tcPr>
          <w:p w:rsidR="00A65ADB" w:rsidRPr="00ED3D25" w:rsidRDefault="00513DB9" w:rsidP="004665BD">
            <w:pPr>
              <w:spacing w:line="240" w:lineRule="auto"/>
              <w:jc w:val="center"/>
              <w:rPr>
                <w:lang w:val="lt-LT"/>
              </w:rPr>
            </w:pPr>
            <w:r w:rsidRPr="00ED3D25">
              <w:rPr>
                <w:lang w:val="lt-LT"/>
              </w:rPr>
              <w:t>0,0813</w:t>
            </w:r>
          </w:p>
        </w:tc>
        <w:tc>
          <w:tcPr>
            <w:tcW w:w="611" w:type="pct"/>
            <w:tcBorders>
              <w:bottom w:val="single" w:sz="4" w:space="0" w:color="auto"/>
            </w:tcBorders>
          </w:tcPr>
          <w:p w:rsidR="00A65ADB" w:rsidRPr="00ED3D25" w:rsidRDefault="00513DB9" w:rsidP="004665BD">
            <w:pPr>
              <w:spacing w:line="240" w:lineRule="auto"/>
              <w:jc w:val="center"/>
              <w:rPr>
                <w:lang w:val="lt-LT"/>
              </w:rPr>
            </w:pPr>
            <w:r w:rsidRPr="00ED3D25">
              <w:rPr>
                <w:lang w:val="lt-LT"/>
              </w:rPr>
              <w:t>0,046</w:t>
            </w:r>
          </w:p>
        </w:tc>
        <w:tc>
          <w:tcPr>
            <w:tcW w:w="914" w:type="pct"/>
            <w:tcBorders>
              <w:bottom w:val="single" w:sz="4" w:space="0" w:color="auto"/>
            </w:tcBorders>
          </w:tcPr>
          <w:p w:rsidR="00A65ADB" w:rsidRPr="00ED3D25" w:rsidRDefault="00513DB9" w:rsidP="004665BD">
            <w:pPr>
              <w:spacing w:line="240" w:lineRule="auto"/>
              <w:jc w:val="center"/>
              <w:rPr>
                <w:lang w:val="lt-LT"/>
              </w:rPr>
            </w:pPr>
            <w:r w:rsidRPr="00ED3D25">
              <w:rPr>
                <w:lang w:val="lt-LT"/>
              </w:rPr>
              <w:t>0,6037</w:t>
            </w:r>
          </w:p>
        </w:tc>
      </w:tr>
      <w:tr w:rsidR="00A65ADB" w:rsidRPr="00ED3D25" w:rsidTr="0029046B">
        <w:trPr>
          <w:jc w:val="center"/>
        </w:trPr>
        <w:tc>
          <w:tcPr>
            <w:tcW w:w="774" w:type="pct"/>
          </w:tcPr>
          <w:p w:rsidR="00A65ADB" w:rsidRPr="00ED3D25" w:rsidRDefault="00A65ADB" w:rsidP="00EB7E62">
            <w:pPr>
              <w:spacing w:line="240" w:lineRule="auto"/>
              <w:jc w:val="left"/>
              <w:rPr>
                <w:b/>
                <w:bCs/>
                <w:lang w:val="lt-LT"/>
              </w:rPr>
            </w:pPr>
            <w:r w:rsidRPr="00ED3D25">
              <w:rPr>
                <w:b/>
                <w:bCs/>
                <w:lang w:val="lt-LT"/>
              </w:rPr>
              <w:t>2012 m.</w:t>
            </w:r>
          </w:p>
        </w:tc>
        <w:tc>
          <w:tcPr>
            <w:tcW w:w="1022" w:type="pct"/>
            <w:tcBorders>
              <w:top w:val="single" w:sz="4" w:space="0" w:color="auto"/>
              <w:bottom w:val="single" w:sz="4" w:space="0" w:color="auto"/>
            </w:tcBorders>
            <w:shd w:val="clear" w:color="auto" w:fill="BFBFBF" w:themeFill="background1" w:themeFillShade="BF"/>
          </w:tcPr>
          <w:p w:rsidR="00A65ADB" w:rsidRPr="00ED3D25" w:rsidRDefault="008C2B6E" w:rsidP="004665BD">
            <w:pPr>
              <w:spacing w:line="240" w:lineRule="auto"/>
              <w:jc w:val="center"/>
              <w:rPr>
                <w:lang w:val="lt-LT"/>
              </w:rPr>
            </w:pPr>
            <w:r w:rsidRPr="00ED3D25">
              <w:rPr>
                <w:lang w:val="lt-LT"/>
              </w:rPr>
              <w:t>0,0696</w:t>
            </w:r>
          </w:p>
        </w:tc>
        <w:tc>
          <w:tcPr>
            <w:tcW w:w="928" w:type="pct"/>
            <w:tcBorders>
              <w:top w:val="single" w:sz="4" w:space="0" w:color="auto"/>
              <w:bottom w:val="single" w:sz="4" w:space="0" w:color="auto"/>
            </w:tcBorders>
            <w:shd w:val="clear" w:color="auto" w:fill="BFBFBF" w:themeFill="background1" w:themeFillShade="BF"/>
          </w:tcPr>
          <w:p w:rsidR="00A65ADB" w:rsidRPr="00ED3D25" w:rsidRDefault="008C2B6E" w:rsidP="004665BD">
            <w:pPr>
              <w:spacing w:line="240" w:lineRule="auto"/>
              <w:jc w:val="center"/>
              <w:rPr>
                <w:lang w:val="lt-LT"/>
              </w:rPr>
            </w:pPr>
            <w:r w:rsidRPr="00ED3D25">
              <w:rPr>
                <w:lang w:val="lt-LT"/>
              </w:rPr>
              <w:t>0,1256</w:t>
            </w:r>
          </w:p>
        </w:tc>
        <w:tc>
          <w:tcPr>
            <w:tcW w:w="751" w:type="pct"/>
            <w:tcBorders>
              <w:top w:val="single" w:sz="4" w:space="0" w:color="auto"/>
              <w:bottom w:val="single" w:sz="4" w:space="0" w:color="auto"/>
            </w:tcBorders>
            <w:shd w:val="clear" w:color="auto" w:fill="BFBFBF" w:themeFill="background1" w:themeFillShade="BF"/>
          </w:tcPr>
          <w:p w:rsidR="00A65ADB" w:rsidRPr="00ED3D25" w:rsidRDefault="008C2B6E" w:rsidP="004665BD">
            <w:pPr>
              <w:spacing w:line="240" w:lineRule="auto"/>
              <w:jc w:val="center"/>
              <w:rPr>
                <w:lang w:val="lt-LT"/>
              </w:rPr>
            </w:pPr>
            <w:r w:rsidRPr="00ED3D25">
              <w:rPr>
                <w:lang w:val="lt-LT"/>
              </w:rPr>
              <w:t>0,0821</w:t>
            </w:r>
          </w:p>
        </w:tc>
        <w:tc>
          <w:tcPr>
            <w:tcW w:w="611" w:type="pct"/>
            <w:tcBorders>
              <w:top w:val="single" w:sz="4" w:space="0" w:color="auto"/>
              <w:bottom w:val="single" w:sz="4" w:space="0" w:color="auto"/>
            </w:tcBorders>
            <w:shd w:val="clear" w:color="auto" w:fill="BFBFBF" w:themeFill="background1" w:themeFillShade="BF"/>
          </w:tcPr>
          <w:p w:rsidR="00A65ADB" w:rsidRPr="00ED3D25" w:rsidRDefault="00FA3C0D" w:rsidP="004665BD">
            <w:pPr>
              <w:spacing w:line="240" w:lineRule="auto"/>
              <w:jc w:val="center"/>
              <w:rPr>
                <w:lang w:val="lt-LT"/>
              </w:rPr>
            </w:pPr>
            <w:r w:rsidRPr="00ED3D25">
              <w:rPr>
                <w:lang w:val="lt-LT"/>
              </w:rPr>
              <w:t>0,1138</w:t>
            </w:r>
          </w:p>
        </w:tc>
        <w:tc>
          <w:tcPr>
            <w:tcW w:w="914" w:type="pct"/>
            <w:tcBorders>
              <w:top w:val="single" w:sz="4" w:space="0" w:color="auto"/>
              <w:bottom w:val="single" w:sz="4" w:space="0" w:color="auto"/>
            </w:tcBorders>
            <w:shd w:val="clear" w:color="auto" w:fill="BFBFBF" w:themeFill="background1" w:themeFillShade="BF"/>
          </w:tcPr>
          <w:p w:rsidR="00A65ADB" w:rsidRPr="00ED3D25" w:rsidRDefault="00FA3C0D" w:rsidP="004665BD">
            <w:pPr>
              <w:spacing w:line="240" w:lineRule="auto"/>
              <w:jc w:val="center"/>
              <w:rPr>
                <w:lang w:val="lt-LT"/>
              </w:rPr>
            </w:pPr>
            <w:r w:rsidRPr="00ED3D25">
              <w:rPr>
                <w:lang w:val="lt-LT"/>
              </w:rPr>
              <w:t>0,3479</w:t>
            </w:r>
          </w:p>
        </w:tc>
      </w:tr>
      <w:tr w:rsidR="00A65ADB" w:rsidRPr="00ED3D25" w:rsidTr="0029046B">
        <w:trPr>
          <w:jc w:val="center"/>
        </w:trPr>
        <w:tc>
          <w:tcPr>
            <w:tcW w:w="774" w:type="pct"/>
          </w:tcPr>
          <w:p w:rsidR="00A65ADB" w:rsidRPr="00ED3D25" w:rsidRDefault="00A65ADB" w:rsidP="00EB7E62">
            <w:pPr>
              <w:spacing w:line="240" w:lineRule="auto"/>
              <w:jc w:val="left"/>
              <w:rPr>
                <w:b/>
                <w:bCs/>
                <w:lang w:val="lt-LT"/>
              </w:rPr>
            </w:pPr>
            <w:r w:rsidRPr="00ED3D25">
              <w:rPr>
                <w:b/>
                <w:bCs/>
                <w:lang w:val="lt-LT"/>
              </w:rPr>
              <w:t>2013 m.</w:t>
            </w:r>
          </w:p>
        </w:tc>
        <w:tc>
          <w:tcPr>
            <w:tcW w:w="1022" w:type="pct"/>
            <w:tcBorders>
              <w:top w:val="single" w:sz="4" w:space="0" w:color="auto"/>
            </w:tcBorders>
          </w:tcPr>
          <w:p w:rsidR="00A65ADB" w:rsidRPr="00ED3D25" w:rsidRDefault="008C2B6E" w:rsidP="004665BD">
            <w:pPr>
              <w:spacing w:line="240" w:lineRule="auto"/>
              <w:jc w:val="center"/>
              <w:rPr>
                <w:lang w:val="lt-LT"/>
              </w:rPr>
            </w:pPr>
            <w:r w:rsidRPr="00ED3D25">
              <w:rPr>
                <w:lang w:val="lt-LT"/>
              </w:rPr>
              <w:t>0,0061</w:t>
            </w:r>
          </w:p>
        </w:tc>
        <w:tc>
          <w:tcPr>
            <w:tcW w:w="928" w:type="pct"/>
            <w:tcBorders>
              <w:top w:val="single" w:sz="4" w:space="0" w:color="auto"/>
            </w:tcBorders>
          </w:tcPr>
          <w:p w:rsidR="00A65ADB" w:rsidRPr="00ED3D25" w:rsidRDefault="008C2B6E" w:rsidP="004665BD">
            <w:pPr>
              <w:spacing w:line="240" w:lineRule="auto"/>
              <w:jc w:val="center"/>
              <w:rPr>
                <w:lang w:val="lt-LT"/>
              </w:rPr>
            </w:pPr>
            <w:r w:rsidRPr="00ED3D25">
              <w:rPr>
                <w:lang w:val="lt-LT"/>
              </w:rPr>
              <w:t>0,0233</w:t>
            </w:r>
          </w:p>
        </w:tc>
        <w:tc>
          <w:tcPr>
            <w:tcW w:w="751" w:type="pct"/>
            <w:tcBorders>
              <w:top w:val="single" w:sz="4" w:space="0" w:color="auto"/>
            </w:tcBorders>
          </w:tcPr>
          <w:p w:rsidR="00A65ADB" w:rsidRPr="00ED3D25" w:rsidRDefault="008C2B6E" w:rsidP="004665BD">
            <w:pPr>
              <w:spacing w:line="240" w:lineRule="auto"/>
              <w:jc w:val="center"/>
              <w:rPr>
                <w:lang w:val="lt-LT"/>
              </w:rPr>
            </w:pPr>
            <w:r w:rsidRPr="00ED3D25">
              <w:rPr>
                <w:lang w:val="lt-LT"/>
              </w:rPr>
              <w:t>0,0075</w:t>
            </w:r>
          </w:p>
        </w:tc>
        <w:tc>
          <w:tcPr>
            <w:tcW w:w="611" w:type="pct"/>
            <w:tcBorders>
              <w:top w:val="single" w:sz="4" w:space="0" w:color="auto"/>
            </w:tcBorders>
          </w:tcPr>
          <w:p w:rsidR="00A65ADB" w:rsidRPr="00ED3D25" w:rsidRDefault="008C2B6E" w:rsidP="004665BD">
            <w:pPr>
              <w:spacing w:line="240" w:lineRule="auto"/>
              <w:jc w:val="center"/>
              <w:rPr>
                <w:lang w:val="lt-LT"/>
              </w:rPr>
            </w:pPr>
            <w:r w:rsidRPr="00ED3D25">
              <w:rPr>
                <w:lang w:val="lt-LT"/>
              </w:rPr>
              <w:t>0,0048</w:t>
            </w:r>
          </w:p>
        </w:tc>
        <w:tc>
          <w:tcPr>
            <w:tcW w:w="914" w:type="pct"/>
            <w:tcBorders>
              <w:top w:val="single" w:sz="4" w:space="0" w:color="auto"/>
            </w:tcBorders>
          </w:tcPr>
          <w:p w:rsidR="00A65ADB" w:rsidRPr="00ED3D25" w:rsidRDefault="008C2B6E" w:rsidP="004665BD">
            <w:pPr>
              <w:spacing w:line="240" w:lineRule="auto"/>
              <w:jc w:val="center"/>
              <w:rPr>
                <w:lang w:val="lt-LT"/>
              </w:rPr>
            </w:pPr>
            <w:r w:rsidRPr="00ED3D25">
              <w:rPr>
                <w:lang w:val="lt-LT"/>
              </w:rPr>
              <w:t>0,0192</w:t>
            </w:r>
          </w:p>
        </w:tc>
      </w:tr>
    </w:tbl>
    <w:p w:rsidR="00A65ADB" w:rsidRPr="00ED3D25" w:rsidRDefault="00A65ADB" w:rsidP="0029046B">
      <w:pPr>
        <w:tabs>
          <w:tab w:val="left" w:pos="8456"/>
        </w:tabs>
        <w:spacing w:after="0" w:line="240" w:lineRule="auto"/>
        <w:rPr>
          <w:sz w:val="20"/>
          <w:szCs w:val="20"/>
          <w:lang w:val="lt-LT"/>
        </w:rPr>
      </w:pPr>
      <w:r w:rsidRPr="00ED3D25">
        <w:rPr>
          <w:sz w:val="20"/>
          <w:szCs w:val="20"/>
          <w:lang w:val="lt-LT"/>
        </w:rPr>
        <w:t>Pastaba: lentelė sudaryta autorės</w:t>
      </w:r>
      <w:r w:rsidR="004955A5" w:rsidRPr="00ED3D25">
        <w:rPr>
          <w:sz w:val="20"/>
          <w:szCs w:val="20"/>
          <w:lang w:val="lt-LT"/>
        </w:rPr>
        <w:t>, remiantis įmonės C 2011-2013</w:t>
      </w:r>
      <w:r w:rsidRPr="00ED3D25">
        <w:rPr>
          <w:sz w:val="20"/>
          <w:szCs w:val="20"/>
          <w:lang w:val="lt-LT"/>
        </w:rPr>
        <w:t xml:space="preserve"> m. pelno (nuostolio) ata</w:t>
      </w:r>
      <w:r w:rsidR="0029046B">
        <w:rPr>
          <w:sz w:val="20"/>
          <w:szCs w:val="20"/>
          <w:lang w:val="lt-LT"/>
        </w:rPr>
        <w:t xml:space="preserve">skaitos finansiniais duomenimis, taip pat </w:t>
      </w:r>
      <w:r w:rsidR="0029046B" w:rsidRPr="00B36302">
        <w:rPr>
          <w:sz w:val="20"/>
          <w:szCs w:val="20"/>
          <w:lang w:val="lt-LT"/>
        </w:rPr>
        <w:t xml:space="preserve"> </w:t>
      </w:r>
      <w:r w:rsidR="0029046B">
        <w:rPr>
          <w:sz w:val="20"/>
          <w:szCs w:val="20"/>
          <w:lang w:val="lt-LT"/>
        </w:rPr>
        <w:t>paryškintas laikotarpis, kada įmonė gavo paramą.</w:t>
      </w:r>
    </w:p>
    <w:p w:rsidR="00B1300C" w:rsidRPr="0029046B" w:rsidRDefault="00B1300C" w:rsidP="004665BD">
      <w:pPr>
        <w:spacing w:after="0" w:line="240" w:lineRule="auto"/>
        <w:rPr>
          <w:sz w:val="14"/>
          <w:szCs w:val="14"/>
          <w:lang w:val="lt-LT"/>
        </w:rPr>
      </w:pPr>
    </w:p>
    <w:p w:rsidR="00745C95" w:rsidRPr="00ED3D25" w:rsidRDefault="00B1300C" w:rsidP="00EB7E62">
      <w:pPr>
        <w:spacing w:after="0"/>
        <w:ind w:firstLine="851"/>
        <w:rPr>
          <w:szCs w:val="20"/>
          <w:lang w:val="lt-LT"/>
        </w:rPr>
      </w:pPr>
      <w:r w:rsidRPr="00ED3D25">
        <w:rPr>
          <w:szCs w:val="20"/>
          <w:lang w:val="lt-LT"/>
        </w:rPr>
        <w:t>Vertinant įmonė</w:t>
      </w:r>
      <w:r w:rsidR="004A5728">
        <w:rPr>
          <w:szCs w:val="20"/>
          <w:lang w:val="lt-LT"/>
        </w:rPr>
        <w:t>s C pelningumo rodiklius (žr. 17</w:t>
      </w:r>
      <w:r w:rsidRPr="00ED3D25">
        <w:rPr>
          <w:szCs w:val="20"/>
          <w:lang w:val="lt-LT"/>
        </w:rPr>
        <w:t xml:space="preserve"> lentelę) matyti, kad grynasis pelninguma</w:t>
      </w:r>
      <w:r w:rsidR="00B3359B" w:rsidRPr="00ED3D25">
        <w:rPr>
          <w:szCs w:val="20"/>
          <w:lang w:val="lt-LT"/>
        </w:rPr>
        <w:t>s yra labai žemas, pirmaisiais įmonės veiklos vykdymo metais tesiekiantis 0,08. Sekančiais metais</w:t>
      </w:r>
      <w:r w:rsidR="000A1340">
        <w:rPr>
          <w:szCs w:val="20"/>
          <w:lang w:val="lt-LT"/>
        </w:rPr>
        <w:t>, kai vykdytas ES finansinės paramos įsisavinimas,</w:t>
      </w:r>
      <w:r w:rsidR="00B3359B" w:rsidRPr="00ED3D25">
        <w:rPr>
          <w:szCs w:val="20"/>
          <w:lang w:val="lt-LT"/>
        </w:rPr>
        <w:t xml:space="preserve"> rodiklis dar labiau mažėjo, kol 2013 m. nesiekė net 1 proc.  Tokia reikšmė buvo gauta dėl labai žemo grynojo pelno – 4214 </w:t>
      </w:r>
      <w:r w:rsidR="00A40E6E">
        <w:rPr>
          <w:szCs w:val="20"/>
          <w:lang w:val="lt-LT"/>
        </w:rPr>
        <w:t>Lt.</w:t>
      </w:r>
      <w:r w:rsidR="00B3359B" w:rsidRPr="00ED3D25">
        <w:rPr>
          <w:szCs w:val="20"/>
          <w:lang w:val="lt-LT"/>
        </w:rPr>
        <w:t xml:space="preserve"> Tokį pelną lėmė aukšta pardavimų savikaina,</w:t>
      </w:r>
      <w:r w:rsidR="009B7F82">
        <w:rPr>
          <w:szCs w:val="20"/>
          <w:lang w:val="lt-LT"/>
        </w:rPr>
        <w:t xml:space="preserve"> siekianti daugiau nei 97 proc. visų </w:t>
      </w:r>
      <w:r w:rsidR="00B3359B" w:rsidRPr="00ED3D25">
        <w:rPr>
          <w:szCs w:val="20"/>
          <w:lang w:val="lt-LT"/>
        </w:rPr>
        <w:t xml:space="preserve">pardavimų pajamų dydžio. </w:t>
      </w:r>
      <w:r w:rsidR="00D96A70" w:rsidRPr="00ED3D25">
        <w:rPr>
          <w:szCs w:val="20"/>
          <w:lang w:val="lt-LT"/>
        </w:rPr>
        <w:t>Bendrasis pelningumo rodiklis yra beveik du kartus didesnis</w:t>
      </w:r>
      <w:r w:rsidR="009B7F82">
        <w:rPr>
          <w:szCs w:val="20"/>
          <w:lang w:val="lt-LT"/>
        </w:rPr>
        <w:t>, o 2012 m.</w:t>
      </w:r>
      <w:r w:rsidR="00D96A70" w:rsidRPr="00ED3D25">
        <w:rPr>
          <w:szCs w:val="20"/>
          <w:lang w:val="lt-LT"/>
        </w:rPr>
        <w:t xml:space="preserve"> </w:t>
      </w:r>
      <w:r w:rsidR="009B7F82">
        <w:rPr>
          <w:szCs w:val="20"/>
          <w:lang w:val="lt-LT"/>
        </w:rPr>
        <w:t>fiksuotas</w:t>
      </w:r>
      <w:r w:rsidR="00D96A70" w:rsidRPr="00ED3D25">
        <w:rPr>
          <w:szCs w:val="20"/>
          <w:lang w:val="lt-LT"/>
        </w:rPr>
        <w:t xml:space="preserve"> didžiausias bendrasis pelnas tirtu laikotarpiu – 76</w:t>
      </w:r>
      <w:r w:rsidR="00E543ED">
        <w:rPr>
          <w:szCs w:val="20"/>
          <w:lang w:val="lt-LT"/>
        </w:rPr>
        <w:t xml:space="preserve"> </w:t>
      </w:r>
      <w:r w:rsidR="00D96A70" w:rsidRPr="00ED3D25">
        <w:rPr>
          <w:szCs w:val="20"/>
          <w:lang w:val="lt-LT"/>
        </w:rPr>
        <w:t xml:space="preserve">155 </w:t>
      </w:r>
      <w:r w:rsidR="00A40E6E">
        <w:rPr>
          <w:szCs w:val="20"/>
          <w:lang w:val="lt-LT"/>
        </w:rPr>
        <w:t>Lt.</w:t>
      </w:r>
      <w:r w:rsidR="005C172B" w:rsidRPr="00ED3D25">
        <w:rPr>
          <w:szCs w:val="20"/>
          <w:lang w:val="lt-LT"/>
        </w:rPr>
        <w:t xml:space="preserve"> EBIT rodiklis visu laikotarpiu buvo aukštesnis nei minimali riba, tai reiškia, kad  2011-2012 m. įmonės pelnas būtų siekęs ne mažiau</w:t>
      </w:r>
      <w:r w:rsidR="00E543ED">
        <w:rPr>
          <w:szCs w:val="20"/>
          <w:lang w:val="lt-LT"/>
        </w:rPr>
        <w:t xml:space="preserve"> kaip</w:t>
      </w:r>
      <w:r w:rsidR="005C172B" w:rsidRPr="00ED3D25">
        <w:rPr>
          <w:szCs w:val="20"/>
          <w:lang w:val="lt-LT"/>
        </w:rPr>
        <w:t xml:space="preserve"> 8 proc.</w:t>
      </w:r>
      <w:r w:rsidR="00E543ED">
        <w:rPr>
          <w:szCs w:val="20"/>
          <w:lang w:val="lt-LT"/>
        </w:rPr>
        <w:t>, jei neturėtų finansinių skolų. T</w:t>
      </w:r>
      <w:r w:rsidR="005C172B" w:rsidRPr="00ED3D25">
        <w:rPr>
          <w:szCs w:val="20"/>
          <w:lang w:val="lt-LT"/>
        </w:rPr>
        <w:t xml:space="preserve">ik 2013 m. nukrito iki 0,7 proc., </w:t>
      </w:r>
      <w:r w:rsidR="009B7F82">
        <w:rPr>
          <w:szCs w:val="20"/>
          <w:lang w:val="lt-LT"/>
        </w:rPr>
        <w:t>tad ES finansinė parama nepadidino EBIT vertės</w:t>
      </w:r>
      <w:r w:rsidR="005C172B" w:rsidRPr="00ED3D25">
        <w:rPr>
          <w:szCs w:val="20"/>
          <w:lang w:val="lt-LT"/>
        </w:rPr>
        <w:t xml:space="preserve">. </w:t>
      </w:r>
      <w:r w:rsidR="00F11F16" w:rsidRPr="00ED3D25">
        <w:rPr>
          <w:szCs w:val="20"/>
          <w:lang w:val="lt-LT"/>
        </w:rPr>
        <w:t xml:space="preserve">ROA rodiklis parodo, kad 2012 m. turtas buvo panaudojamas labai efektyviai, nes </w:t>
      </w:r>
      <w:r w:rsidR="009B7F82">
        <w:rPr>
          <w:szCs w:val="20"/>
          <w:lang w:val="lt-LT"/>
        </w:rPr>
        <w:t>rodiklio reikšmė lygi apie 0,11, kai tuo metu prieš ir po ES lėšų įsisavinimo rodiklio reikšmė siekė 0-4 proc. O ROE atskleidžia labai aukštą</w:t>
      </w:r>
      <w:r w:rsidR="00F11F16" w:rsidRPr="00ED3D25">
        <w:rPr>
          <w:szCs w:val="20"/>
          <w:lang w:val="lt-LT"/>
        </w:rPr>
        <w:t xml:space="preserve"> nuosavo kapitalo valdymą 2011-2012 m., nes rodiklis siekia atitinkamai 0,6 ir 0,35, tačiau pastebima mažėjimo tendencija. Taip atsitiko dėl to, kad sparčiai augant nuosavam kapitalui, grynasis pelnas krito ir 2013 m. kaip jau minėta tesiekė apie 4 tūkst. litų. </w:t>
      </w:r>
    </w:p>
    <w:p w:rsidR="00A65ADB" w:rsidRPr="00ED3D25" w:rsidRDefault="00E22853" w:rsidP="004665BD">
      <w:pPr>
        <w:spacing w:after="0"/>
        <w:jc w:val="right"/>
        <w:rPr>
          <w:b/>
          <w:bCs/>
          <w:szCs w:val="24"/>
          <w:lang w:val="lt-LT"/>
        </w:rPr>
      </w:pPr>
      <w:r w:rsidRPr="00ED3D25">
        <w:rPr>
          <w:b/>
          <w:bCs/>
          <w:szCs w:val="24"/>
          <w:lang w:val="lt-LT"/>
        </w:rPr>
        <w:t>18</w:t>
      </w:r>
      <w:r w:rsidR="00A65ADB" w:rsidRPr="00ED3D25">
        <w:rPr>
          <w:b/>
          <w:bCs/>
          <w:szCs w:val="24"/>
          <w:lang w:val="lt-LT"/>
        </w:rPr>
        <w:t xml:space="preserve"> lentelė</w:t>
      </w:r>
    </w:p>
    <w:p w:rsidR="00A65ADB" w:rsidRPr="00ED3D25" w:rsidRDefault="00A65ADB" w:rsidP="004665BD">
      <w:pPr>
        <w:spacing w:after="0" w:line="240" w:lineRule="auto"/>
        <w:jc w:val="center"/>
        <w:rPr>
          <w:b/>
          <w:bCs/>
          <w:sz w:val="22"/>
          <w:lang w:val="lt-LT"/>
        </w:rPr>
      </w:pPr>
      <w:r w:rsidRPr="00ED3D25">
        <w:rPr>
          <w:b/>
          <w:bCs/>
          <w:sz w:val="22"/>
          <w:lang w:val="lt-LT"/>
        </w:rPr>
        <w:t>Įmonės C veiklos efektyvumo rodikliai</w:t>
      </w:r>
    </w:p>
    <w:p w:rsidR="00A65ADB" w:rsidRPr="00ED3D25" w:rsidRDefault="00A65ADB" w:rsidP="004665BD">
      <w:pPr>
        <w:spacing w:after="0" w:line="240" w:lineRule="auto"/>
        <w:rPr>
          <w:b/>
          <w:bCs/>
          <w:sz w:val="22"/>
          <w:lang w:val="lt-LT"/>
        </w:rPr>
      </w:pPr>
    </w:p>
    <w:tbl>
      <w:tblPr>
        <w:tblStyle w:val="TableGrid"/>
        <w:tblW w:w="5000" w:type="pct"/>
        <w:jc w:val="center"/>
        <w:tblLook w:val="04A0" w:firstRow="1" w:lastRow="0" w:firstColumn="1" w:lastColumn="0" w:noHBand="0" w:noVBand="1"/>
      </w:tblPr>
      <w:tblGrid>
        <w:gridCol w:w="1432"/>
        <w:gridCol w:w="2194"/>
        <w:gridCol w:w="2077"/>
        <w:gridCol w:w="2077"/>
        <w:gridCol w:w="2075"/>
      </w:tblGrid>
      <w:tr w:rsidR="00EA1C8C" w:rsidRPr="00ED3D25" w:rsidTr="00EA1C8C">
        <w:trPr>
          <w:jc w:val="center"/>
        </w:trPr>
        <w:tc>
          <w:tcPr>
            <w:tcW w:w="726" w:type="pct"/>
            <w:tcBorders>
              <w:tl2br w:val="single" w:sz="4" w:space="0" w:color="auto"/>
            </w:tcBorders>
            <w:vAlign w:val="bottom"/>
          </w:tcPr>
          <w:p w:rsidR="00EB7E62" w:rsidRDefault="00EA1C8C" w:rsidP="009D04F3">
            <w:pPr>
              <w:spacing w:line="240" w:lineRule="auto"/>
              <w:jc w:val="right"/>
              <w:rPr>
                <w:b/>
                <w:bCs/>
                <w:lang w:val="lt-LT"/>
              </w:rPr>
            </w:pPr>
            <w:r>
              <w:rPr>
                <w:b/>
                <w:bCs/>
                <w:lang w:val="lt-LT"/>
              </w:rPr>
              <w:t>R</w:t>
            </w:r>
            <w:r w:rsidRPr="00ED3D25">
              <w:rPr>
                <w:b/>
                <w:bCs/>
                <w:lang w:val="lt-LT"/>
              </w:rPr>
              <w:t>odiklis</w:t>
            </w:r>
          </w:p>
          <w:p w:rsidR="009D04F3" w:rsidRDefault="009D04F3" w:rsidP="009D04F3">
            <w:pPr>
              <w:spacing w:line="240" w:lineRule="auto"/>
              <w:jc w:val="right"/>
              <w:rPr>
                <w:b/>
                <w:bCs/>
                <w:lang w:val="lt-LT"/>
              </w:rPr>
            </w:pPr>
          </w:p>
          <w:p w:rsidR="00EA1C8C" w:rsidRPr="00ED3D25" w:rsidRDefault="00EA1C8C" w:rsidP="00EB7E62">
            <w:pPr>
              <w:spacing w:line="240" w:lineRule="auto"/>
              <w:rPr>
                <w:b/>
                <w:bCs/>
                <w:lang w:val="lt-LT"/>
              </w:rPr>
            </w:pPr>
            <w:r>
              <w:rPr>
                <w:b/>
                <w:bCs/>
                <w:lang w:val="lt-LT"/>
              </w:rPr>
              <w:t>Metai</w:t>
            </w:r>
          </w:p>
        </w:tc>
        <w:tc>
          <w:tcPr>
            <w:tcW w:w="1113" w:type="pct"/>
            <w:vAlign w:val="center"/>
          </w:tcPr>
          <w:p w:rsidR="00EA1C8C" w:rsidRPr="00ED3D25" w:rsidRDefault="00EA1C8C" w:rsidP="004665BD">
            <w:pPr>
              <w:spacing w:line="240" w:lineRule="auto"/>
              <w:jc w:val="center"/>
              <w:rPr>
                <w:rFonts w:asciiTheme="majorBidi" w:hAnsiTheme="majorBidi" w:cstheme="majorBidi"/>
                <w:b/>
                <w:bCs/>
                <w:lang w:val="lt-LT"/>
              </w:rPr>
            </w:pPr>
            <w:r w:rsidRPr="00ED3D25">
              <w:rPr>
                <w:rFonts w:asciiTheme="majorBidi" w:hAnsiTheme="majorBidi" w:cstheme="majorBidi"/>
                <w:b/>
                <w:bCs/>
                <w:lang w:val="lt-LT"/>
              </w:rPr>
              <w:t>Veiklos sąnaudos vienam pajamų litui</w:t>
            </w:r>
          </w:p>
        </w:tc>
        <w:tc>
          <w:tcPr>
            <w:tcW w:w="1054" w:type="pct"/>
            <w:vAlign w:val="center"/>
          </w:tcPr>
          <w:p w:rsidR="00EA1C8C" w:rsidRPr="00ED3D25" w:rsidRDefault="00EA1C8C" w:rsidP="004665BD">
            <w:pPr>
              <w:spacing w:line="240" w:lineRule="auto"/>
              <w:jc w:val="center"/>
              <w:rPr>
                <w:rFonts w:asciiTheme="majorBidi" w:hAnsiTheme="majorBidi" w:cstheme="majorBidi"/>
                <w:b/>
                <w:bCs/>
                <w:lang w:val="lt-LT"/>
              </w:rPr>
            </w:pPr>
            <w:r w:rsidRPr="00ED3D25">
              <w:rPr>
                <w:rFonts w:asciiTheme="majorBidi" w:hAnsiTheme="majorBidi" w:cstheme="majorBidi"/>
                <w:b/>
                <w:bCs/>
                <w:lang w:val="lt-LT"/>
              </w:rPr>
              <w:t>Apyvartinio kapitalo apyvartumas</w:t>
            </w:r>
          </w:p>
        </w:tc>
        <w:tc>
          <w:tcPr>
            <w:tcW w:w="1054" w:type="pct"/>
            <w:vAlign w:val="center"/>
          </w:tcPr>
          <w:p w:rsidR="00EA1C8C" w:rsidRPr="00ED3D25" w:rsidRDefault="00EA1C8C" w:rsidP="004665BD">
            <w:pPr>
              <w:spacing w:line="240" w:lineRule="auto"/>
              <w:jc w:val="center"/>
              <w:rPr>
                <w:rFonts w:asciiTheme="majorBidi" w:hAnsiTheme="majorBidi" w:cstheme="majorBidi"/>
                <w:b/>
                <w:bCs/>
                <w:lang w:val="lt-LT"/>
              </w:rPr>
            </w:pPr>
            <w:r w:rsidRPr="00ED3D25">
              <w:rPr>
                <w:rFonts w:asciiTheme="majorBidi" w:hAnsiTheme="majorBidi" w:cstheme="majorBidi"/>
                <w:b/>
                <w:bCs/>
                <w:lang w:val="lt-LT"/>
              </w:rPr>
              <w:t>Grynojo turto apyvartumas</w:t>
            </w:r>
          </w:p>
        </w:tc>
        <w:tc>
          <w:tcPr>
            <w:tcW w:w="1054" w:type="pct"/>
            <w:vAlign w:val="center"/>
          </w:tcPr>
          <w:p w:rsidR="00EA1C8C" w:rsidRPr="00ED3D25" w:rsidRDefault="00EA1C8C" w:rsidP="004665BD">
            <w:pPr>
              <w:spacing w:line="240" w:lineRule="auto"/>
              <w:jc w:val="center"/>
              <w:rPr>
                <w:rFonts w:asciiTheme="majorBidi" w:hAnsiTheme="majorBidi" w:cstheme="majorBidi"/>
                <w:b/>
                <w:bCs/>
                <w:lang w:val="lt-LT"/>
              </w:rPr>
            </w:pPr>
            <w:r w:rsidRPr="00ED3D25">
              <w:rPr>
                <w:rFonts w:asciiTheme="majorBidi" w:hAnsiTheme="majorBidi" w:cstheme="majorBidi"/>
                <w:b/>
                <w:bCs/>
                <w:lang w:val="lt-LT"/>
              </w:rPr>
              <w:t>Turto apyvartumas</w:t>
            </w:r>
          </w:p>
        </w:tc>
      </w:tr>
      <w:tr w:rsidR="00EA1C8C" w:rsidRPr="00ED3D25" w:rsidTr="009D04F3">
        <w:trPr>
          <w:jc w:val="center"/>
        </w:trPr>
        <w:tc>
          <w:tcPr>
            <w:tcW w:w="726" w:type="pct"/>
            <w:vAlign w:val="center"/>
          </w:tcPr>
          <w:p w:rsidR="00EA1C8C" w:rsidRPr="00ED3D25" w:rsidRDefault="00EA1C8C" w:rsidP="009D04F3">
            <w:pPr>
              <w:spacing w:line="240" w:lineRule="auto"/>
              <w:jc w:val="left"/>
              <w:rPr>
                <w:b/>
                <w:bCs/>
                <w:lang w:val="lt-LT"/>
              </w:rPr>
            </w:pPr>
            <w:r w:rsidRPr="00ED3D25">
              <w:rPr>
                <w:b/>
                <w:bCs/>
                <w:lang w:val="lt-LT"/>
              </w:rPr>
              <w:t>2011 m.</w:t>
            </w:r>
          </w:p>
        </w:tc>
        <w:tc>
          <w:tcPr>
            <w:tcW w:w="1113" w:type="pct"/>
            <w:tcBorders>
              <w:bottom w:val="single" w:sz="4" w:space="0" w:color="auto"/>
            </w:tcBorders>
            <w:vAlign w:val="center"/>
          </w:tcPr>
          <w:p w:rsidR="00EA1C8C" w:rsidRPr="00ED3D25" w:rsidRDefault="00EA1C8C" w:rsidP="004665BD">
            <w:pPr>
              <w:spacing w:line="240" w:lineRule="auto"/>
              <w:jc w:val="center"/>
              <w:rPr>
                <w:lang w:val="lt-LT"/>
              </w:rPr>
            </w:pPr>
            <w:r w:rsidRPr="00ED3D25">
              <w:rPr>
                <w:lang w:val="lt-LT"/>
              </w:rPr>
              <w:t>0,0827</w:t>
            </w:r>
          </w:p>
        </w:tc>
        <w:tc>
          <w:tcPr>
            <w:tcW w:w="1054" w:type="pct"/>
            <w:tcBorders>
              <w:bottom w:val="single" w:sz="4" w:space="0" w:color="auto"/>
            </w:tcBorders>
            <w:vAlign w:val="center"/>
          </w:tcPr>
          <w:p w:rsidR="00EA1C8C" w:rsidRPr="00ED3D25" w:rsidRDefault="00EA1C8C" w:rsidP="004665BD">
            <w:pPr>
              <w:spacing w:line="240" w:lineRule="auto"/>
              <w:jc w:val="center"/>
              <w:rPr>
                <w:lang w:val="lt-LT"/>
              </w:rPr>
            </w:pPr>
            <w:r w:rsidRPr="00ED3D25">
              <w:rPr>
                <w:lang w:val="lt-LT"/>
              </w:rPr>
              <w:t>-</w:t>
            </w:r>
          </w:p>
        </w:tc>
        <w:tc>
          <w:tcPr>
            <w:tcW w:w="1054" w:type="pct"/>
            <w:tcBorders>
              <w:bottom w:val="single" w:sz="4" w:space="0" w:color="auto"/>
            </w:tcBorders>
            <w:vAlign w:val="center"/>
          </w:tcPr>
          <w:p w:rsidR="00EA1C8C" w:rsidRPr="00ED3D25" w:rsidRDefault="00EA1C8C" w:rsidP="004665BD">
            <w:pPr>
              <w:spacing w:line="240" w:lineRule="auto"/>
              <w:jc w:val="center"/>
              <w:rPr>
                <w:lang w:val="lt-LT"/>
              </w:rPr>
            </w:pPr>
            <w:r w:rsidRPr="00ED3D25">
              <w:rPr>
                <w:lang w:val="lt-LT"/>
              </w:rPr>
              <w:t>1,3207</w:t>
            </w:r>
          </w:p>
        </w:tc>
        <w:tc>
          <w:tcPr>
            <w:tcW w:w="1054" w:type="pct"/>
            <w:tcBorders>
              <w:bottom w:val="single" w:sz="4" w:space="0" w:color="auto"/>
            </w:tcBorders>
            <w:vAlign w:val="center"/>
          </w:tcPr>
          <w:p w:rsidR="00EA1C8C" w:rsidRPr="00ED3D25" w:rsidRDefault="00EA1C8C" w:rsidP="004665BD">
            <w:pPr>
              <w:spacing w:line="240" w:lineRule="auto"/>
              <w:jc w:val="center"/>
              <w:rPr>
                <w:lang w:val="lt-LT"/>
              </w:rPr>
            </w:pPr>
            <w:r w:rsidRPr="00ED3D25">
              <w:rPr>
                <w:lang w:val="lt-LT"/>
              </w:rPr>
              <w:t>0,5652</w:t>
            </w:r>
          </w:p>
        </w:tc>
      </w:tr>
      <w:tr w:rsidR="00EA1C8C" w:rsidRPr="00ED3D25" w:rsidTr="009D04F3">
        <w:trPr>
          <w:jc w:val="center"/>
        </w:trPr>
        <w:tc>
          <w:tcPr>
            <w:tcW w:w="726" w:type="pct"/>
            <w:vAlign w:val="center"/>
          </w:tcPr>
          <w:p w:rsidR="00EA1C8C" w:rsidRPr="00ED3D25" w:rsidRDefault="00EA1C8C" w:rsidP="009D04F3">
            <w:pPr>
              <w:spacing w:line="240" w:lineRule="auto"/>
              <w:jc w:val="left"/>
              <w:rPr>
                <w:b/>
                <w:bCs/>
                <w:lang w:val="lt-LT"/>
              </w:rPr>
            </w:pPr>
            <w:r w:rsidRPr="00ED3D25">
              <w:rPr>
                <w:b/>
                <w:bCs/>
                <w:lang w:val="lt-LT"/>
              </w:rPr>
              <w:t>2012 m.</w:t>
            </w:r>
          </w:p>
        </w:tc>
        <w:tc>
          <w:tcPr>
            <w:tcW w:w="1113" w:type="pct"/>
            <w:tcBorders>
              <w:top w:val="single" w:sz="4" w:space="0" w:color="auto"/>
              <w:bottom w:val="single" w:sz="4" w:space="0" w:color="auto"/>
            </w:tcBorders>
            <w:shd w:val="clear" w:color="auto" w:fill="BFBFBF" w:themeFill="background1" w:themeFillShade="BF"/>
            <w:vAlign w:val="center"/>
          </w:tcPr>
          <w:p w:rsidR="00EA1C8C" w:rsidRPr="00ED3D25" w:rsidRDefault="00EA1C8C" w:rsidP="004665BD">
            <w:pPr>
              <w:spacing w:line="240" w:lineRule="auto"/>
              <w:jc w:val="center"/>
              <w:rPr>
                <w:lang w:val="lt-LT"/>
              </w:rPr>
            </w:pPr>
            <w:r w:rsidRPr="00ED3D25">
              <w:rPr>
                <w:lang w:val="lt-LT"/>
              </w:rPr>
              <w:t>0,0435</w:t>
            </w:r>
          </w:p>
        </w:tc>
        <w:tc>
          <w:tcPr>
            <w:tcW w:w="1054" w:type="pct"/>
            <w:tcBorders>
              <w:top w:val="single" w:sz="4" w:space="0" w:color="auto"/>
              <w:bottom w:val="single" w:sz="4" w:space="0" w:color="auto"/>
            </w:tcBorders>
            <w:shd w:val="clear" w:color="auto" w:fill="BFBFBF" w:themeFill="background1" w:themeFillShade="BF"/>
            <w:vAlign w:val="center"/>
          </w:tcPr>
          <w:p w:rsidR="00EA1C8C" w:rsidRPr="00ED3D25" w:rsidRDefault="00EA1C8C" w:rsidP="004665BD">
            <w:pPr>
              <w:spacing w:line="240" w:lineRule="auto"/>
              <w:jc w:val="center"/>
              <w:rPr>
                <w:lang w:val="lt-LT"/>
              </w:rPr>
            </w:pPr>
            <w:r w:rsidRPr="00ED3D25">
              <w:rPr>
                <w:lang w:val="lt-LT"/>
              </w:rPr>
              <w:t>46,6179</w:t>
            </w:r>
          </w:p>
        </w:tc>
        <w:tc>
          <w:tcPr>
            <w:tcW w:w="1054" w:type="pct"/>
            <w:tcBorders>
              <w:top w:val="single" w:sz="4" w:space="0" w:color="auto"/>
              <w:bottom w:val="single" w:sz="4" w:space="0" w:color="auto"/>
            </w:tcBorders>
            <w:shd w:val="clear" w:color="auto" w:fill="BFBFBF" w:themeFill="background1" w:themeFillShade="BF"/>
            <w:vAlign w:val="center"/>
          </w:tcPr>
          <w:p w:rsidR="00EA1C8C" w:rsidRPr="00ED3D25" w:rsidRDefault="00EA1C8C" w:rsidP="004665BD">
            <w:pPr>
              <w:spacing w:line="240" w:lineRule="auto"/>
              <w:jc w:val="center"/>
              <w:rPr>
                <w:lang w:val="lt-LT"/>
              </w:rPr>
            </w:pPr>
            <w:r w:rsidRPr="00ED3D25">
              <w:rPr>
                <w:lang w:val="lt-LT"/>
              </w:rPr>
              <w:t>1,9305</w:t>
            </w:r>
          </w:p>
        </w:tc>
        <w:tc>
          <w:tcPr>
            <w:tcW w:w="1054" w:type="pct"/>
            <w:tcBorders>
              <w:top w:val="single" w:sz="4" w:space="0" w:color="auto"/>
              <w:bottom w:val="single" w:sz="4" w:space="0" w:color="auto"/>
            </w:tcBorders>
            <w:shd w:val="clear" w:color="auto" w:fill="BFBFBF" w:themeFill="background1" w:themeFillShade="BF"/>
            <w:vAlign w:val="center"/>
          </w:tcPr>
          <w:p w:rsidR="00EA1C8C" w:rsidRPr="00ED3D25" w:rsidRDefault="00EA1C8C" w:rsidP="004665BD">
            <w:pPr>
              <w:spacing w:line="240" w:lineRule="auto"/>
              <w:jc w:val="center"/>
              <w:rPr>
                <w:lang w:val="lt-LT"/>
              </w:rPr>
            </w:pPr>
            <w:r w:rsidRPr="00ED3D25">
              <w:rPr>
                <w:lang w:val="lt-LT"/>
              </w:rPr>
              <w:t>1,4753</w:t>
            </w:r>
          </w:p>
        </w:tc>
      </w:tr>
      <w:tr w:rsidR="00EA1C8C" w:rsidRPr="00ED3D25" w:rsidTr="009D04F3">
        <w:trPr>
          <w:jc w:val="center"/>
        </w:trPr>
        <w:tc>
          <w:tcPr>
            <w:tcW w:w="726" w:type="pct"/>
            <w:vAlign w:val="center"/>
          </w:tcPr>
          <w:p w:rsidR="00EA1C8C" w:rsidRPr="00ED3D25" w:rsidRDefault="00EA1C8C" w:rsidP="009D04F3">
            <w:pPr>
              <w:spacing w:line="240" w:lineRule="auto"/>
              <w:jc w:val="left"/>
              <w:rPr>
                <w:b/>
                <w:bCs/>
                <w:lang w:val="lt-LT"/>
              </w:rPr>
            </w:pPr>
            <w:r w:rsidRPr="00ED3D25">
              <w:rPr>
                <w:b/>
                <w:bCs/>
                <w:lang w:val="lt-LT"/>
              </w:rPr>
              <w:t>2013 m.</w:t>
            </w:r>
          </w:p>
        </w:tc>
        <w:tc>
          <w:tcPr>
            <w:tcW w:w="1113" w:type="pct"/>
            <w:tcBorders>
              <w:top w:val="single" w:sz="4" w:space="0" w:color="auto"/>
            </w:tcBorders>
            <w:vAlign w:val="center"/>
          </w:tcPr>
          <w:p w:rsidR="00EA1C8C" w:rsidRPr="00280490" w:rsidRDefault="00EA1C8C" w:rsidP="004665BD">
            <w:pPr>
              <w:spacing w:line="240" w:lineRule="auto"/>
              <w:jc w:val="center"/>
              <w:rPr>
                <w:highlight w:val="yellow"/>
                <w:lang w:val="lt-LT"/>
              </w:rPr>
            </w:pPr>
            <w:r w:rsidRPr="00286A27">
              <w:rPr>
                <w:lang w:val="lt-LT"/>
              </w:rPr>
              <w:t>0,0158</w:t>
            </w:r>
          </w:p>
        </w:tc>
        <w:tc>
          <w:tcPr>
            <w:tcW w:w="1054" w:type="pct"/>
            <w:tcBorders>
              <w:top w:val="single" w:sz="4" w:space="0" w:color="auto"/>
            </w:tcBorders>
            <w:vAlign w:val="center"/>
          </w:tcPr>
          <w:p w:rsidR="00EA1C8C" w:rsidRPr="00ED3D25" w:rsidRDefault="00EA1C8C" w:rsidP="004665BD">
            <w:pPr>
              <w:spacing w:line="240" w:lineRule="auto"/>
              <w:jc w:val="center"/>
              <w:rPr>
                <w:lang w:val="lt-LT"/>
              </w:rPr>
            </w:pPr>
            <w:r>
              <w:rPr>
                <w:lang w:val="lt-LT"/>
              </w:rPr>
              <w:t>0</w:t>
            </w:r>
          </w:p>
        </w:tc>
        <w:tc>
          <w:tcPr>
            <w:tcW w:w="1054" w:type="pct"/>
            <w:tcBorders>
              <w:top w:val="single" w:sz="4" w:space="0" w:color="auto"/>
            </w:tcBorders>
            <w:vAlign w:val="center"/>
          </w:tcPr>
          <w:p w:rsidR="00EA1C8C" w:rsidRPr="00ED3D25" w:rsidRDefault="00EA1C8C" w:rsidP="004665BD">
            <w:pPr>
              <w:spacing w:line="240" w:lineRule="auto"/>
              <w:jc w:val="center"/>
              <w:rPr>
                <w:lang w:val="lt-LT"/>
              </w:rPr>
            </w:pPr>
            <w:r w:rsidRPr="00ED3D25">
              <w:rPr>
                <w:lang w:val="lt-LT"/>
              </w:rPr>
              <w:t>0,6355</w:t>
            </w:r>
          </w:p>
        </w:tc>
        <w:tc>
          <w:tcPr>
            <w:tcW w:w="1054" w:type="pct"/>
            <w:tcBorders>
              <w:top w:val="single" w:sz="4" w:space="0" w:color="auto"/>
            </w:tcBorders>
            <w:vAlign w:val="center"/>
          </w:tcPr>
          <w:p w:rsidR="00EA1C8C" w:rsidRPr="00ED3D25" w:rsidRDefault="00EA1C8C" w:rsidP="004665BD">
            <w:pPr>
              <w:spacing w:line="240" w:lineRule="auto"/>
              <w:jc w:val="center"/>
              <w:rPr>
                <w:lang w:val="lt-LT"/>
              </w:rPr>
            </w:pPr>
            <w:r w:rsidRPr="00ED3D25">
              <w:rPr>
                <w:lang w:val="lt-LT"/>
              </w:rPr>
              <w:t>0,5219</w:t>
            </w:r>
          </w:p>
        </w:tc>
      </w:tr>
    </w:tbl>
    <w:p w:rsidR="00A65ADB" w:rsidRPr="00ED3D25" w:rsidRDefault="00A65ADB" w:rsidP="009D04F3">
      <w:pPr>
        <w:tabs>
          <w:tab w:val="left" w:pos="8456"/>
        </w:tabs>
        <w:spacing w:after="0" w:line="240" w:lineRule="auto"/>
        <w:rPr>
          <w:sz w:val="20"/>
          <w:szCs w:val="20"/>
          <w:lang w:val="lt-LT"/>
        </w:rPr>
      </w:pPr>
      <w:r w:rsidRPr="00ED3D25">
        <w:rPr>
          <w:sz w:val="20"/>
          <w:szCs w:val="20"/>
          <w:lang w:val="lt-LT"/>
        </w:rPr>
        <w:t>Pastaba: lentelė sudaryta autorės</w:t>
      </w:r>
      <w:r w:rsidR="004955A5" w:rsidRPr="00ED3D25">
        <w:rPr>
          <w:sz w:val="20"/>
          <w:szCs w:val="20"/>
          <w:lang w:val="lt-LT"/>
        </w:rPr>
        <w:t>, remiantis įmonės C 2011-2013</w:t>
      </w:r>
      <w:r w:rsidRPr="00ED3D25">
        <w:rPr>
          <w:sz w:val="20"/>
          <w:szCs w:val="20"/>
          <w:lang w:val="lt-LT"/>
        </w:rPr>
        <w:t xml:space="preserve"> m. pelno (nuostolio) ir balanso at</w:t>
      </w:r>
      <w:r w:rsidR="009D04F3">
        <w:rPr>
          <w:sz w:val="20"/>
          <w:szCs w:val="20"/>
          <w:lang w:val="lt-LT"/>
        </w:rPr>
        <w:t xml:space="preserve">askaitų finansiniais duomenimis, taip pat </w:t>
      </w:r>
      <w:r w:rsidR="009D04F3" w:rsidRPr="00B36302">
        <w:rPr>
          <w:sz w:val="20"/>
          <w:szCs w:val="20"/>
          <w:lang w:val="lt-LT"/>
        </w:rPr>
        <w:t xml:space="preserve"> </w:t>
      </w:r>
      <w:r w:rsidR="009D04F3">
        <w:rPr>
          <w:sz w:val="20"/>
          <w:szCs w:val="20"/>
          <w:lang w:val="lt-LT"/>
        </w:rPr>
        <w:t>paryškintas laikotarpis, kada įmonė gavo paramą.</w:t>
      </w:r>
    </w:p>
    <w:p w:rsidR="006F6191" w:rsidRPr="009D04F3" w:rsidRDefault="006F6191" w:rsidP="009D04F3">
      <w:pPr>
        <w:spacing w:after="0" w:line="240" w:lineRule="auto"/>
        <w:rPr>
          <w:sz w:val="14"/>
          <w:szCs w:val="16"/>
          <w:lang w:val="lt-LT"/>
        </w:rPr>
      </w:pPr>
    </w:p>
    <w:p w:rsidR="00843D8F" w:rsidRDefault="00745C95" w:rsidP="0025600F">
      <w:pPr>
        <w:spacing w:after="0"/>
        <w:ind w:firstLine="851"/>
        <w:rPr>
          <w:bCs/>
          <w:lang w:val="lt-LT"/>
        </w:rPr>
      </w:pPr>
      <w:r w:rsidRPr="00ED3D25">
        <w:rPr>
          <w:bCs/>
          <w:lang w:val="lt-LT"/>
        </w:rPr>
        <w:t xml:space="preserve">Įmonės C </w:t>
      </w:r>
      <w:r w:rsidR="009B7F82" w:rsidRPr="00ED3D25">
        <w:rPr>
          <w:bCs/>
          <w:lang w:val="lt-LT"/>
        </w:rPr>
        <w:t xml:space="preserve">veiklos sąnaudas vienam pajamų litui </w:t>
      </w:r>
      <w:r w:rsidR="004A5728">
        <w:rPr>
          <w:bCs/>
          <w:lang w:val="lt-LT"/>
        </w:rPr>
        <w:t>(žr. 18</w:t>
      </w:r>
      <w:r w:rsidRPr="00ED3D25">
        <w:rPr>
          <w:bCs/>
          <w:lang w:val="lt-LT"/>
        </w:rPr>
        <w:t xml:space="preserve"> lentelę) </w:t>
      </w:r>
      <w:r w:rsidR="009B7F82" w:rsidRPr="00ED3D25">
        <w:rPr>
          <w:bCs/>
          <w:lang w:val="lt-LT"/>
        </w:rPr>
        <w:t xml:space="preserve">galima įvertinti </w:t>
      </w:r>
      <w:r w:rsidR="009B7F82">
        <w:rPr>
          <w:bCs/>
          <w:lang w:val="lt-LT"/>
        </w:rPr>
        <w:t>a</w:t>
      </w:r>
      <w:r w:rsidR="00CD0918" w:rsidRPr="00ED3D25">
        <w:rPr>
          <w:bCs/>
          <w:lang w:val="lt-LT"/>
        </w:rPr>
        <w:t>ukštu rezultatyvumu</w:t>
      </w:r>
      <w:r w:rsidR="00C868F4" w:rsidRPr="00ED3D25">
        <w:rPr>
          <w:bCs/>
          <w:lang w:val="lt-LT"/>
        </w:rPr>
        <w:t xml:space="preserve">, </w:t>
      </w:r>
      <w:r w:rsidR="004A5728">
        <w:rPr>
          <w:bCs/>
          <w:lang w:val="lt-LT"/>
        </w:rPr>
        <w:t xml:space="preserve">nes </w:t>
      </w:r>
      <w:r w:rsidR="00C868F4" w:rsidRPr="00ED3D25">
        <w:rPr>
          <w:bCs/>
          <w:lang w:val="lt-LT"/>
        </w:rPr>
        <w:t>2013 m. tesiekė 0,015, tam įtakos turėjo</w:t>
      </w:r>
      <w:r w:rsidR="00286A27">
        <w:rPr>
          <w:bCs/>
          <w:lang w:val="lt-LT"/>
        </w:rPr>
        <w:t xml:space="preserve"> beveik 50 proc.</w:t>
      </w:r>
      <w:r w:rsidR="00C868F4" w:rsidRPr="00ED3D25">
        <w:rPr>
          <w:bCs/>
          <w:lang w:val="lt-LT"/>
        </w:rPr>
        <w:t xml:space="preserve"> sumažėjusios veiklos </w:t>
      </w:r>
      <w:r w:rsidR="00C868F4" w:rsidRPr="00ED3D25">
        <w:rPr>
          <w:bCs/>
          <w:lang w:val="lt-LT"/>
        </w:rPr>
        <w:lastRenderedPageBreak/>
        <w:t xml:space="preserve">sąnaudos ir </w:t>
      </w:r>
      <w:r w:rsidR="00286A27">
        <w:rPr>
          <w:bCs/>
          <w:lang w:val="lt-LT"/>
        </w:rPr>
        <w:t xml:space="preserve">apie 15 proc. </w:t>
      </w:r>
      <w:r w:rsidR="00C868F4" w:rsidRPr="00ED3D25">
        <w:rPr>
          <w:bCs/>
          <w:lang w:val="lt-LT"/>
        </w:rPr>
        <w:t xml:space="preserve">išaugusios pardavimo pajamos. </w:t>
      </w:r>
      <w:r w:rsidR="00BB42C5" w:rsidRPr="00ED3D25">
        <w:rPr>
          <w:bCs/>
          <w:lang w:val="lt-LT"/>
        </w:rPr>
        <w:t>Apyvartinio kapitalo apyvartumas tiriamu laikotarpiu keitėsi maksimaliai – 2012 m. rodiklis siekė 46,6, o sekančiais metais</w:t>
      </w:r>
      <w:r w:rsidR="004A5728">
        <w:rPr>
          <w:bCs/>
          <w:lang w:val="lt-LT"/>
        </w:rPr>
        <w:t xml:space="preserve"> po ES finansinės paramos įsisavinimo –</w:t>
      </w:r>
      <w:r w:rsidR="00BB42C5" w:rsidRPr="00ED3D25">
        <w:rPr>
          <w:bCs/>
          <w:lang w:val="lt-LT"/>
        </w:rPr>
        <w:t xml:space="preserve"> tapo</w:t>
      </w:r>
      <w:r w:rsidR="004A5728">
        <w:rPr>
          <w:bCs/>
          <w:lang w:val="lt-LT"/>
        </w:rPr>
        <w:t xml:space="preserve"> nulinis</w:t>
      </w:r>
      <w:r w:rsidR="00BB42C5" w:rsidRPr="00ED3D25">
        <w:rPr>
          <w:bCs/>
          <w:lang w:val="lt-LT"/>
        </w:rPr>
        <w:t xml:space="preserve">. Tai paaiškinama </w:t>
      </w:r>
      <w:r w:rsidR="00964D8C" w:rsidRPr="00ED3D25">
        <w:rPr>
          <w:bCs/>
          <w:lang w:val="lt-LT"/>
        </w:rPr>
        <w:t>10 proc</w:t>
      </w:r>
      <w:r w:rsidR="00E543ED">
        <w:rPr>
          <w:bCs/>
          <w:lang w:val="lt-LT"/>
        </w:rPr>
        <w:t>. sumažėjusiu trumpalaikiu turtu</w:t>
      </w:r>
      <w:r w:rsidR="00964D8C" w:rsidRPr="00ED3D25">
        <w:rPr>
          <w:bCs/>
          <w:lang w:val="lt-LT"/>
        </w:rPr>
        <w:t xml:space="preserve"> ir 246 proc. išaugusiais trumpalaikiais įsipareigojimais. Grynojo turto apyvartumas taip pat 2013 m. sumažėjo,</w:t>
      </w:r>
      <w:r w:rsidR="004A5728">
        <w:rPr>
          <w:bCs/>
          <w:lang w:val="lt-LT"/>
        </w:rPr>
        <w:t xml:space="preserve"> prieš ES finansinę paramą buvo dvigubai didesnis</w:t>
      </w:r>
      <w:r w:rsidR="00D27A15" w:rsidRPr="00ED3D25">
        <w:rPr>
          <w:bCs/>
          <w:lang w:val="lt-LT"/>
        </w:rPr>
        <w:t>.</w:t>
      </w:r>
      <w:r w:rsidR="00843D8F" w:rsidRPr="00ED3D25">
        <w:rPr>
          <w:bCs/>
          <w:lang w:val="lt-LT"/>
        </w:rPr>
        <w:t xml:space="preserve"> </w:t>
      </w:r>
      <w:r w:rsidR="00805F0D" w:rsidRPr="00ED3D25">
        <w:rPr>
          <w:bCs/>
          <w:lang w:val="lt-LT"/>
        </w:rPr>
        <w:t xml:space="preserve">Turto apyvartumas </w:t>
      </w:r>
      <w:r w:rsidR="004A5728">
        <w:rPr>
          <w:bCs/>
          <w:lang w:val="lt-LT"/>
        </w:rPr>
        <w:t>paskutiniais metais</w:t>
      </w:r>
      <w:r w:rsidR="00805F0D" w:rsidRPr="00ED3D25">
        <w:rPr>
          <w:bCs/>
          <w:lang w:val="lt-LT"/>
        </w:rPr>
        <w:t xml:space="preserve"> lygus 0,52, tai reiškia, kad įmonė neefektyviai naudoja turtą gamindama ir realizuodama prekes</w:t>
      </w:r>
      <w:r w:rsidR="004A5728">
        <w:rPr>
          <w:bCs/>
          <w:lang w:val="lt-LT"/>
        </w:rPr>
        <w:t>, nors 2012 m. fiksuotas beveik tr</w:t>
      </w:r>
      <w:r w:rsidR="0025600F">
        <w:rPr>
          <w:bCs/>
          <w:lang w:val="lt-LT"/>
        </w:rPr>
        <w:t>is kartus didesnis apyvartumas, nors tiek</w:t>
      </w:r>
      <w:r w:rsidR="004A5728">
        <w:rPr>
          <w:bCs/>
          <w:lang w:val="lt-LT"/>
        </w:rPr>
        <w:t xml:space="preserve"> prieš ir po ES finansinės p</w:t>
      </w:r>
      <w:r w:rsidR="0025600F">
        <w:rPr>
          <w:bCs/>
          <w:lang w:val="lt-LT"/>
        </w:rPr>
        <w:t>aramos panaudojimo rodiklis siekė panašią reikšmę,</w:t>
      </w:r>
      <w:r w:rsidR="004A5728">
        <w:rPr>
          <w:bCs/>
          <w:lang w:val="lt-LT"/>
        </w:rPr>
        <w:t xml:space="preserve"> apie 0,53</w:t>
      </w:r>
      <w:r w:rsidR="00805F0D" w:rsidRPr="00ED3D25">
        <w:rPr>
          <w:bCs/>
          <w:lang w:val="lt-LT"/>
        </w:rPr>
        <w:t>.</w:t>
      </w:r>
    </w:p>
    <w:p w:rsidR="004A5728" w:rsidRPr="00ED3D25" w:rsidRDefault="00D21477" w:rsidP="00280490">
      <w:pPr>
        <w:spacing w:after="0"/>
        <w:ind w:firstLine="851"/>
        <w:rPr>
          <w:bCs/>
          <w:lang w:val="lt-LT"/>
        </w:rPr>
      </w:pPr>
      <w:r>
        <w:rPr>
          <w:bCs/>
          <w:lang w:val="lt-LT"/>
        </w:rPr>
        <w:t xml:space="preserve">Apibendrinant </w:t>
      </w:r>
      <w:r w:rsidR="004A5728">
        <w:rPr>
          <w:bCs/>
          <w:lang w:val="lt-LT"/>
        </w:rPr>
        <w:t>į</w:t>
      </w:r>
      <w:r>
        <w:rPr>
          <w:bCs/>
          <w:lang w:val="lt-LT"/>
        </w:rPr>
        <w:t>monės C finansinius rodiklius nustatyta, kad ES finansinė parama nebuvo efektyvi. Atlikus likvidumo, finansinio sverto, pelningumo ir veiklos efektyvumo rodiklių skaičiavimus</w:t>
      </w:r>
      <w:r w:rsidR="00280490">
        <w:rPr>
          <w:bCs/>
          <w:lang w:val="lt-LT"/>
        </w:rPr>
        <w:t>, dauguma gautų rezultatų</w:t>
      </w:r>
      <w:r>
        <w:rPr>
          <w:bCs/>
          <w:lang w:val="lt-LT"/>
        </w:rPr>
        <w:t xml:space="preserve"> buvo blogesni lyginant </w:t>
      </w:r>
      <w:r w:rsidR="00A87AF2">
        <w:rPr>
          <w:bCs/>
          <w:lang w:val="lt-LT"/>
        </w:rPr>
        <w:t>su pr</w:t>
      </w:r>
      <w:r w:rsidR="00280490">
        <w:rPr>
          <w:bCs/>
          <w:lang w:val="lt-LT"/>
        </w:rPr>
        <w:t>ieš ES finansinės paramos gavimu</w:t>
      </w:r>
      <w:r w:rsidR="00A87AF2">
        <w:rPr>
          <w:bCs/>
          <w:lang w:val="lt-LT"/>
        </w:rPr>
        <w:t xml:space="preserve">, t. y. su 2011 m. Taip pat pastebėta, kad grynojo apyvartumo, turto apyvartumo, bendrojo pelningumo, ROA, einamojo ir absoliutaus likvidumo rodiklių reikšmės 2012 m., projekto vykdymo metu, buvo </w:t>
      </w:r>
      <w:r w:rsidR="00280490">
        <w:rPr>
          <w:bCs/>
          <w:lang w:val="lt-LT"/>
        </w:rPr>
        <w:t>pasiekusios geresnius įverčius</w:t>
      </w:r>
      <w:r w:rsidR="00A87AF2">
        <w:rPr>
          <w:bCs/>
          <w:lang w:val="lt-LT"/>
        </w:rPr>
        <w:t>, tad didžiausią efektyvumą įmonė C patyrė vykdant projekte numatytus darbus.</w:t>
      </w:r>
    </w:p>
    <w:p w:rsidR="00843D8F" w:rsidRPr="00ED3D25" w:rsidRDefault="00843D8F" w:rsidP="004665BD">
      <w:pPr>
        <w:spacing w:after="0"/>
        <w:rPr>
          <w:bCs/>
          <w:lang w:val="lt-LT"/>
        </w:rPr>
      </w:pPr>
    </w:p>
    <w:p w:rsidR="00843D8F" w:rsidRPr="00ED3D25" w:rsidRDefault="00843D8F" w:rsidP="004665BD">
      <w:pPr>
        <w:spacing w:after="0"/>
        <w:jc w:val="center"/>
        <w:rPr>
          <w:i/>
          <w:lang w:val="lt-LT"/>
        </w:rPr>
      </w:pPr>
      <w:r w:rsidRPr="00ED3D25">
        <w:rPr>
          <w:i/>
          <w:lang w:val="lt-LT"/>
        </w:rPr>
        <w:t>Įmonė D</w:t>
      </w:r>
    </w:p>
    <w:p w:rsidR="00843D8F" w:rsidRPr="00ED3D25" w:rsidRDefault="00843D8F" w:rsidP="00A87AF2">
      <w:pPr>
        <w:spacing w:after="0"/>
        <w:ind w:firstLine="851"/>
        <w:rPr>
          <w:lang w:val="lt-LT"/>
        </w:rPr>
      </w:pPr>
      <w:r w:rsidRPr="00ED3D25">
        <w:rPr>
          <w:lang w:val="lt-LT"/>
        </w:rPr>
        <w:t>Įmonė D vykdo veiklą nuo 2006 m.</w:t>
      </w:r>
      <w:r w:rsidR="00501698">
        <w:rPr>
          <w:lang w:val="lt-LT"/>
        </w:rPr>
        <w:t xml:space="preserve"> Panevėžio rajone,</w:t>
      </w:r>
      <w:r w:rsidRPr="00ED3D25">
        <w:rPr>
          <w:lang w:val="lt-LT"/>
        </w:rPr>
        <w:t xml:space="preserve"> </w:t>
      </w:r>
      <w:r w:rsidR="00A87AF2">
        <w:rPr>
          <w:lang w:val="lt-LT"/>
        </w:rPr>
        <w:t>Vaivaduose</w:t>
      </w:r>
      <w:r w:rsidRPr="00ED3D25">
        <w:rPr>
          <w:lang w:val="lt-LT"/>
        </w:rPr>
        <w:t xml:space="preserve">. </w:t>
      </w:r>
      <w:r w:rsidR="004A5728">
        <w:rPr>
          <w:lang w:val="lt-LT"/>
        </w:rPr>
        <w:t>Jos pagrindine veikla įvardinami</w:t>
      </w:r>
      <w:r w:rsidRPr="00ED3D25">
        <w:rPr>
          <w:lang w:val="lt-LT"/>
        </w:rPr>
        <w:t xml:space="preserve"> – tvenkinių kasimas, grunto stumdymas, kelių tiesimas, melioracijos griovių valymas, taip pat konsultacijos tvenkinių kasimo klausimais, bendrastatybiniai darbai, t. y. įmonė linkusi bendra</w:t>
      </w:r>
      <w:r w:rsidR="004A5728">
        <w:rPr>
          <w:lang w:val="lt-LT"/>
        </w:rPr>
        <w:t>darbia</w:t>
      </w:r>
      <w:r w:rsidRPr="00ED3D25">
        <w:rPr>
          <w:lang w:val="lt-LT"/>
        </w:rPr>
        <w:t>uti su kitomis įmonėmis vykdant statybos ir k</w:t>
      </w:r>
      <w:r w:rsidR="004A5728">
        <w:rPr>
          <w:lang w:val="lt-LT"/>
        </w:rPr>
        <w:t>i</w:t>
      </w:r>
      <w:r w:rsidRPr="00ED3D25">
        <w:rPr>
          <w:lang w:val="lt-LT"/>
        </w:rPr>
        <w:t>t</w:t>
      </w:r>
      <w:r w:rsidR="004A5728">
        <w:rPr>
          <w:lang w:val="lt-LT"/>
        </w:rPr>
        <w:t>us</w:t>
      </w:r>
      <w:r w:rsidR="004A5728" w:rsidRPr="004A5728">
        <w:rPr>
          <w:lang w:val="lt-LT"/>
        </w:rPr>
        <w:t xml:space="preserve"> </w:t>
      </w:r>
      <w:r w:rsidR="004A5728" w:rsidRPr="00ED3D25">
        <w:rPr>
          <w:lang w:val="lt-LT"/>
        </w:rPr>
        <w:t>darbus</w:t>
      </w:r>
      <w:r w:rsidRPr="00ED3D25">
        <w:rPr>
          <w:lang w:val="lt-LT"/>
        </w:rPr>
        <w:t xml:space="preserve">. </w:t>
      </w:r>
    </w:p>
    <w:p w:rsidR="00BB42C5" w:rsidRPr="00ED3D25" w:rsidRDefault="00843D8F" w:rsidP="004665BD">
      <w:pPr>
        <w:spacing w:after="0"/>
        <w:ind w:firstLine="851"/>
        <w:rPr>
          <w:rFonts w:ascii="Tahoma" w:eastAsia="Times New Roman" w:hAnsi="Tahoma" w:cs="Tahoma"/>
          <w:color w:val="000000"/>
          <w:sz w:val="20"/>
          <w:szCs w:val="20"/>
          <w:lang w:val="lt-LT" w:eastAsia="es-ES"/>
        </w:rPr>
      </w:pPr>
      <w:r w:rsidRPr="00ED3D25">
        <w:rPr>
          <w:lang w:val="lt-LT"/>
        </w:rPr>
        <w:t xml:space="preserve">Įmonė D teikė paraišką dėl paramos gavimo verslo plėtrai, kuriai vystyti reikia įsigyti naujos technikos </w:t>
      </w:r>
      <w:r w:rsidR="002E0873">
        <w:rPr>
          <w:lang w:val="lt-LT"/>
        </w:rPr>
        <w:t>pagrindinės veiklos vykdymui, taip pat</w:t>
      </w:r>
      <w:r w:rsidRPr="00ED3D25">
        <w:rPr>
          <w:lang w:val="lt-LT"/>
        </w:rPr>
        <w:t xml:space="preserve"> krovininį automobilį įrangos transportavimui. Prašoma suma siekė </w:t>
      </w:r>
      <w:r w:rsidRPr="00ED3D25">
        <w:rPr>
          <w:rFonts w:asciiTheme="majorBidi" w:eastAsia="Times New Roman" w:hAnsiTheme="majorBidi" w:cstheme="majorBidi"/>
          <w:color w:val="000000"/>
          <w:szCs w:val="24"/>
          <w:lang w:val="lt-LT" w:eastAsia="es-ES"/>
        </w:rPr>
        <w:t xml:space="preserve">297 389 </w:t>
      </w:r>
      <w:r w:rsidR="00A40E6E">
        <w:rPr>
          <w:rFonts w:asciiTheme="majorBidi" w:eastAsia="Times New Roman" w:hAnsiTheme="majorBidi" w:cstheme="majorBidi"/>
          <w:color w:val="000000"/>
          <w:szCs w:val="24"/>
          <w:lang w:val="lt-LT" w:eastAsia="es-ES"/>
        </w:rPr>
        <w:t>Lt.</w:t>
      </w:r>
      <w:r w:rsidRPr="00ED3D25">
        <w:rPr>
          <w:lang w:val="lt-LT"/>
        </w:rPr>
        <w:t xml:space="preserve"> Projektą buvo numatyta įgyvendinti nuo 2011-12-31 iki 2012-07-31</w:t>
      </w:r>
      <w:r w:rsidR="00DB6A4F" w:rsidRPr="00ED3D25">
        <w:rPr>
          <w:lang w:val="lt-LT"/>
        </w:rPr>
        <w:t>.</w:t>
      </w:r>
      <w:r w:rsidR="00642D93">
        <w:rPr>
          <w:lang w:val="lt-LT"/>
        </w:rPr>
        <w:t xml:space="preserve"> </w:t>
      </w:r>
      <w:r w:rsidR="00DE3433">
        <w:rPr>
          <w:lang w:val="lt-LT"/>
        </w:rPr>
        <w:t>Toliau skaičiuojami 2010-2013 m. finansiniai rodikliai, o finansinės ataskaitos pateiktos 11 priede.</w:t>
      </w:r>
    </w:p>
    <w:p w:rsidR="00C67CE5" w:rsidRPr="00ED3D25" w:rsidRDefault="00E22853" w:rsidP="004665BD">
      <w:pPr>
        <w:spacing w:after="0"/>
        <w:jc w:val="right"/>
        <w:rPr>
          <w:b/>
          <w:bCs/>
          <w:szCs w:val="24"/>
          <w:lang w:val="lt-LT"/>
        </w:rPr>
      </w:pPr>
      <w:r w:rsidRPr="00ED3D25">
        <w:rPr>
          <w:b/>
          <w:bCs/>
          <w:szCs w:val="24"/>
          <w:lang w:val="lt-LT"/>
        </w:rPr>
        <w:t>19</w:t>
      </w:r>
      <w:r w:rsidR="00C67CE5" w:rsidRPr="00ED3D25">
        <w:rPr>
          <w:b/>
          <w:bCs/>
          <w:szCs w:val="24"/>
          <w:lang w:val="lt-LT"/>
        </w:rPr>
        <w:t xml:space="preserve"> lentelė</w:t>
      </w:r>
    </w:p>
    <w:p w:rsidR="00C67CE5" w:rsidRPr="00ED3D25" w:rsidRDefault="00D27D54" w:rsidP="004665BD">
      <w:pPr>
        <w:spacing w:after="0" w:line="240" w:lineRule="auto"/>
        <w:jc w:val="center"/>
        <w:rPr>
          <w:b/>
          <w:bCs/>
          <w:sz w:val="22"/>
          <w:lang w:val="lt-LT"/>
        </w:rPr>
      </w:pPr>
      <w:r w:rsidRPr="00ED3D25">
        <w:rPr>
          <w:b/>
          <w:bCs/>
          <w:sz w:val="22"/>
          <w:lang w:val="lt-LT"/>
        </w:rPr>
        <w:t>Įmonės D</w:t>
      </w:r>
      <w:r w:rsidR="00C67CE5" w:rsidRPr="00ED3D25">
        <w:rPr>
          <w:b/>
          <w:bCs/>
          <w:sz w:val="22"/>
          <w:lang w:val="lt-LT"/>
        </w:rPr>
        <w:t xml:space="preserve"> trumpalaikio turto likvidumo ir finansinio sverto rodikliai</w:t>
      </w:r>
    </w:p>
    <w:p w:rsidR="00C67CE5" w:rsidRPr="00ED3D25" w:rsidRDefault="00C67CE5" w:rsidP="004665BD">
      <w:pPr>
        <w:spacing w:after="0" w:line="240" w:lineRule="auto"/>
        <w:rPr>
          <w:sz w:val="22"/>
          <w:lang w:val="lt-LT"/>
        </w:rPr>
      </w:pPr>
    </w:p>
    <w:tbl>
      <w:tblPr>
        <w:tblStyle w:val="TableGrid"/>
        <w:tblW w:w="5000" w:type="pct"/>
        <w:jc w:val="center"/>
        <w:tblLook w:val="04A0" w:firstRow="1" w:lastRow="0" w:firstColumn="1" w:lastColumn="0" w:noHBand="0" w:noVBand="1"/>
      </w:tblPr>
      <w:tblGrid>
        <w:gridCol w:w="1378"/>
        <w:gridCol w:w="1689"/>
        <w:gridCol w:w="1689"/>
        <w:gridCol w:w="1690"/>
        <w:gridCol w:w="1723"/>
        <w:gridCol w:w="1686"/>
      </w:tblGrid>
      <w:tr w:rsidR="001C247E" w:rsidRPr="00ED3D25" w:rsidTr="00B92C9A">
        <w:trPr>
          <w:jc w:val="center"/>
        </w:trPr>
        <w:tc>
          <w:tcPr>
            <w:tcW w:w="2422" w:type="pct"/>
            <w:gridSpan w:val="3"/>
            <w:vAlign w:val="center"/>
          </w:tcPr>
          <w:p w:rsidR="001C247E" w:rsidRPr="00ED3D25" w:rsidRDefault="001C247E" w:rsidP="00B92C9A">
            <w:pPr>
              <w:spacing w:line="240" w:lineRule="auto"/>
              <w:jc w:val="right"/>
              <w:rPr>
                <w:b/>
                <w:bCs/>
                <w:lang w:val="lt-LT"/>
              </w:rPr>
            </w:pPr>
            <w:r w:rsidRPr="00ED3D25">
              <w:rPr>
                <w:b/>
                <w:bCs/>
                <w:lang w:val="lt-LT"/>
              </w:rPr>
              <w:t>Trumpalaikio turto likvidumo rodikliai</w:t>
            </w:r>
          </w:p>
        </w:tc>
        <w:tc>
          <w:tcPr>
            <w:tcW w:w="2578" w:type="pct"/>
            <w:gridSpan w:val="3"/>
            <w:vAlign w:val="center"/>
          </w:tcPr>
          <w:p w:rsidR="001C247E" w:rsidRPr="00ED3D25" w:rsidRDefault="001C247E" w:rsidP="004665BD">
            <w:pPr>
              <w:spacing w:line="240" w:lineRule="auto"/>
              <w:jc w:val="center"/>
              <w:rPr>
                <w:b/>
                <w:bCs/>
                <w:lang w:val="lt-LT"/>
              </w:rPr>
            </w:pPr>
            <w:r w:rsidRPr="00ED3D25">
              <w:rPr>
                <w:b/>
                <w:bCs/>
                <w:lang w:val="lt-LT"/>
              </w:rPr>
              <w:t>Finansinio sverto rodikliai</w:t>
            </w:r>
          </w:p>
        </w:tc>
      </w:tr>
      <w:tr w:rsidR="001C247E" w:rsidRPr="00ED3D25" w:rsidTr="00B92C9A">
        <w:trPr>
          <w:jc w:val="center"/>
        </w:trPr>
        <w:tc>
          <w:tcPr>
            <w:tcW w:w="702" w:type="pct"/>
            <w:tcBorders>
              <w:tl2br w:val="single" w:sz="4" w:space="0" w:color="auto"/>
            </w:tcBorders>
            <w:vAlign w:val="center"/>
          </w:tcPr>
          <w:p w:rsidR="001C247E" w:rsidRDefault="001C247E" w:rsidP="00B92C9A">
            <w:pPr>
              <w:spacing w:line="240" w:lineRule="auto"/>
              <w:jc w:val="right"/>
              <w:rPr>
                <w:b/>
                <w:bCs/>
                <w:lang w:val="lt-LT"/>
              </w:rPr>
            </w:pPr>
            <w:r w:rsidRPr="00ED3D25">
              <w:rPr>
                <w:b/>
                <w:bCs/>
                <w:lang w:val="lt-LT"/>
              </w:rPr>
              <w:t>Rodiklis</w:t>
            </w:r>
          </w:p>
          <w:p w:rsidR="00B92C9A" w:rsidRPr="00ED3D25" w:rsidRDefault="00B92C9A" w:rsidP="004665BD">
            <w:pPr>
              <w:spacing w:line="240" w:lineRule="auto"/>
              <w:rPr>
                <w:b/>
                <w:bCs/>
                <w:lang w:val="lt-LT"/>
              </w:rPr>
            </w:pPr>
            <w:r>
              <w:rPr>
                <w:b/>
                <w:bCs/>
                <w:lang w:val="lt-LT"/>
              </w:rPr>
              <w:t>Metai</w:t>
            </w:r>
          </w:p>
        </w:tc>
        <w:tc>
          <w:tcPr>
            <w:tcW w:w="860" w:type="pct"/>
            <w:vAlign w:val="center"/>
          </w:tcPr>
          <w:p w:rsidR="001C247E" w:rsidRPr="00ED3D25" w:rsidRDefault="001C247E" w:rsidP="00B92C9A">
            <w:pPr>
              <w:spacing w:line="240" w:lineRule="auto"/>
              <w:jc w:val="center"/>
              <w:rPr>
                <w:b/>
                <w:bCs/>
                <w:lang w:val="lt-LT"/>
              </w:rPr>
            </w:pPr>
            <w:r w:rsidRPr="00ED3D25">
              <w:rPr>
                <w:b/>
                <w:bCs/>
                <w:lang w:val="lt-LT"/>
              </w:rPr>
              <w:t>Einamasis likvidumas</w:t>
            </w:r>
          </w:p>
        </w:tc>
        <w:tc>
          <w:tcPr>
            <w:tcW w:w="860" w:type="pct"/>
            <w:vAlign w:val="center"/>
          </w:tcPr>
          <w:p w:rsidR="001C247E" w:rsidRPr="00ED3D25" w:rsidRDefault="001C247E" w:rsidP="00B92C9A">
            <w:pPr>
              <w:spacing w:line="240" w:lineRule="auto"/>
              <w:jc w:val="center"/>
              <w:rPr>
                <w:b/>
                <w:bCs/>
                <w:lang w:val="lt-LT"/>
              </w:rPr>
            </w:pPr>
            <w:r w:rsidRPr="00ED3D25">
              <w:rPr>
                <w:b/>
                <w:bCs/>
                <w:lang w:val="lt-LT"/>
              </w:rPr>
              <w:t>Absoliutus likvidumas</w:t>
            </w:r>
          </w:p>
        </w:tc>
        <w:tc>
          <w:tcPr>
            <w:tcW w:w="860" w:type="pct"/>
            <w:vAlign w:val="center"/>
          </w:tcPr>
          <w:p w:rsidR="001C247E" w:rsidRPr="00ED3D25" w:rsidRDefault="001C247E" w:rsidP="00B92C9A">
            <w:pPr>
              <w:spacing w:line="240" w:lineRule="auto"/>
              <w:jc w:val="center"/>
              <w:rPr>
                <w:b/>
                <w:bCs/>
                <w:lang w:val="lt-LT"/>
              </w:rPr>
            </w:pPr>
            <w:r w:rsidRPr="00ED3D25">
              <w:rPr>
                <w:rFonts w:asciiTheme="majorBidi" w:hAnsiTheme="majorBidi" w:cstheme="majorBidi"/>
                <w:b/>
                <w:bCs/>
                <w:lang w:val="lt-LT"/>
              </w:rPr>
              <w:t>Įsiskolinimo koeficientas</w:t>
            </w:r>
          </w:p>
        </w:tc>
        <w:tc>
          <w:tcPr>
            <w:tcW w:w="860" w:type="pct"/>
            <w:vAlign w:val="center"/>
          </w:tcPr>
          <w:p w:rsidR="001C247E" w:rsidRPr="00ED3D25" w:rsidRDefault="001C247E" w:rsidP="00B92C9A">
            <w:pPr>
              <w:spacing w:line="240" w:lineRule="auto"/>
              <w:jc w:val="center"/>
              <w:rPr>
                <w:rFonts w:asciiTheme="majorBidi" w:hAnsiTheme="majorBidi" w:cstheme="majorBidi"/>
                <w:b/>
                <w:bCs/>
                <w:lang w:val="lt-LT"/>
              </w:rPr>
            </w:pPr>
            <w:r w:rsidRPr="00ED3D25">
              <w:rPr>
                <w:rFonts w:asciiTheme="majorBidi" w:hAnsiTheme="majorBidi" w:cstheme="majorBidi"/>
                <w:b/>
                <w:bCs/>
                <w:lang w:val="lt-LT"/>
              </w:rPr>
              <w:t>Įsipareigojim</w:t>
            </w:r>
            <w:r w:rsidR="00415DB6">
              <w:rPr>
                <w:rFonts w:asciiTheme="majorBidi" w:hAnsiTheme="majorBidi" w:cstheme="majorBidi"/>
                <w:b/>
                <w:bCs/>
                <w:lang w:val="lt-LT"/>
              </w:rPr>
              <w:t xml:space="preserve">ų ir </w:t>
            </w:r>
            <w:r w:rsidRPr="00ED3D25">
              <w:rPr>
                <w:rFonts w:asciiTheme="majorBidi" w:hAnsiTheme="majorBidi" w:cstheme="majorBidi"/>
                <w:b/>
                <w:bCs/>
                <w:lang w:val="lt-LT"/>
              </w:rPr>
              <w:t>NK santykis</w:t>
            </w:r>
          </w:p>
        </w:tc>
        <w:tc>
          <w:tcPr>
            <w:tcW w:w="858" w:type="pct"/>
            <w:vAlign w:val="center"/>
          </w:tcPr>
          <w:p w:rsidR="001C247E" w:rsidRPr="00ED3D25" w:rsidRDefault="001C247E" w:rsidP="00B92C9A">
            <w:pPr>
              <w:spacing w:line="240" w:lineRule="auto"/>
              <w:jc w:val="center"/>
              <w:rPr>
                <w:rFonts w:asciiTheme="majorBidi" w:hAnsiTheme="majorBidi" w:cstheme="majorBidi"/>
                <w:b/>
                <w:bCs/>
                <w:lang w:val="lt-LT"/>
              </w:rPr>
            </w:pPr>
            <w:r w:rsidRPr="00ED3D25">
              <w:rPr>
                <w:rFonts w:asciiTheme="majorBidi" w:hAnsiTheme="majorBidi" w:cstheme="majorBidi"/>
                <w:b/>
                <w:bCs/>
                <w:lang w:val="lt-LT"/>
              </w:rPr>
              <w:t>Turto ir NK santykis</w:t>
            </w:r>
          </w:p>
        </w:tc>
      </w:tr>
      <w:tr w:rsidR="001C247E" w:rsidRPr="00ED3D25" w:rsidTr="00B92C9A">
        <w:trPr>
          <w:jc w:val="center"/>
        </w:trPr>
        <w:tc>
          <w:tcPr>
            <w:tcW w:w="702" w:type="pct"/>
            <w:vAlign w:val="center"/>
          </w:tcPr>
          <w:p w:rsidR="001C247E" w:rsidRPr="00ED3D25" w:rsidRDefault="001C247E" w:rsidP="004665BD">
            <w:pPr>
              <w:spacing w:line="240" w:lineRule="auto"/>
              <w:rPr>
                <w:b/>
                <w:bCs/>
                <w:lang w:val="lt-LT"/>
              </w:rPr>
            </w:pPr>
            <w:r w:rsidRPr="00ED3D25">
              <w:rPr>
                <w:b/>
                <w:bCs/>
                <w:lang w:val="lt-LT"/>
              </w:rPr>
              <w:t>2010 m.</w:t>
            </w:r>
          </w:p>
        </w:tc>
        <w:tc>
          <w:tcPr>
            <w:tcW w:w="860" w:type="pct"/>
            <w:vAlign w:val="center"/>
          </w:tcPr>
          <w:p w:rsidR="001C247E" w:rsidRPr="00ED3D25" w:rsidRDefault="001C247E" w:rsidP="004665BD">
            <w:pPr>
              <w:spacing w:line="240" w:lineRule="auto"/>
              <w:jc w:val="center"/>
              <w:rPr>
                <w:lang w:val="lt-LT"/>
              </w:rPr>
            </w:pPr>
            <w:r w:rsidRPr="00ED3D25">
              <w:rPr>
                <w:lang w:val="lt-LT"/>
              </w:rPr>
              <w:t>6,2774</w:t>
            </w:r>
          </w:p>
        </w:tc>
        <w:tc>
          <w:tcPr>
            <w:tcW w:w="860" w:type="pct"/>
            <w:vAlign w:val="center"/>
          </w:tcPr>
          <w:p w:rsidR="001C247E" w:rsidRPr="00ED3D25" w:rsidRDefault="001C247E" w:rsidP="004665BD">
            <w:pPr>
              <w:spacing w:line="240" w:lineRule="auto"/>
              <w:jc w:val="center"/>
              <w:rPr>
                <w:lang w:val="lt-LT"/>
              </w:rPr>
            </w:pPr>
            <w:r w:rsidRPr="00ED3D25">
              <w:rPr>
                <w:lang w:val="lt-LT"/>
              </w:rPr>
              <w:t>1,1466</w:t>
            </w:r>
          </w:p>
        </w:tc>
        <w:tc>
          <w:tcPr>
            <w:tcW w:w="860" w:type="pct"/>
            <w:vAlign w:val="center"/>
          </w:tcPr>
          <w:p w:rsidR="001C247E" w:rsidRPr="00ED3D25" w:rsidRDefault="001C247E" w:rsidP="004665BD">
            <w:pPr>
              <w:spacing w:line="240" w:lineRule="auto"/>
              <w:jc w:val="center"/>
              <w:rPr>
                <w:lang w:val="lt-LT"/>
              </w:rPr>
            </w:pPr>
            <w:r w:rsidRPr="00ED3D25">
              <w:rPr>
                <w:lang w:val="lt-LT"/>
              </w:rPr>
              <w:t>0,6706</w:t>
            </w:r>
          </w:p>
        </w:tc>
        <w:tc>
          <w:tcPr>
            <w:tcW w:w="860" w:type="pct"/>
            <w:vAlign w:val="center"/>
          </w:tcPr>
          <w:p w:rsidR="001C247E" w:rsidRPr="00ED3D25" w:rsidRDefault="001C247E" w:rsidP="004665BD">
            <w:pPr>
              <w:spacing w:line="240" w:lineRule="auto"/>
              <w:jc w:val="center"/>
              <w:rPr>
                <w:lang w:val="lt-LT"/>
              </w:rPr>
            </w:pPr>
            <w:r w:rsidRPr="00ED3D25">
              <w:rPr>
                <w:lang w:val="lt-LT"/>
              </w:rPr>
              <w:t>2,036</w:t>
            </w:r>
          </w:p>
        </w:tc>
        <w:tc>
          <w:tcPr>
            <w:tcW w:w="858" w:type="pct"/>
            <w:vAlign w:val="center"/>
          </w:tcPr>
          <w:p w:rsidR="001C247E" w:rsidRPr="00ED3D25" w:rsidRDefault="001C247E" w:rsidP="004665BD">
            <w:pPr>
              <w:spacing w:line="240" w:lineRule="auto"/>
              <w:jc w:val="center"/>
              <w:rPr>
                <w:lang w:val="lt-LT"/>
              </w:rPr>
            </w:pPr>
            <w:r w:rsidRPr="00ED3D25">
              <w:rPr>
                <w:lang w:val="lt-LT"/>
              </w:rPr>
              <w:t>3,036</w:t>
            </w:r>
          </w:p>
        </w:tc>
      </w:tr>
      <w:tr w:rsidR="001C247E" w:rsidRPr="00ED3D25" w:rsidTr="009D04F3">
        <w:trPr>
          <w:jc w:val="center"/>
        </w:trPr>
        <w:tc>
          <w:tcPr>
            <w:tcW w:w="702" w:type="pct"/>
            <w:vAlign w:val="center"/>
          </w:tcPr>
          <w:p w:rsidR="001C247E" w:rsidRPr="00ED3D25" w:rsidRDefault="001C247E" w:rsidP="004665BD">
            <w:pPr>
              <w:spacing w:line="240" w:lineRule="auto"/>
              <w:rPr>
                <w:b/>
                <w:bCs/>
                <w:lang w:val="lt-LT"/>
              </w:rPr>
            </w:pPr>
            <w:r w:rsidRPr="00ED3D25">
              <w:rPr>
                <w:b/>
                <w:bCs/>
                <w:lang w:val="lt-LT"/>
              </w:rPr>
              <w:t>2011 m.</w:t>
            </w:r>
          </w:p>
        </w:tc>
        <w:tc>
          <w:tcPr>
            <w:tcW w:w="860" w:type="pct"/>
            <w:tcBorders>
              <w:bottom w:val="single" w:sz="4" w:space="0" w:color="auto"/>
            </w:tcBorders>
            <w:vAlign w:val="center"/>
          </w:tcPr>
          <w:p w:rsidR="001C247E" w:rsidRPr="00ED3D25" w:rsidRDefault="001C247E" w:rsidP="004665BD">
            <w:pPr>
              <w:spacing w:line="240" w:lineRule="auto"/>
              <w:jc w:val="center"/>
              <w:rPr>
                <w:lang w:val="lt-LT"/>
              </w:rPr>
            </w:pPr>
            <w:r w:rsidRPr="00ED3D25">
              <w:rPr>
                <w:lang w:val="lt-LT"/>
              </w:rPr>
              <w:t>10,9637</w:t>
            </w:r>
          </w:p>
        </w:tc>
        <w:tc>
          <w:tcPr>
            <w:tcW w:w="860" w:type="pct"/>
            <w:tcBorders>
              <w:bottom w:val="single" w:sz="4" w:space="0" w:color="auto"/>
            </w:tcBorders>
            <w:vAlign w:val="center"/>
          </w:tcPr>
          <w:p w:rsidR="001C247E" w:rsidRPr="00ED3D25" w:rsidRDefault="001C247E" w:rsidP="004665BD">
            <w:pPr>
              <w:spacing w:line="240" w:lineRule="auto"/>
              <w:jc w:val="center"/>
              <w:rPr>
                <w:lang w:val="lt-LT"/>
              </w:rPr>
            </w:pPr>
            <w:r w:rsidRPr="00ED3D25">
              <w:rPr>
                <w:lang w:val="lt-LT"/>
              </w:rPr>
              <w:t>0,0551</w:t>
            </w:r>
          </w:p>
        </w:tc>
        <w:tc>
          <w:tcPr>
            <w:tcW w:w="860" w:type="pct"/>
            <w:tcBorders>
              <w:bottom w:val="single" w:sz="4" w:space="0" w:color="auto"/>
            </w:tcBorders>
            <w:vAlign w:val="center"/>
          </w:tcPr>
          <w:p w:rsidR="001C247E" w:rsidRPr="00ED3D25" w:rsidRDefault="001C247E" w:rsidP="004665BD">
            <w:pPr>
              <w:spacing w:line="240" w:lineRule="auto"/>
              <w:jc w:val="center"/>
              <w:rPr>
                <w:lang w:val="lt-LT"/>
              </w:rPr>
            </w:pPr>
            <w:r w:rsidRPr="00ED3D25">
              <w:rPr>
                <w:lang w:val="lt-LT"/>
              </w:rPr>
              <w:t>0,0696</w:t>
            </w:r>
          </w:p>
        </w:tc>
        <w:tc>
          <w:tcPr>
            <w:tcW w:w="860" w:type="pct"/>
            <w:tcBorders>
              <w:bottom w:val="single" w:sz="4" w:space="0" w:color="auto"/>
            </w:tcBorders>
            <w:vAlign w:val="center"/>
          </w:tcPr>
          <w:p w:rsidR="001C247E" w:rsidRPr="00ED3D25" w:rsidRDefault="001C247E" w:rsidP="004665BD">
            <w:pPr>
              <w:spacing w:line="240" w:lineRule="auto"/>
              <w:jc w:val="center"/>
              <w:rPr>
                <w:lang w:val="lt-LT"/>
              </w:rPr>
            </w:pPr>
            <w:r w:rsidRPr="00ED3D25">
              <w:rPr>
                <w:lang w:val="lt-LT"/>
              </w:rPr>
              <w:t>0,0748</w:t>
            </w:r>
          </w:p>
        </w:tc>
        <w:tc>
          <w:tcPr>
            <w:tcW w:w="858" w:type="pct"/>
            <w:tcBorders>
              <w:bottom w:val="single" w:sz="4" w:space="0" w:color="auto"/>
            </w:tcBorders>
            <w:vAlign w:val="center"/>
          </w:tcPr>
          <w:p w:rsidR="001C247E" w:rsidRPr="00ED3D25" w:rsidRDefault="001C247E" w:rsidP="004665BD">
            <w:pPr>
              <w:spacing w:line="240" w:lineRule="auto"/>
              <w:jc w:val="center"/>
              <w:rPr>
                <w:lang w:val="lt-LT"/>
              </w:rPr>
            </w:pPr>
            <w:r w:rsidRPr="00ED3D25">
              <w:rPr>
                <w:lang w:val="lt-LT"/>
              </w:rPr>
              <w:t>1,0748</w:t>
            </w:r>
          </w:p>
        </w:tc>
      </w:tr>
      <w:tr w:rsidR="001C247E" w:rsidRPr="00ED3D25" w:rsidTr="009D04F3">
        <w:trPr>
          <w:jc w:val="center"/>
        </w:trPr>
        <w:tc>
          <w:tcPr>
            <w:tcW w:w="702" w:type="pct"/>
            <w:vAlign w:val="center"/>
          </w:tcPr>
          <w:p w:rsidR="001C247E" w:rsidRPr="00ED3D25" w:rsidRDefault="001C247E" w:rsidP="004665BD">
            <w:pPr>
              <w:spacing w:line="240" w:lineRule="auto"/>
              <w:rPr>
                <w:b/>
                <w:bCs/>
                <w:lang w:val="lt-LT"/>
              </w:rPr>
            </w:pPr>
            <w:r w:rsidRPr="00ED3D25">
              <w:rPr>
                <w:b/>
                <w:bCs/>
                <w:lang w:val="lt-LT"/>
              </w:rPr>
              <w:t>2012 m.</w:t>
            </w:r>
          </w:p>
        </w:tc>
        <w:tc>
          <w:tcPr>
            <w:tcW w:w="860" w:type="pct"/>
            <w:tcBorders>
              <w:top w:val="single" w:sz="4" w:space="0" w:color="auto"/>
              <w:bottom w:val="single" w:sz="4" w:space="0" w:color="auto"/>
            </w:tcBorders>
            <w:shd w:val="clear" w:color="auto" w:fill="BFBFBF" w:themeFill="background1" w:themeFillShade="BF"/>
            <w:vAlign w:val="center"/>
          </w:tcPr>
          <w:p w:rsidR="001C247E" w:rsidRPr="00ED3D25" w:rsidRDefault="001C247E" w:rsidP="004665BD">
            <w:pPr>
              <w:spacing w:line="240" w:lineRule="auto"/>
              <w:jc w:val="center"/>
              <w:rPr>
                <w:lang w:val="lt-LT"/>
              </w:rPr>
            </w:pPr>
            <w:r w:rsidRPr="00ED3D25">
              <w:rPr>
                <w:lang w:val="lt-LT"/>
              </w:rPr>
              <w:t>0,8083</w:t>
            </w:r>
          </w:p>
        </w:tc>
        <w:tc>
          <w:tcPr>
            <w:tcW w:w="860" w:type="pct"/>
            <w:tcBorders>
              <w:top w:val="single" w:sz="4" w:space="0" w:color="auto"/>
              <w:bottom w:val="single" w:sz="4" w:space="0" w:color="auto"/>
            </w:tcBorders>
            <w:shd w:val="clear" w:color="auto" w:fill="BFBFBF" w:themeFill="background1" w:themeFillShade="BF"/>
            <w:vAlign w:val="center"/>
          </w:tcPr>
          <w:p w:rsidR="001C247E" w:rsidRPr="00ED3D25" w:rsidRDefault="001C247E" w:rsidP="004665BD">
            <w:pPr>
              <w:spacing w:line="240" w:lineRule="auto"/>
              <w:jc w:val="center"/>
              <w:rPr>
                <w:lang w:val="lt-LT"/>
              </w:rPr>
            </w:pPr>
            <w:r w:rsidRPr="00ED3D25">
              <w:rPr>
                <w:lang w:val="lt-LT"/>
              </w:rPr>
              <w:t>0</w:t>
            </w:r>
          </w:p>
        </w:tc>
        <w:tc>
          <w:tcPr>
            <w:tcW w:w="860" w:type="pct"/>
            <w:tcBorders>
              <w:top w:val="single" w:sz="4" w:space="0" w:color="auto"/>
              <w:bottom w:val="single" w:sz="4" w:space="0" w:color="auto"/>
            </w:tcBorders>
            <w:shd w:val="clear" w:color="auto" w:fill="BFBFBF" w:themeFill="background1" w:themeFillShade="BF"/>
            <w:vAlign w:val="center"/>
          </w:tcPr>
          <w:p w:rsidR="001C247E" w:rsidRPr="00ED3D25" w:rsidRDefault="001C247E" w:rsidP="004665BD">
            <w:pPr>
              <w:spacing w:line="240" w:lineRule="auto"/>
              <w:jc w:val="center"/>
              <w:rPr>
                <w:lang w:val="lt-LT"/>
              </w:rPr>
            </w:pPr>
            <w:r w:rsidRPr="00ED3D25">
              <w:rPr>
                <w:lang w:val="lt-LT"/>
              </w:rPr>
              <w:t>0,5245</w:t>
            </w:r>
          </w:p>
        </w:tc>
        <w:tc>
          <w:tcPr>
            <w:tcW w:w="860" w:type="pct"/>
            <w:tcBorders>
              <w:top w:val="single" w:sz="4" w:space="0" w:color="auto"/>
              <w:bottom w:val="single" w:sz="4" w:space="0" w:color="auto"/>
            </w:tcBorders>
            <w:shd w:val="clear" w:color="auto" w:fill="BFBFBF" w:themeFill="background1" w:themeFillShade="BF"/>
            <w:vAlign w:val="center"/>
          </w:tcPr>
          <w:p w:rsidR="001C247E" w:rsidRPr="00ED3D25" w:rsidRDefault="001C247E" w:rsidP="004665BD">
            <w:pPr>
              <w:spacing w:line="240" w:lineRule="auto"/>
              <w:jc w:val="center"/>
              <w:rPr>
                <w:lang w:val="lt-LT"/>
              </w:rPr>
            </w:pPr>
            <w:r w:rsidRPr="00ED3D25">
              <w:rPr>
                <w:lang w:val="lt-LT"/>
              </w:rPr>
              <w:t>1,1032</w:t>
            </w:r>
          </w:p>
        </w:tc>
        <w:tc>
          <w:tcPr>
            <w:tcW w:w="858" w:type="pct"/>
            <w:tcBorders>
              <w:top w:val="single" w:sz="4" w:space="0" w:color="auto"/>
              <w:bottom w:val="single" w:sz="4" w:space="0" w:color="auto"/>
            </w:tcBorders>
            <w:shd w:val="clear" w:color="auto" w:fill="BFBFBF" w:themeFill="background1" w:themeFillShade="BF"/>
            <w:vAlign w:val="center"/>
          </w:tcPr>
          <w:p w:rsidR="001C247E" w:rsidRPr="00ED3D25" w:rsidRDefault="001C247E" w:rsidP="004665BD">
            <w:pPr>
              <w:spacing w:line="240" w:lineRule="auto"/>
              <w:jc w:val="center"/>
              <w:rPr>
                <w:lang w:val="lt-LT"/>
              </w:rPr>
            </w:pPr>
            <w:r w:rsidRPr="00ED3D25">
              <w:rPr>
                <w:lang w:val="lt-LT"/>
              </w:rPr>
              <w:t>2,1032</w:t>
            </w:r>
          </w:p>
        </w:tc>
      </w:tr>
      <w:tr w:rsidR="001C247E" w:rsidRPr="00ED3D25" w:rsidTr="009D04F3">
        <w:trPr>
          <w:jc w:val="center"/>
        </w:trPr>
        <w:tc>
          <w:tcPr>
            <w:tcW w:w="702" w:type="pct"/>
            <w:vAlign w:val="center"/>
          </w:tcPr>
          <w:p w:rsidR="001C247E" w:rsidRPr="00ED3D25" w:rsidRDefault="001C247E" w:rsidP="004665BD">
            <w:pPr>
              <w:spacing w:line="240" w:lineRule="auto"/>
              <w:rPr>
                <w:b/>
                <w:bCs/>
                <w:lang w:val="lt-LT"/>
              </w:rPr>
            </w:pPr>
            <w:r w:rsidRPr="00ED3D25">
              <w:rPr>
                <w:b/>
                <w:bCs/>
                <w:lang w:val="lt-LT"/>
              </w:rPr>
              <w:t>2013 m.</w:t>
            </w:r>
          </w:p>
        </w:tc>
        <w:tc>
          <w:tcPr>
            <w:tcW w:w="860" w:type="pct"/>
            <w:tcBorders>
              <w:top w:val="single" w:sz="4" w:space="0" w:color="auto"/>
            </w:tcBorders>
            <w:vAlign w:val="center"/>
          </w:tcPr>
          <w:p w:rsidR="001C247E" w:rsidRPr="00ED3D25" w:rsidRDefault="001C247E" w:rsidP="004665BD">
            <w:pPr>
              <w:spacing w:line="240" w:lineRule="auto"/>
              <w:jc w:val="center"/>
              <w:rPr>
                <w:lang w:val="lt-LT"/>
              </w:rPr>
            </w:pPr>
            <w:r w:rsidRPr="00ED3D25">
              <w:rPr>
                <w:lang w:val="lt-LT"/>
              </w:rPr>
              <w:t>0,8188</w:t>
            </w:r>
          </w:p>
        </w:tc>
        <w:tc>
          <w:tcPr>
            <w:tcW w:w="860" w:type="pct"/>
            <w:tcBorders>
              <w:top w:val="single" w:sz="4" w:space="0" w:color="auto"/>
            </w:tcBorders>
            <w:vAlign w:val="center"/>
          </w:tcPr>
          <w:p w:rsidR="001C247E" w:rsidRPr="00ED3D25" w:rsidRDefault="001C247E" w:rsidP="004665BD">
            <w:pPr>
              <w:spacing w:line="240" w:lineRule="auto"/>
              <w:jc w:val="center"/>
              <w:rPr>
                <w:lang w:val="lt-LT"/>
              </w:rPr>
            </w:pPr>
            <w:r w:rsidRPr="00ED3D25">
              <w:rPr>
                <w:lang w:val="lt-LT"/>
              </w:rPr>
              <w:t>0,0129</w:t>
            </w:r>
          </w:p>
        </w:tc>
        <w:tc>
          <w:tcPr>
            <w:tcW w:w="860" w:type="pct"/>
            <w:tcBorders>
              <w:top w:val="single" w:sz="4" w:space="0" w:color="auto"/>
            </w:tcBorders>
            <w:vAlign w:val="center"/>
          </w:tcPr>
          <w:p w:rsidR="001C247E" w:rsidRPr="00ED3D25" w:rsidRDefault="001C247E" w:rsidP="004665BD">
            <w:pPr>
              <w:spacing w:line="240" w:lineRule="auto"/>
              <w:jc w:val="center"/>
              <w:rPr>
                <w:lang w:val="lt-LT"/>
              </w:rPr>
            </w:pPr>
            <w:r w:rsidRPr="00ED3D25">
              <w:rPr>
                <w:lang w:val="lt-LT"/>
              </w:rPr>
              <w:t>0,4663</w:t>
            </w:r>
          </w:p>
        </w:tc>
        <w:tc>
          <w:tcPr>
            <w:tcW w:w="860" w:type="pct"/>
            <w:tcBorders>
              <w:top w:val="single" w:sz="4" w:space="0" w:color="auto"/>
            </w:tcBorders>
            <w:vAlign w:val="center"/>
          </w:tcPr>
          <w:p w:rsidR="001C247E" w:rsidRPr="00ED3D25" w:rsidRDefault="001C247E" w:rsidP="004665BD">
            <w:pPr>
              <w:spacing w:line="240" w:lineRule="auto"/>
              <w:jc w:val="center"/>
              <w:rPr>
                <w:lang w:val="lt-LT"/>
              </w:rPr>
            </w:pPr>
            <w:r w:rsidRPr="00ED3D25">
              <w:rPr>
                <w:lang w:val="lt-LT"/>
              </w:rPr>
              <w:t>0,8736</w:t>
            </w:r>
          </w:p>
        </w:tc>
        <w:tc>
          <w:tcPr>
            <w:tcW w:w="858" w:type="pct"/>
            <w:tcBorders>
              <w:top w:val="single" w:sz="4" w:space="0" w:color="auto"/>
            </w:tcBorders>
            <w:vAlign w:val="center"/>
          </w:tcPr>
          <w:p w:rsidR="001C247E" w:rsidRPr="00ED3D25" w:rsidRDefault="001C247E" w:rsidP="004665BD">
            <w:pPr>
              <w:spacing w:line="240" w:lineRule="auto"/>
              <w:jc w:val="center"/>
              <w:rPr>
                <w:lang w:val="lt-LT"/>
              </w:rPr>
            </w:pPr>
            <w:r w:rsidRPr="00ED3D25">
              <w:rPr>
                <w:lang w:val="lt-LT"/>
              </w:rPr>
              <w:t>1,8736</w:t>
            </w:r>
          </w:p>
        </w:tc>
      </w:tr>
    </w:tbl>
    <w:p w:rsidR="00C67CE5" w:rsidRPr="00ED3D25" w:rsidRDefault="00C67CE5" w:rsidP="009D04F3">
      <w:pPr>
        <w:tabs>
          <w:tab w:val="left" w:pos="8456"/>
        </w:tabs>
        <w:spacing w:after="0" w:line="240" w:lineRule="auto"/>
        <w:rPr>
          <w:sz w:val="20"/>
          <w:szCs w:val="20"/>
          <w:lang w:val="lt-LT"/>
        </w:rPr>
      </w:pPr>
      <w:r w:rsidRPr="00ED3D25">
        <w:rPr>
          <w:sz w:val="20"/>
          <w:szCs w:val="20"/>
          <w:lang w:val="lt-LT"/>
        </w:rPr>
        <w:lastRenderedPageBreak/>
        <w:t>Pastaba: lentelė sudaryta autorės</w:t>
      </w:r>
      <w:r w:rsidR="00D27D54" w:rsidRPr="00ED3D25">
        <w:rPr>
          <w:sz w:val="20"/>
          <w:szCs w:val="20"/>
          <w:lang w:val="lt-LT"/>
        </w:rPr>
        <w:t>, remiantis įmonės D</w:t>
      </w:r>
      <w:r w:rsidR="004955A5" w:rsidRPr="00ED3D25">
        <w:rPr>
          <w:sz w:val="20"/>
          <w:szCs w:val="20"/>
          <w:lang w:val="lt-LT"/>
        </w:rPr>
        <w:t xml:space="preserve"> 2011</w:t>
      </w:r>
      <w:r w:rsidRPr="00ED3D25">
        <w:rPr>
          <w:sz w:val="20"/>
          <w:szCs w:val="20"/>
          <w:lang w:val="lt-LT"/>
        </w:rPr>
        <w:t>-2013 m. balanso finansiniais duomenimis</w:t>
      </w:r>
      <w:r w:rsidR="009D04F3">
        <w:rPr>
          <w:sz w:val="20"/>
          <w:szCs w:val="20"/>
          <w:lang w:val="lt-LT"/>
        </w:rPr>
        <w:t>, taip pat paryškintas laikotarpis, kada įmonė gavo paramą.</w:t>
      </w:r>
    </w:p>
    <w:p w:rsidR="000E0CE4" w:rsidRPr="009D04F3" w:rsidRDefault="000E0CE4" w:rsidP="009D04F3">
      <w:pPr>
        <w:spacing w:after="0" w:line="240" w:lineRule="auto"/>
        <w:rPr>
          <w:sz w:val="14"/>
          <w:szCs w:val="14"/>
          <w:lang w:val="lt-LT"/>
        </w:rPr>
      </w:pPr>
    </w:p>
    <w:p w:rsidR="00C67CE5" w:rsidRPr="00ED3D25" w:rsidRDefault="00415DB6" w:rsidP="00415DB6">
      <w:pPr>
        <w:spacing w:after="0"/>
        <w:ind w:firstLine="851"/>
        <w:rPr>
          <w:szCs w:val="24"/>
          <w:lang w:val="lt-LT"/>
        </w:rPr>
      </w:pPr>
      <w:r>
        <w:rPr>
          <w:szCs w:val="24"/>
          <w:lang w:val="lt-LT"/>
        </w:rPr>
        <w:t>Analizuojant</w:t>
      </w:r>
      <w:r w:rsidR="00E77766">
        <w:rPr>
          <w:szCs w:val="24"/>
          <w:lang w:val="lt-LT"/>
        </w:rPr>
        <w:t xml:space="preserve"> 19</w:t>
      </w:r>
      <w:r w:rsidR="000E0CE4" w:rsidRPr="00ED3D25">
        <w:rPr>
          <w:szCs w:val="24"/>
          <w:lang w:val="lt-LT"/>
        </w:rPr>
        <w:t xml:space="preserve"> lentelę matyti, kad einamasis likvidumas</w:t>
      </w:r>
      <w:r w:rsidR="0073661B" w:rsidRPr="00ED3D25">
        <w:rPr>
          <w:szCs w:val="24"/>
          <w:lang w:val="lt-LT"/>
        </w:rPr>
        <w:t xml:space="preserve"> didžiausias 2011 m., nes trumpalaikio turto buvo prikaupta daugiau nei 200 tūkst. litų. Vis dėlto, 2013 m. rodiklio reikšmė tesiekė apie 0,82, tokį pokytį lėmė </w:t>
      </w:r>
      <w:r w:rsidR="00DF58B1" w:rsidRPr="00ED3D25">
        <w:rPr>
          <w:szCs w:val="24"/>
          <w:lang w:val="lt-LT"/>
        </w:rPr>
        <w:t xml:space="preserve">labai išaugę trumpalaikiai įsipareigojimai, kai trumpalaikio turto buvo kaupta </w:t>
      </w:r>
      <w:r>
        <w:rPr>
          <w:szCs w:val="24"/>
          <w:lang w:val="lt-LT"/>
        </w:rPr>
        <w:t>mažiau, palyginus su</w:t>
      </w:r>
      <w:r w:rsidR="00DF58B1" w:rsidRPr="00ED3D25">
        <w:rPr>
          <w:szCs w:val="24"/>
          <w:lang w:val="lt-LT"/>
        </w:rPr>
        <w:t xml:space="preserve"> įsipareigojimų</w:t>
      </w:r>
      <w:r>
        <w:rPr>
          <w:szCs w:val="24"/>
          <w:lang w:val="lt-LT"/>
        </w:rPr>
        <w:t xml:space="preserve"> suma</w:t>
      </w:r>
      <w:r w:rsidR="00DF58B1" w:rsidRPr="00ED3D25">
        <w:rPr>
          <w:szCs w:val="24"/>
          <w:lang w:val="lt-LT"/>
        </w:rPr>
        <w:t xml:space="preserve">. </w:t>
      </w:r>
      <w:r w:rsidR="004773E3" w:rsidRPr="00ED3D25">
        <w:rPr>
          <w:szCs w:val="24"/>
          <w:lang w:val="lt-LT"/>
        </w:rPr>
        <w:t xml:space="preserve">Analizuojant absoliutų likvidumą </w:t>
      </w:r>
      <w:r>
        <w:rPr>
          <w:szCs w:val="24"/>
          <w:lang w:val="lt-LT"/>
        </w:rPr>
        <w:t>kas</w:t>
      </w:r>
      <w:r w:rsidR="004773E3" w:rsidRPr="00ED3D25">
        <w:rPr>
          <w:szCs w:val="24"/>
          <w:lang w:val="lt-LT"/>
        </w:rPr>
        <w:t xml:space="preserve">met rodiklis mažėja, nes vis mažiau </w:t>
      </w:r>
      <w:r w:rsidR="00C11CEA" w:rsidRPr="00ED3D25">
        <w:rPr>
          <w:szCs w:val="24"/>
          <w:lang w:val="lt-LT"/>
        </w:rPr>
        <w:t>kaupiama pinigų ir jų ekvivalentų.</w:t>
      </w:r>
      <w:r>
        <w:rPr>
          <w:szCs w:val="24"/>
          <w:lang w:val="lt-LT"/>
        </w:rPr>
        <w:t xml:space="preserve"> Tad ES finansinės paramos panaudojimas įmonei D  likvidumo atžvilgiu naudos nesuteikė.</w:t>
      </w:r>
    </w:p>
    <w:p w:rsidR="00C11CEA" w:rsidRPr="00ED3D25" w:rsidRDefault="00C11CEA" w:rsidP="00B557A7">
      <w:pPr>
        <w:spacing w:after="0"/>
        <w:ind w:firstLine="851"/>
        <w:rPr>
          <w:szCs w:val="24"/>
          <w:lang w:val="lt-LT"/>
        </w:rPr>
      </w:pPr>
      <w:r w:rsidRPr="00ED3D25">
        <w:rPr>
          <w:szCs w:val="24"/>
          <w:lang w:val="lt-LT"/>
        </w:rPr>
        <w:t xml:space="preserve">Vertinant finansinio sverto rodiklius matyti, kad įsiskolinimo koeficientas tiriamu laikotarpiu kito netolygiai. </w:t>
      </w:r>
      <w:r w:rsidR="00466664" w:rsidRPr="00ED3D25">
        <w:rPr>
          <w:szCs w:val="24"/>
          <w:lang w:val="lt-LT"/>
        </w:rPr>
        <w:t>Mažiausią</w:t>
      </w:r>
      <w:r w:rsidR="00415DB6">
        <w:rPr>
          <w:szCs w:val="24"/>
          <w:lang w:val="lt-LT"/>
        </w:rPr>
        <w:t xml:space="preserve"> reikšmę</w:t>
      </w:r>
      <w:r w:rsidR="00466664" w:rsidRPr="00ED3D25">
        <w:rPr>
          <w:szCs w:val="24"/>
          <w:lang w:val="lt-LT"/>
        </w:rPr>
        <w:t xml:space="preserve"> galima pastebėti 2011 m., kai įsipareigojimai buvo šiek tiek didesni nei 20 tūkst. </w:t>
      </w:r>
      <w:r w:rsidR="00A80249" w:rsidRPr="00ED3D25">
        <w:rPr>
          <w:szCs w:val="24"/>
          <w:lang w:val="lt-LT"/>
        </w:rPr>
        <w:t>l</w:t>
      </w:r>
      <w:r w:rsidR="00415DB6">
        <w:rPr>
          <w:szCs w:val="24"/>
          <w:lang w:val="lt-LT"/>
        </w:rPr>
        <w:t>itų. Tačiau nuo ES finansinės paramos įsisavinimo įsiskolinimo koeficientas išaugo iki 52 proc., o</w:t>
      </w:r>
      <w:r w:rsidR="00466664" w:rsidRPr="00ED3D25">
        <w:rPr>
          <w:szCs w:val="24"/>
          <w:lang w:val="lt-LT"/>
        </w:rPr>
        <w:t xml:space="preserve"> 2013 m. fiksuota 0,47 reikšmė, kuri dar patenka į rek</w:t>
      </w:r>
      <w:r w:rsidR="001C247E" w:rsidRPr="00ED3D25">
        <w:rPr>
          <w:szCs w:val="24"/>
          <w:lang w:val="lt-LT"/>
        </w:rPr>
        <w:t>omenduotiną intervalą, tačiau</w:t>
      </w:r>
      <w:r w:rsidR="00466664" w:rsidRPr="00ED3D25">
        <w:rPr>
          <w:szCs w:val="24"/>
          <w:lang w:val="lt-LT"/>
        </w:rPr>
        <w:t xml:space="preserve"> beveik pu</w:t>
      </w:r>
      <w:r w:rsidR="00A80249" w:rsidRPr="00ED3D25">
        <w:rPr>
          <w:szCs w:val="24"/>
          <w:lang w:val="lt-LT"/>
        </w:rPr>
        <w:t xml:space="preserve">sė turto finansuojama skolomis. </w:t>
      </w:r>
      <w:r w:rsidR="00415DB6">
        <w:rPr>
          <w:szCs w:val="24"/>
          <w:lang w:val="lt-LT"/>
        </w:rPr>
        <w:t xml:space="preserve">Tad galima teigti, kad ES lėšomis finansuojami projekto darbai sukėlė neigiamą poveikį šiam koeficientui. </w:t>
      </w:r>
      <w:r w:rsidR="00A80249" w:rsidRPr="00ED3D25">
        <w:rPr>
          <w:szCs w:val="24"/>
          <w:lang w:val="lt-LT"/>
        </w:rPr>
        <w:t>Įsipareigojimų ir nuosavo kapitalo santykis 2011 m. buvo didžiausias, t.y. siekė daugiau nei 2</w:t>
      </w:r>
      <w:r w:rsidR="0091605E" w:rsidRPr="00ED3D25">
        <w:rPr>
          <w:szCs w:val="24"/>
          <w:lang w:val="lt-LT"/>
        </w:rPr>
        <w:t>, tuomet įsipareigojimai buvo dvigubai didesni, nei nuosavas kapitalas. O</w:t>
      </w:r>
      <w:r w:rsidR="00B557A7">
        <w:rPr>
          <w:szCs w:val="24"/>
          <w:lang w:val="lt-LT"/>
        </w:rPr>
        <w:t xml:space="preserve"> po ES finansinės paramos panaudojimo, t. y.</w:t>
      </w:r>
      <w:r w:rsidR="0091605E" w:rsidRPr="00ED3D25">
        <w:rPr>
          <w:szCs w:val="24"/>
          <w:lang w:val="lt-LT"/>
        </w:rPr>
        <w:t xml:space="preserve"> 2013 m. įsipareigojimai sudarė 0,8 nuosavo kapitalo dalį. Tad </w:t>
      </w:r>
      <w:r w:rsidR="00B557A7">
        <w:rPr>
          <w:szCs w:val="24"/>
          <w:lang w:val="lt-LT"/>
        </w:rPr>
        <w:t>2012-2013 m. laikotarpiu</w:t>
      </w:r>
      <w:r w:rsidR="0091605E" w:rsidRPr="00ED3D25">
        <w:rPr>
          <w:szCs w:val="24"/>
          <w:lang w:val="lt-LT"/>
        </w:rPr>
        <w:t xml:space="preserve"> </w:t>
      </w:r>
      <w:r w:rsidR="00B557A7">
        <w:rPr>
          <w:szCs w:val="24"/>
          <w:lang w:val="lt-LT"/>
        </w:rPr>
        <w:t>išaugo tiek</w:t>
      </w:r>
      <w:r w:rsidR="0091605E" w:rsidRPr="00ED3D25">
        <w:rPr>
          <w:szCs w:val="24"/>
          <w:lang w:val="lt-LT"/>
        </w:rPr>
        <w:t xml:space="preserve"> įsipareigojimai, </w:t>
      </w:r>
      <w:r w:rsidR="00B557A7">
        <w:rPr>
          <w:szCs w:val="24"/>
          <w:lang w:val="lt-LT"/>
        </w:rPr>
        <w:t>tiek ir</w:t>
      </w:r>
      <w:r w:rsidR="0091605E" w:rsidRPr="00ED3D25">
        <w:rPr>
          <w:szCs w:val="24"/>
          <w:lang w:val="lt-LT"/>
        </w:rPr>
        <w:t xml:space="preserve"> nuosavas kapitalas. Didžiausias turto ir nuosavo ka</w:t>
      </w:r>
      <w:r w:rsidR="00B557A7">
        <w:rPr>
          <w:szCs w:val="24"/>
          <w:lang w:val="lt-LT"/>
        </w:rPr>
        <w:t>pitalo santykis užfiksuotas 2010</w:t>
      </w:r>
      <w:r w:rsidR="0091605E" w:rsidRPr="00ED3D25">
        <w:rPr>
          <w:szCs w:val="24"/>
          <w:lang w:val="lt-LT"/>
        </w:rPr>
        <w:t xml:space="preserve"> m., kuomet rodiklis siekė daugiau nei 3, tuomet investuotas nuosavas kapitalas uždirbo 3 kartus daugiau turto. 2013 m. nuosav</w:t>
      </w:r>
      <w:r w:rsidR="00B557A7">
        <w:rPr>
          <w:szCs w:val="24"/>
          <w:lang w:val="lt-LT"/>
        </w:rPr>
        <w:t>o</w:t>
      </w:r>
      <w:r w:rsidR="0091605E" w:rsidRPr="00ED3D25">
        <w:rPr>
          <w:szCs w:val="24"/>
          <w:lang w:val="lt-LT"/>
        </w:rPr>
        <w:t xml:space="preserve"> kapital</w:t>
      </w:r>
      <w:r w:rsidR="00B557A7">
        <w:rPr>
          <w:szCs w:val="24"/>
          <w:lang w:val="lt-LT"/>
        </w:rPr>
        <w:t>o</w:t>
      </w:r>
      <w:r w:rsidR="0091605E" w:rsidRPr="00ED3D25">
        <w:rPr>
          <w:szCs w:val="24"/>
          <w:lang w:val="lt-LT"/>
        </w:rPr>
        <w:t xml:space="preserve"> </w:t>
      </w:r>
      <w:r w:rsidR="00B557A7">
        <w:rPr>
          <w:szCs w:val="24"/>
          <w:lang w:val="lt-LT"/>
        </w:rPr>
        <w:t xml:space="preserve">uždirbama turto dalis sumažėjo iki </w:t>
      </w:r>
      <w:r w:rsidR="0091605E" w:rsidRPr="00ED3D25">
        <w:rPr>
          <w:szCs w:val="24"/>
          <w:lang w:val="lt-LT"/>
        </w:rPr>
        <w:t>1,8 karto</w:t>
      </w:r>
      <w:r w:rsidR="00642D93">
        <w:rPr>
          <w:szCs w:val="24"/>
          <w:lang w:val="lt-LT"/>
        </w:rPr>
        <w:t>.</w:t>
      </w:r>
      <w:r w:rsidR="00C424EB">
        <w:rPr>
          <w:szCs w:val="24"/>
          <w:lang w:val="lt-LT"/>
        </w:rPr>
        <w:t xml:space="preserve"> Du iš trijų finansinio sverto rodiklių taip pat pasikeitė į neigiamą pusę lyginant juos prieš ES finansinės paramos gavimą ir po jos. Vienintelis turto ir nuosavo kapitalo santykis 2013 m. siekė 1,8, lyginant su 2011 m. </w:t>
      </w:r>
      <w:r w:rsidR="00642D93">
        <w:rPr>
          <w:szCs w:val="24"/>
          <w:lang w:val="lt-LT"/>
        </w:rPr>
        <w:t xml:space="preserve">siekusiu </w:t>
      </w:r>
      <w:r w:rsidR="00C424EB">
        <w:rPr>
          <w:szCs w:val="24"/>
          <w:lang w:val="lt-LT"/>
        </w:rPr>
        <w:t>1,07.</w:t>
      </w:r>
    </w:p>
    <w:p w:rsidR="00C67CE5" w:rsidRPr="00ED3D25" w:rsidRDefault="00E22853" w:rsidP="004665BD">
      <w:pPr>
        <w:spacing w:after="0"/>
        <w:jc w:val="right"/>
        <w:rPr>
          <w:b/>
          <w:bCs/>
          <w:sz w:val="22"/>
          <w:lang w:val="lt-LT"/>
        </w:rPr>
      </w:pPr>
      <w:r w:rsidRPr="00ED3D25">
        <w:rPr>
          <w:b/>
          <w:bCs/>
          <w:sz w:val="22"/>
          <w:lang w:val="lt-LT"/>
        </w:rPr>
        <w:t>20</w:t>
      </w:r>
      <w:r w:rsidR="00C67CE5" w:rsidRPr="00ED3D25">
        <w:rPr>
          <w:b/>
          <w:bCs/>
          <w:sz w:val="22"/>
          <w:lang w:val="lt-LT"/>
        </w:rPr>
        <w:t xml:space="preserve"> lentelė</w:t>
      </w:r>
    </w:p>
    <w:p w:rsidR="00C67CE5" w:rsidRPr="00ED3D25" w:rsidRDefault="006721E6" w:rsidP="004665BD">
      <w:pPr>
        <w:spacing w:after="0" w:line="240" w:lineRule="auto"/>
        <w:jc w:val="center"/>
        <w:rPr>
          <w:b/>
          <w:bCs/>
          <w:sz w:val="22"/>
          <w:lang w:val="lt-LT"/>
        </w:rPr>
      </w:pPr>
      <w:r w:rsidRPr="00ED3D25">
        <w:rPr>
          <w:b/>
          <w:bCs/>
          <w:sz w:val="22"/>
          <w:lang w:val="lt-LT"/>
        </w:rPr>
        <w:t>Įmonės D</w:t>
      </w:r>
      <w:r w:rsidR="00C67CE5" w:rsidRPr="00ED3D25">
        <w:rPr>
          <w:b/>
          <w:bCs/>
          <w:sz w:val="22"/>
          <w:lang w:val="lt-LT"/>
        </w:rPr>
        <w:t xml:space="preserve"> pelningumo rodikliai</w:t>
      </w:r>
    </w:p>
    <w:p w:rsidR="00C67CE5" w:rsidRPr="00ED3D25" w:rsidRDefault="00C67CE5" w:rsidP="004665BD">
      <w:pPr>
        <w:spacing w:after="0" w:line="240" w:lineRule="auto"/>
        <w:rPr>
          <w:sz w:val="22"/>
          <w:lang w:val="lt-LT"/>
        </w:rPr>
      </w:pPr>
    </w:p>
    <w:tbl>
      <w:tblPr>
        <w:tblStyle w:val="TableGrid"/>
        <w:tblW w:w="5000" w:type="pct"/>
        <w:jc w:val="center"/>
        <w:tblLook w:val="04A0" w:firstRow="1" w:lastRow="0" w:firstColumn="1" w:lastColumn="0" w:noHBand="0" w:noVBand="1"/>
      </w:tblPr>
      <w:tblGrid>
        <w:gridCol w:w="1384"/>
        <w:gridCol w:w="1695"/>
        <w:gridCol w:w="1695"/>
        <w:gridCol w:w="1695"/>
        <w:gridCol w:w="1695"/>
        <w:gridCol w:w="1691"/>
      </w:tblGrid>
      <w:tr w:rsidR="00C67CE5" w:rsidRPr="00ED3D25" w:rsidTr="00B92C9A">
        <w:trPr>
          <w:jc w:val="center"/>
        </w:trPr>
        <w:tc>
          <w:tcPr>
            <w:tcW w:w="702" w:type="pct"/>
            <w:tcBorders>
              <w:tl2br w:val="single" w:sz="4" w:space="0" w:color="auto"/>
            </w:tcBorders>
            <w:vAlign w:val="center"/>
          </w:tcPr>
          <w:p w:rsidR="00C67CE5" w:rsidRDefault="00C67CE5" w:rsidP="00B92C9A">
            <w:pPr>
              <w:spacing w:line="240" w:lineRule="auto"/>
              <w:jc w:val="right"/>
              <w:rPr>
                <w:b/>
                <w:bCs/>
                <w:lang w:val="lt-LT"/>
              </w:rPr>
            </w:pPr>
            <w:r w:rsidRPr="00ED3D25">
              <w:rPr>
                <w:b/>
                <w:bCs/>
                <w:lang w:val="lt-LT"/>
              </w:rPr>
              <w:t>Rodiklis</w:t>
            </w:r>
          </w:p>
          <w:p w:rsidR="00B92C9A" w:rsidRPr="00ED3D25" w:rsidRDefault="00B92C9A" w:rsidP="00B92C9A">
            <w:pPr>
              <w:spacing w:line="240" w:lineRule="auto"/>
              <w:rPr>
                <w:b/>
                <w:bCs/>
                <w:lang w:val="lt-LT"/>
              </w:rPr>
            </w:pPr>
            <w:r>
              <w:rPr>
                <w:b/>
                <w:bCs/>
                <w:lang w:val="lt-LT"/>
              </w:rPr>
              <w:t>Metai</w:t>
            </w:r>
          </w:p>
        </w:tc>
        <w:tc>
          <w:tcPr>
            <w:tcW w:w="860" w:type="pct"/>
            <w:vAlign w:val="center"/>
          </w:tcPr>
          <w:p w:rsidR="00C67CE5" w:rsidRPr="00ED3D25" w:rsidRDefault="00C67CE5" w:rsidP="004665BD">
            <w:pPr>
              <w:spacing w:line="240" w:lineRule="auto"/>
              <w:jc w:val="center"/>
              <w:rPr>
                <w:b/>
                <w:bCs/>
                <w:lang w:val="lt-LT"/>
              </w:rPr>
            </w:pPr>
            <w:r w:rsidRPr="00ED3D25">
              <w:rPr>
                <w:rFonts w:asciiTheme="majorBidi" w:hAnsiTheme="majorBidi" w:cstheme="majorBidi"/>
                <w:b/>
                <w:bCs/>
                <w:lang w:val="lt-LT"/>
              </w:rPr>
              <w:t>Grynasis pelningumas</w:t>
            </w:r>
          </w:p>
        </w:tc>
        <w:tc>
          <w:tcPr>
            <w:tcW w:w="860" w:type="pct"/>
            <w:vAlign w:val="center"/>
          </w:tcPr>
          <w:p w:rsidR="00C67CE5" w:rsidRPr="00ED3D25" w:rsidRDefault="00C67CE5" w:rsidP="004665BD">
            <w:pPr>
              <w:spacing w:line="240" w:lineRule="auto"/>
              <w:jc w:val="center"/>
              <w:rPr>
                <w:rFonts w:asciiTheme="majorBidi" w:hAnsiTheme="majorBidi" w:cstheme="majorBidi"/>
                <w:b/>
                <w:bCs/>
                <w:lang w:val="lt-LT"/>
              </w:rPr>
            </w:pPr>
            <w:r w:rsidRPr="00ED3D25">
              <w:rPr>
                <w:rFonts w:asciiTheme="majorBidi" w:hAnsiTheme="majorBidi" w:cstheme="majorBidi"/>
                <w:b/>
                <w:bCs/>
                <w:lang w:val="lt-LT"/>
              </w:rPr>
              <w:t>Bendrasis pelningumas</w:t>
            </w:r>
          </w:p>
        </w:tc>
        <w:tc>
          <w:tcPr>
            <w:tcW w:w="860" w:type="pct"/>
            <w:vAlign w:val="center"/>
          </w:tcPr>
          <w:p w:rsidR="00C67CE5" w:rsidRPr="00ED3D25" w:rsidRDefault="00C67CE5" w:rsidP="004665BD">
            <w:pPr>
              <w:spacing w:line="240" w:lineRule="auto"/>
              <w:jc w:val="center"/>
              <w:rPr>
                <w:b/>
                <w:bCs/>
                <w:lang w:val="lt-LT"/>
              </w:rPr>
            </w:pPr>
            <w:r w:rsidRPr="00ED3D25">
              <w:rPr>
                <w:rFonts w:asciiTheme="majorBidi" w:hAnsiTheme="majorBidi" w:cstheme="majorBidi"/>
                <w:b/>
                <w:bCs/>
                <w:lang w:val="lt-LT"/>
              </w:rPr>
              <w:t>EBIT</w:t>
            </w:r>
          </w:p>
        </w:tc>
        <w:tc>
          <w:tcPr>
            <w:tcW w:w="860" w:type="pct"/>
            <w:vAlign w:val="center"/>
          </w:tcPr>
          <w:p w:rsidR="00C67CE5" w:rsidRPr="00ED3D25" w:rsidRDefault="00C67CE5" w:rsidP="004665BD">
            <w:pPr>
              <w:spacing w:line="240" w:lineRule="auto"/>
              <w:jc w:val="center"/>
              <w:rPr>
                <w:b/>
                <w:bCs/>
                <w:lang w:val="lt-LT"/>
              </w:rPr>
            </w:pPr>
            <w:r w:rsidRPr="00ED3D25">
              <w:rPr>
                <w:rFonts w:asciiTheme="majorBidi" w:hAnsiTheme="majorBidi" w:cstheme="majorBidi"/>
                <w:b/>
                <w:bCs/>
                <w:lang w:val="lt-LT"/>
              </w:rPr>
              <w:t>ROA</w:t>
            </w:r>
          </w:p>
        </w:tc>
        <w:tc>
          <w:tcPr>
            <w:tcW w:w="860" w:type="pct"/>
            <w:vAlign w:val="center"/>
          </w:tcPr>
          <w:p w:rsidR="00C67CE5" w:rsidRPr="00ED3D25" w:rsidRDefault="00C67CE5" w:rsidP="004665BD">
            <w:pPr>
              <w:spacing w:line="240" w:lineRule="auto"/>
              <w:jc w:val="center"/>
              <w:rPr>
                <w:rFonts w:asciiTheme="majorBidi" w:hAnsiTheme="majorBidi" w:cstheme="majorBidi"/>
                <w:b/>
                <w:bCs/>
                <w:lang w:val="lt-LT"/>
              </w:rPr>
            </w:pPr>
            <w:r w:rsidRPr="00ED3D25">
              <w:rPr>
                <w:rFonts w:asciiTheme="majorBidi" w:hAnsiTheme="majorBidi" w:cstheme="majorBidi"/>
                <w:b/>
                <w:bCs/>
                <w:lang w:val="lt-LT"/>
              </w:rPr>
              <w:t>ROE</w:t>
            </w:r>
          </w:p>
        </w:tc>
      </w:tr>
      <w:tr w:rsidR="00C67CE5" w:rsidRPr="00ED3D25" w:rsidTr="00B92C9A">
        <w:trPr>
          <w:jc w:val="center"/>
        </w:trPr>
        <w:tc>
          <w:tcPr>
            <w:tcW w:w="702" w:type="pct"/>
            <w:vAlign w:val="center"/>
          </w:tcPr>
          <w:p w:rsidR="00C67CE5" w:rsidRPr="00ED3D25" w:rsidRDefault="00C67CE5" w:rsidP="00B92C9A">
            <w:pPr>
              <w:spacing w:line="240" w:lineRule="auto"/>
              <w:rPr>
                <w:b/>
                <w:bCs/>
                <w:lang w:val="lt-LT"/>
              </w:rPr>
            </w:pPr>
            <w:r w:rsidRPr="00ED3D25">
              <w:rPr>
                <w:b/>
                <w:bCs/>
                <w:lang w:val="lt-LT"/>
              </w:rPr>
              <w:t>2010 m.</w:t>
            </w:r>
          </w:p>
        </w:tc>
        <w:tc>
          <w:tcPr>
            <w:tcW w:w="860" w:type="pct"/>
            <w:vAlign w:val="center"/>
          </w:tcPr>
          <w:p w:rsidR="00C67CE5" w:rsidRPr="00ED3D25" w:rsidRDefault="002E4A58" w:rsidP="004665BD">
            <w:pPr>
              <w:spacing w:line="240" w:lineRule="auto"/>
              <w:jc w:val="center"/>
              <w:rPr>
                <w:lang w:val="lt-LT"/>
              </w:rPr>
            </w:pPr>
            <w:r w:rsidRPr="00ED3D25">
              <w:rPr>
                <w:lang w:val="lt-LT"/>
              </w:rPr>
              <w:t>0,1622</w:t>
            </w:r>
          </w:p>
        </w:tc>
        <w:tc>
          <w:tcPr>
            <w:tcW w:w="860" w:type="pct"/>
            <w:vAlign w:val="center"/>
          </w:tcPr>
          <w:p w:rsidR="00C67CE5" w:rsidRPr="00ED3D25" w:rsidRDefault="002E4A58" w:rsidP="004665BD">
            <w:pPr>
              <w:spacing w:line="240" w:lineRule="auto"/>
              <w:jc w:val="center"/>
              <w:rPr>
                <w:lang w:val="lt-LT"/>
              </w:rPr>
            </w:pPr>
            <w:r w:rsidRPr="00ED3D25">
              <w:rPr>
                <w:lang w:val="lt-LT"/>
              </w:rPr>
              <w:t>0,4832</w:t>
            </w:r>
          </w:p>
        </w:tc>
        <w:tc>
          <w:tcPr>
            <w:tcW w:w="860" w:type="pct"/>
            <w:vAlign w:val="center"/>
          </w:tcPr>
          <w:p w:rsidR="00C67CE5" w:rsidRPr="00ED3D25" w:rsidRDefault="002E4A58" w:rsidP="004665BD">
            <w:pPr>
              <w:spacing w:line="240" w:lineRule="auto"/>
              <w:jc w:val="center"/>
              <w:rPr>
                <w:lang w:val="lt-LT"/>
              </w:rPr>
            </w:pPr>
            <w:r w:rsidRPr="00ED3D25">
              <w:rPr>
                <w:lang w:val="lt-LT"/>
              </w:rPr>
              <w:t>0,2008</w:t>
            </w:r>
          </w:p>
        </w:tc>
        <w:tc>
          <w:tcPr>
            <w:tcW w:w="860" w:type="pct"/>
            <w:vAlign w:val="center"/>
          </w:tcPr>
          <w:p w:rsidR="00C67CE5" w:rsidRPr="00ED3D25" w:rsidRDefault="00C92A29" w:rsidP="004665BD">
            <w:pPr>
              <w:spacing w:line="240" w:lineRule="auto"/>
              <w:jc w:val="center"/>
              <w:rPr>
                <w:lang w:val="lt-LT"/>
              </w:rPr>
            </w:pPr>
            <w:r w:rsidRPr="00ED3D25">
              <w:rPr>
                <w:lang w:val="lt-LT"/>
              </w:rPr>
              <w:t>-</w:t>
            </w:r>
          </w:p>
        </w:tc>
        <w:tc>
          <w:tcPr>
            <w:tcW w:w="860" w:type="pct"/>
            <w:vAlign w:val="center"/>
          </w:tcPr>
          <w:p w:rsidR="00C67CE5" w:rsidRPr="00ED3D25" w:rsidRDefault="00C92A29" w:rsidP="004665BD">
            <w:pPr>
              <w:spacing w:line="240" w:lineRule="auto"/>
              <w:jc w:val="center"/>
              <w:rPr>
                <w:lang w:val="lt-LT"/>
              </w:rPr>
            </w:pPr>
            <w:r w:rsidRPr="00ED3D25">
              <w:rPr>
                <w:lang w:val="lt-LT"/>
              </w:rPr>
              <w:t>-</w:t>
            </w:r>
          </w:p>
        </w:tc>
      </w:tr>
      <w:tr w:rsidR="00C67CE5" w:rsidRPr="00ED3D25" w:rsidTr="00E77766">
        <w:trPr>
          <w:jc w:val="center"/>
        </w:trPr>
        <w:tc>
          <w:tcPr>
            <w:tcW w:w="702" w:type="pct"/>
            <w:vAlign w:val="center"/>
          </w:tcPr>
          <w:p w:rsidR="00C67CE5" w:rsidRPr="00ED3D25" w:rsidRDefault="00C67CE5" w:rsidP="00B92C9A">
            <w:pPr>
              <w:spacing w:line="240" w:lineRule="auto"/>
              <w:rPr>
                <w:b/>
                <w:bCs/>
                <w:lang w:val="lt-LT"/>
              </w:rPr>
            </w:pPr>
            <w:r w:rsidRPr="00ED3D25">
              <w:rPr>
                <w:b/>
                <w:bCs/>
                <w:lang w:val="lt-LT"/>
              </w:rPr>
              <w:t>2011 m.</w:t>
            </w:r>
          </w:p>
        </w:tc>
        <w:tc>
          <w:tcPr>
            <w:tcW w:w="860" w:type="pct"/>
            <w:tcBorders>
              <w:bottom w:val="single" w:sz="4" w:space="0" w:color="auto"/>
            </w:tcBorders>
            <w:vAlign w:val="center"/>
          </w:tcPr>
          <w:p w:rsidR="00C67CE5" w:rsidRPr="00ED3D25" w:rsidRDefault="002E4A58" w:rsidP="004665BD">
            <w:pPr>
              <w:spacing w:line="240" w:lineRule="auto"/>
              <w:jc w:val="center"/>
              <w:rPr>
                <w:lang w:val="lt-LT"/>
              </w:rPr>
            </w:pPr>
            <w:r w:rsidRPr="00ED3D25">
              <w:rPr>
                <w:lang w:val="lt-LT"/>
              </w:rPr>
              <w:t>0,477</w:t>
            </w:r>
          </w:p>
        </w:tc>
        <w:tc>
          <w:tcPr>
            <w:tcW w:w="860" w:type="pct"/>
            <w:tcBorders>
              <w:bottom w:val="single" w:sz="4" w:space="0" w:color="auto"/>
            </w:tcBorders>
            <w:vAlign w:val="center"/>
          </w:tcPr>
          <w:p w:rsidR="00C67CE5" w:rsidRPr="00ED3D25" w:rsidRDefault="002E4A58" w:rsidP="004665BD">
            <w:pPr>
              <w:spacing w:line="240" w:lineRule="auto"/>
              <w:jc w:val="center"/>
              <w:rPr>
                <w:lang w:val="lt-LT"/>
              </w:rPr>
            </w:pPr>
            <w:r w:rsidRPr="00ED3D25">
              <w:rPr>
                <w:lang w:val="lt-LT"/>
              </w:rPr>
              <w:t>0,882</w:t>
            </w:r>
          </w:p>
        </w:tc>
        <w:tc>
          <w:tcPr>
            <w:tcW w:w="860" w:type="pct"/>
            <w:tcBorders>
              <w:bottom w:val="single" w:sz="4" w:space="0" w:color="auto"/>
            </w:tcBorders>
            <w:vAlign w:val="center"/>
          </w:tcPr>
          <w:p w:rsidR="00C67CE5" w:rsidRPr="00ED3D25" w:rsidRDefault="002E4A58" w:rsidP="004665BD">
            <w:pPr>
              <w:spacing w:line="240" w:lineRule="auto"/>
              <w:jc w:val="center"/>
              <w:rPr>
                <w:lang w:val="lt-LT"/>
              </w:rPr>
            </w:pPr>
            <w:r w:rsidRPr="00ED3D25">
              <w:rPr>
                <w:lang w:val="lt-LT"/>
              </w:rPr>
              <w:t>0,5029</w:t>
            </w:r>
          </w:p>
        </w:tc>
        <w:tc>
          <w:tcPr>
            <w:tcW w:w="860" w:type="pct"/>
            <w:tcBorders>
              <w:bottom w:val="single" w:sz="4" w:space="0" w:color="auto"/>
            </w:tcBorders>
            <w:vAlign w:val="center"/>
          </w:tcPr>
          <w:p w:rsidR="00C67CE5" w:rsidRPr="00ED3D25" w:rsidRDefault="002E4A58" w:rsidP="004665BD">
            <w:pPr>
              <w:spacing w:line="240" w:lineRule="auto"/>
              <w:jc w:val="center"/>
              <w:rPr>
                <w:lang w:val="lt-LT"/>
              </w:rPr>
            </w:pPr>
            <w:r w:rsidRPr="00ED3D25">
              <w:rPr>
                <w:lang w:val="lt-LT"/>
              </w:rPr>
              <w:t>1,1998</w:t>
            </w:r>
          </w:p>
        </w:tc>
        <w:tc>
          <w:tcPr>
            <w:tcW w:w="860" w:type="pct"/>
            <w:tcBorders>
              <w:bottom w:val="single" w:sz="4" w:space="0" w:color="auto"/>
            </w:tcBorders>
            <w:vAlign w:val="center"/>
          </w:tcPr>
          <w:p w:rsidR="00C67CE5" w:rsidRPr="00ED3D25" w:rsidRDefault="002E4A58" w:rsidP="004665BD">
            <w:pPr>
              <w:spacing w:line="240" w:lineRule="auto"/>
              <w:jc w:val="center"/>
              <w:rPr>
                <w:lang w:val="lt-LT"/>
              </w:rPr>
            </w:pPr>
            <w:r w:rsidRPr="00ED3D25">
              <w:rPr>
                <w:lang w:val="lt-LT"/>
              </w:rPr>
              <w:t>1,5528</w:t>
            </w:r>
          </w:p>
        </w:tc>
      </w:tr>
      <w:tr w:rsidR="00C67CE5" w:rsidRPr="00ED3D25" w:rsidTr="00E77766">
        <w:trPr>
          <w:jc w:val="center"/>
        </w:trPr>
        <w:tc>
          <w:tcPr>
            <w:tcW w:w="702" w:type="pct"/>
            <w:vAlign w:val="center"/>
          </w:tcPr>
          <w:p w:rsidR="00C67CE5" w:rsidRPr="00ED3D25" w:rsidRDefault="00C67CE5" w:rsidP="00B92C9A">
            <w:pPr>
              <w:spacing w:line="240" w:lineRule="auto"/>
              <w:rPr>
                <w:b/>
                <w:bCs/>
                <w:lang w:val="lt-LT"/>
              </w:rPr>
            </w:pPr>
            <w:r w:rsidRPr="00ED3D25">
              <w:rPr>
                <w:b/>
                <w:bCs/>
                <w:lang w:val="lt-LT"/>
              </w:rPr>
              <w:t>2012 m.</w:t>
            </w:r>
          </w:p>
        </w:tc>
        <w:tc>
          <w:tcPr>
            <w:tcW w:w="860" w:type="pct"/>
            <w:tcBorders>
              <w:top w:val="single" w:sz="4" w:space="0" w:color="auto"/>
              <w:bottom w:val="single" w:sz="4" w:space="0" w:color="auto"/>
            </w:tcBorders>
            <w:shd w:val="clear" w:color="auto" w:fill="BFBFBF" w:themeFill="background1" w:themeFillShade="BF"/>
            <w:vAlign w:val="center"/>
          </w:tcPr>
          <w:p w:rsidR="00C67CE5" w:rsidRPr="00ED3D25" w:rsidRDefault="00F77E9B" w:rsidP="004665BD">
            <w:pPr>
              <w:spacing w:line="240" w:lineRule="auto"/>
              <w:jc w:val="center"/>
              <w:rPr>
                <w:lang w:val="lt-LT"/>
              </w:rPr>
            </w:pPr>
            <w:r w:rsidRPr="00ED3D25">
              <w:rPr>
                <w:lang w:val="lt-LT"/>
              </w:rPr>
              <w:t>0,153</w:t>
            </w:r>
          </w:p>
        </w:tc>
        <w:tc>
          <w:tcPr>
            <w:tcW w:w="860" w:type="pct"/>
            <w:tcBorders>
              <w:top w:val="single" w:sz="4" w:space="0" w:color="auto"/>
              <w:bottom w:val="single" w:sz="4" w:space="0" w:color="auto"/>
            </w:tcBorders>
            <w:shd w:val="clear" w:color="auto" w:fill="BFBFBF" w:themeFill="background1" w:themeFillShade="BF"/>
            <w:vAlign w:val="center"/>
          </w:tcPr>
          <w:p w:rsidR="00C67CE5" w:rsidRPr="00ED3D25" w:rsidRDefault="00F77E9B" w:rsidP="004665BD">
            <w:pPr>
              <w:spacing w:line="240" w:lineRule="auto"/>
              <w:jc w:val="center"/>
              <w:rPr>
                <w:lang w:val="lt-LT"/>
              </w:rPr>
            </w:pPr>
            <w:r w:rsidRPr="00ED3D25">
              <w:rPr>
                <w:lang w:val="lt-LT"/>
              </w:rPr>
              <w:t>0,8147</w:t>
            </w:r>
          </w:p>
        </w:tc>
        <w:tc>
          <w:tcPr>
            <w:tcW w:w="860" w:type="pct"/>
            <w:tcBorders>
              <w:top w:val="single" w:sz="4" w:space="0" w:color="auto"/>
              <w:bottom w:val="single" w:sz="4" w:space="0" w:color="auto"/>
            </w:tcBorders>
            <w:shd w:val="clear" w:color="auto" w:fill="BFBFBF" w:themeFill="background1" w:themeFillShade="BF"/>
            <w:vAlign w:val="center"/>
          </w:tcPr>
          <w:p w:rsidR="00C67CE5" w:rsidRPr="00ED3D25" w:rsidRDefault="00F77E9B" w:rsidP="004665BD">
            <w:pPr>
              <w:spacing w:line="240" w:lineRule="auto"/>
              <w:jc w:val="center"/>
              <w:rPr>
                <w:lang w:val="lt-LT"/>
              </w:rPr>
            </w:pPr>
            <w:r w:rsidRPr="00ED3D25">
              <w:rPr>
                <w:lang w:val="lt-LT"/>
              </w:rPr>
              <w:t>0,1764</w:t>
            </w:r>
          </w:p>
        </w:tc>
        <w:tc>
          <w:tcPr>
            <w:tcW w:w="860" w:type="pct"/>
            <w:tcBorders>
              <w:top w:val="single" w:sz="4" w:space="0" w:color="auto"/>
              <w:bottom w:val="single" w:sz="4" w:space="0" w:color="auto"/>
            </w:tcBorders>
            <w:shd w:val="clear" w:color="auto" w:fill="BFBFBF" w:themeFill="background1" w:themeFillShade="BF"/>
            <w:vAlign w:val="center"/>
          </w:tcPr>
          <w:p w:rsidR="00C67CE5" w:rsidRPr="00ED3D25" w:rsidRDefault="00F77E9B" w:rsidP="004665BD">
            <w:pPr>
              <w:spacing w:line="240" w:lineRule="auto"/>
              <w:jc w:val="center"/>
              <w:rPr>
                <w:lang w:val="lt-LT"/>
              </w:rPr>
            </w:pPr>
            <w:r w:rsidRPr="00ED3D25">
              <w:rPr>
                <w:lang w:val="lt-LT"/>
              </w:rPr>
              <w:t>0,1857</w:t>
            </w:r>
          </w:p>
        </w:tc>
        <w:tc>
          <w:tcPr>
            <w:tcW w:w="860" w:type="pct"/>
            <w:tcBorders>
              <w:top w:val="single" w:sz="4" w:space="0" w:color="auto"/>
              <w:bottom w:val="single" w:sz="4" w:space="0" w:color="auto"/>
            </w:tcBorders>
            <w:shd w:val="clear" w:color="auto" w:fill="BFBFBF" w:themeFill="background1" w:themeFillShade="BF"/>
            <w:vAlign w:val="center"/>
          </w:tcPr>
          <w:p w:rsidR="00C67CE5" w:rsidRPr="00ED3D25" w:rsidRDefault="00F77E9B" w:rsidP="004665BD">
            <w:pPr>
              <w:spacing w:line="240" w:lineRule="auto"/>
              <w:jc w:val="center"/>
              <w:rPr>
                <w:lang w:val="lt-LT"/>
              </w:rPr>
            </w:pPr>
            <w:r w:rsidRPr="00ED3D25">
              <w:rPr>
                <w:lang w:val="lt-LT"/>
              </w:rPr>
              <w:t>0,3098</w:t>
            </w:r>
          </w:p>
        </w:tc>
      </w:tr>
      <w:tr w:rsidR="00C67CE5" w:rsidRPr="00ED3D25" w:rsidTr="00E77766">
        <w:trPr>
          <w:jc w:val="center"/>
        </w:trPr>
        <w:tc>
          <w:tcPr>
            <w:tcW w:w="702" w:type="pct"/>
            <w:vAlign w:val="center"/>
          </w:tcPr>
          <w:p w:rsidR="00C67CE5" w:rsidRPr="00ED3D25" w:rsidRDefault="00C67CE5" w:rsidP="00B92C9A">
            <w:pPr>
              <w:spacing w:line="240" w:lineRule="auto"/>
              <w:rPr>
                <w:b/>
                <w:bCs/>
                <w:lang w:val="lt-LT"/>
              </w:rPr>
            </w:pPr>
            <w:r w:rsidRPr="00ED3D25">
              <w:rPr>
                <w:b/>
                <w:bCs/>
                <w:lang w:val="lt-LT"/>
              </w:rPr>
              <w:t>2013 m.</w:t>
            </w:r>
          </w:p>
        </w:tc>
        <w:tc>
          <w:tcPr>
            <w:tcW w:w="860" w:type="pct"/>
            <w:tcBorders>
              <w:top w:val="single" w:sz="4" w:space="0" w:color="auto"/>
            </w:tcBorders>
            <w:vAlign w:val="center"/>
          </w:tcPr>
          <w:p w:rsidR="00C67CE5" w:rsidRPr="00ED3D25" w:rsidRDefault="00010C2E" w:rsidP="004665BD">
            <w:pPr>
              <w:spacing w:line="240" w:lineRule="auto"/>
              <w:jc w:val="center"/>
              <w:rPr>
                <w:lang w:val="lt-LT"/>
              </w:rPr>
            </w:pPr>
            <w:r w:rsidRPr="00ED3D25">
              <w:rPr>
                <w:lang w:val="lt-LT"/>
              </w:rPr>
              <w:t>0,001</w:t>
            </w:r>
          </w:p>
        </w:tc>
        <w:tc>
          <w:tcPr>
            <w:tcW w:w="860" w:type="pct"/>
            <w:tcBorders>
              <w:top w:val="single" w:sz="4" w:space="0" w:color="auto"/>
            </w:tcBorders>
            <w:vAlign w:val="center"/>
          </w:tcPr>
          <w:p w:rsidR="00C67CE5" w:rsidRPr="00ED3D25" w:rsidRDefault="00010C2E" w:rsidP="004665BD">
            <w:pPr>
              <w:spacing w:line="240" w:lineRule="auto"/>
              <w:jc w:val="center"/>
              <w:rPr>
                <w:lang w:val="lt-LT"/>
              </w:rPr>
            </w:pPr>
            <w:r w:rsidRPr="00ED3D25">
              <w:rPr>
                <w:lang w:val="lt-LT"/>
              </w:rPr>
              <w:t>0,7271</w:t>
            </w:r>
          </w:p>
        </w:tc>
        <w:tc>
          <w:tcPr>
            <w:tcW w:w="860" w:type="pct"/>
            <w:tcBorders>
              <w:top w:val="single" w:sz="4" w:space="0" w:color="auto"/>
            </w:tcBorders>
            <w:vAlign w:val="center"/>
          </w:tcPr>
          <w:p w:rsidR="00C67CE5" w:rsidRPr="00ED3D25" w:rsidRDefault="00010C2E" w:rsidP="004665BD">
            <w:pPr>
              <w:spacing w:line="240" w:lineRule="auto"/>
              <w:jc w:val="center"/>
              <w:rPr>
                <w:lang w:val="lt-LT"/>
              </w:rPr>
            </w:pPr>
            <w:r w:rsidRPr="00ED3D25">
              <w:rPr>
                <w:lang w:val="lt-LT"/>
              </w:rPr>
              <w:t>0,0267</w:t>
            </w:r>
          </w:p>
        </w:tc>
        <w:tc>
          <w:tcPr>
            <w:tcW w:w="860" w:type="pct"/>
            <w:tcBorders>
              <w:top w:val="single" w:sz="4" w:space="0" w:color="auto"/>
            </w:tcBorders>
            <w:vAlign w:val="center"/>
          </w:tcPr>
          <w:p w:rsidR="00C67CE5" w:rsidRPr="00ED3D25" w:rsidRDefault="00010C2E" w:rsidP="004665BD">
            <w:pPr>
              <w:spacing w:line="240" w:lineRule="auto"/>
              <w:jc w:val="center"/>
              <w:rPr>
                <w:lang w:val="lt-LT"/>
              </w:rPr>
            </w:pPr>
            <w:r w:rsidRPr="00ED3D25">
              <w:rPr>
                <w:lang w:val="lt-LT"/>
              </w:rPr>
              <w:t>0,0012</w:t>
            </w:r>
          </w:p>
        </w:tc>
        <w:tc>
          <w:tcPr>
            <w:tcW w:w="860" w:type="pct"/>
            <w:tcBorders>
              <w:top w:val="single" w:sz="4" w:space="0" w:color="auto"/>
            </w:tcBorders>
            <w:vAlign w:val="center"/>
          </w:tcPr>
          <w:p w:rsidR="00C67CE5" w:rsidRPr="00ED3D25" w:rsidRDefault="00010C2E" w:rsidP="004665BD">
            <w:pPr>
              <w:spacing w:line="240" w:lineRule="auto"/>
              <w:jc w:val="center"/>
              <w:rPr>
                <w:lang w:val="lt-LT"/>
              </w:rPr>
            </w:pPr>
            <w:r w:rsidRPr="00ED3D25">
              <w:rPr>
                <w:lang w:val="lt-LT"/>
              </w:rPr>
              <w:t>0,0024</w:t>
            </w:r>
          </w:p>
        </w:tc>
      </w:tr>
    </w:tbl>
    <w:p w:rsidR="00C67CE5" w:rsidRPr="00ED3D25" w:rsidRDefault="00C67CE5" w:rsidP="00333A68">
      <w:pPr>
        <w:spacing w:after="0" w:line="240" w:lineRule="auto"/>
        <w:ind w:right="-1"/>
        <w:rPr>
          <w:sz w:val="20"/>
          <w:szCs w:val="20"/>
          <w:lang w:val="lt-LT"/>
        </w:rPr>
      </w:pPr>
      <w:r w:rsidRPr="00ED3D25">
        <w:rPr>
          <w:sz w:val="20"/>
          <w:szCs w:val="20"/>
          <w:lang w:val="lt-LT"/>
        </w:rPr>
        <w:t>Pastaba: lentelė suda</w:t>
      </w:r>
      <w:r w:rsidR="006721E6" w:rsidRPr="00ED3D25">
        <w:rPr>
          <w:sz w:val="20"/>
          <w:szCs w:val="20"/>
          <w:lang w:val="lt-LT"/>
        </w:rPr>
        <w:t>ryta autorės, remiantis įmonės D</w:t>
      </w:r>
      <w:r w:rsidR="004955A5" w:rsidRPr="00ED3D25">
        <w:rPr>
          <w:sz w:val="20"/>
          <w:szCs w:val="20"/>
          <w:lang w:val="lt-LT"/>
        </w:rPr>
        <w:t xml:space="preserve"> 2011</w:t>
      </w:r>
      <w:r w:rsidRPr="00ED3D25">
        <w:rPr>
          <w:sz w:val="20"/>
          <w:szCs w:val="20"/>
          <w:lang w:val="lt-LT"/>
        </w:rPr>
        <w:t xml:space="preserve">-2013 m. pelno (nuostolio) </w:t>
      </w:r>
      <w:r w:rsidR="004955A5" w:rsidRPr="00ED3D25">
        <w:rPr>
          <w:sz w:val="20"/>
          <w:szCs w:val="20"/>
          <w:lang w:val="lt-LT"/>
        </w:rPr>
        <w:t>ir balanso ataskaitų</w:t>
      </w:r>
      <w:r w:rsidR="00417AFE">
        <w:rPr>
          <w:sz w:val="20"/>
          <w:szCs w:val="20"/>
          <w:lang w:val="lt-LT"/>
        </w:rPr>
        <w:t xml:space="preserve"> finansiniais duomenimis, taip pat paryškintas laikotarpis, kada įmonė gavo paramą.</w:t>
      </w:r>
    </w:p>
    <w:p w:rsidR="00C67CE5" w:rsidRPr="00417AFE" w:rsidRDefault="00C67CE5" w:rsidP="00417AFE">
      <w:pPr>
        <w:spacing w:after="0" w:line="240" w:lineRule="auto"/>
        <w:rPr>
          <w:sz w:val="14"/>
          <w:szCs w:val="14"/>
          <w:lang w:val="lt-LT"/>
        </w:rPr>
      </w:pPr>
    </w:p>
    <w:p w:rsidR="00B92C9A" w:rsidRPr="00062716" w:rsidRDefault="006721E6" w:rsidP="00E77766">
      <w:pPr>
        <w:spacing w:after="0"/>
        <w:ind w:firstLine="851"/>
        <w:rPr>
          <w:bCs/>
          <w:szCs w:val="20"/>
          <w:lang w:val="lt-LT"/>
        </w:rPr>
      </w:pPr>
      <w:r w:rsidRPr="00ED3D25">
        <w:rPr>
          <w:bCs/>
          <w:szCs w:val="20"/>
          <w:lang w:val="lt-LT"/>
        </w:rPr>
        <w:t xml:space="preserve">Toliau aptariami įmonės D pelningumo rodikliai (žr. </w:t>
      </w:r>
      <w:r w:rsidR="00E77766">
        <w:rPr>
          <w:bCs/>
          <w:szCs w:val="20"/>
          <w:lang w:val="lt-LT"/>
        </w:rPr>
        <w:t>20</w:t>
      </w:r>
      <w:r w:rsidR="00642D93">
        <w:rPr>
          <w:bCs/>
          <w:szCs w:val="20"/>
          <w:lang w:val="lt-LT"/>
        </w:rPr>
        <w:t xml:space="preserve"> lentelę), tad vertinant gryną</w:t>
      </w:r>
      <w:r w:rsidRPr="00ED3D25">
        <w:rPr>
          <w:bCs/>
          <w:szCs w:val="20"/>
          <w:lang w:val="lt-LT"/>
        </w:rPr>
        <w:t>jį pelningumą nuo 2011 m. pastebim</w:t>
      </w:r>
      <w:r w:rsidR="00642D93">
        <w:rPr>
          <w:bCs/>
          <w:szCs w:val="20"/>
          <w:lang w:val="lt-LT"/>
        </w:rPr>
        <w:t>as pelningumo kritimas iki 0. Tai rodo, kad</w:t>
      </w:r>
      <w:r w:rsidRPr="00ED3D25">
        <w:rPr>
          <w:bCs/>
          <w:szCs w:val="20"/>
          <w:lang w:val="lt-LT"/>
        </w:rPr>
        <w:t xml:space="preserve"> įmonė nebeuždirba pelno, tad būtina vykdyti valdymo pakeitimus, kol įmonė netapo visiškai nuostolinga ir </w:t>
      </w:r>
      <w:r w:rsidRPr="00ED3D25">
        <w:rPr>
          <w:bCs/>
          <w:szCs w:val="20"/>
          <w:lang w:val="lt-LT"/>
        </w:rPr>
        <w:lastRenderedPageBreak/>
        <w:t>nebankrutavo. Vertinant galimas priežastis, dėl ko 2013 m. ne</w:t>
      </w:r>
      <w:r w:rsidR="00C424EB">
        <w:rPr>
          <w:bCs/>
          <w:szCs w:val="20"/>
          <w:lang w:val="lt-LT"/>
        </w:rPr>
        <w:t>buvo uždirbtas pelnas pastebėtos</w:t>
      </w:r>
      <w:r w:rsidRPr="00ED3D25">
        <w:rPr>
          <w:bCs/>
          <w:szCs w:val="20"/>
          <w:lang w:val="lt-LT"/>
        </w:rPr>
        <w:t xml:space="preserve"> </w:t>
      </w:r>
      <w:r w:rsidR="00C424EB">
        <w:rPr>
          <w:bCs/>
          <w:szCs w:val="20"/>
          <w:lang w:val="lt-LT"/>
        </w:rPr>
        <w:t>išlaidos investicinei</w:t>
      </w:r>
      <w:r w:rsidRPr="00ED3D25">
        <w:rPr>
          <w:bCs/>
          <w:szCs w:val="20"/>
          <w:lang w:val="lt-LT"/>
        </w:rPr>
        <w:t xml:space="preserve"> veikl</w:t>
      </w:r>
      <w:r w:rsidR="00C424EB">
        <w:rPr>
          <w:bCs/>
          <w:szCs w:val="20"/>
          <w:lang w:val="lt-LT"/>
        </w:rPr>
        <w:t>ai</w:t>
      </w:r>
      <w:r w:rsidRPr="00ED3D25">
        <w:rPr>
          <w:bCs/>
          <w:szCs w:val="20"/>
          <w:lang w:val="lt-LT"/>
        </w:rPr>
        <w:t xml:space="preserve">. Šio veiksnio priežastis dėl pelno sumažėjo patvirtina ir bendrasis pelningumas, kuris didžiausias buvo 2011 m., o paskutiniaisiais 2013 m. siekė 0,72, tai reiškia, jog įmonei D nevykdant investicijų ji </w:t>
      </w:r>
      <w:r w:rsidR="00333A68">
        <w:rPr>
          <w:bCs/>
          <w:szCs w:val="20"/>
          <w:lang w:val="lt-LT"/>
        </w:rPr>
        <w:t>gautų 72</w:t>
      </w:r>
      <w:r w:rsidR="00A92384" w:rsidRPr="00ED3D25">
        <w:rPr>
          <w:bCs/>
          <w:szCs w:val="20"/>
          <w:lang w:val="lt-LT"/>
        </w:rPr>
        <w:t xml:space="preserve"> proc. pelno. Tokios aukštos grąžos neatskleidžia ir EBIT </w:t>
      </w:r>
      <w:r w:rsidR="00333A68">
        <w:rPr>
          <w:bCs/>
          <w:szCs w:val="20"/>
          <w:lang w:val="lt-LT"/>
        </w:rPr>
        <w:t>marža, nes paskutiniaisiais metais rodiklis</w:t>
      </w:r>
      <w:r w:rsidR="00A92384" w:rsidRPr="00ED3D25">
        <w:rPr>
          <w:bCs/>
          <w:szCs w:val="20"/>
          <w:lang w:val="lt-LT"/>
        </w:rPr>
        <w:t xml:space="preserve"> sumažėjo iki 2 proc., bet dar laikoma nebloga turto vertinimo reikšme. </w:t>
      </w:r>
      <w:r w:rsidR="009C3ADC" w:rsidRPr="00ED3D25">
        <w:rPr>
          <w:bCs/>
          <w:szCs w:val="20"/>
          <w:lang w:val="lt-LT"/>
        </w:rPr>
        <w:t>ROA</w:t>
      </w:r>
      <w:r w:rsidR="004955A5" w:rsidRPr="00ED3D25">
        <w:rPr>
          <w:bCs/>
          <w:szCs w:val="20"/>
          <w:lang w:val="lt-LT"/>
        </w:rPr>
        <w:t xml:space="preserve">  rodiklis</w:t>
      </w:r>
      <w:r w:rsidR="00333A68">
        <w:rPr>
          <w:bCs/>
          <w:szCs w:val="20"/>
          <w:lang w:val="lt-LT"/>
        </w:rPr>
        <w:t xml:space="preserve"> kiekvienais metais vis žemėjo</w:t>
      </w:r>
      <w:r w:rsidR="004955A5" w:rsidRPr="00ED3D25">
        <w:rPr>
          <w:bCs/>
          <w:szCs w:val="20"/>
          <w:lang w:val="lt-LT"/>
        </w:rPr>
        <w:t xml:space="preserve">, ir galiausiai 2013 m. </w:t>
      </w:r>
      <w:r w:rsidR="00333A68">
        <w:rPr>
          <w:bCs/>
          <w:szCs w:val="20"/>
          <w:lang w:val="lt-LT"/>
        </w:rPr>
        <w:t>pasiekė beveik</w:t>
      </w:r>
      <w:r w:rsidR="004955A5" w:rsidRPr="00ED3D25">
        <w:rPr>
          <w:bCs/>
          <w:szCs w:val="20"/>
          <w:lang w:val="lt-LT"/>
        </w:rPr>
        <w:t xml:space="preserve"> 0, tai reiškia, kad turtas neuždirbo pelno. Tokia pati situacija ir ROE, </w:t>
      </w:r>
      <w:r w:rsidR="00333A68">
        <w:rPr>
          <w:bCs/>
          <w:szCs w:val="20"/>
          <w:lang w:val="lt-LT"/>
        </w:rPr>
        <w:t>t</w:t>
      </w:r>
      <w:r w:rsidR="004955A5" w:rsidRPr="00ED3D25">
        <w:rPr>
          <w:bCs/>
          <w:szCs w:val="20"/>
          <w:lang w:val="lt-LT"/>
        </w:rPr>
        <w:t>ad įmonė D turi atlikti rinkos analizę i</w:t>
      </w:r>
      <w:r w:rsidR="00333A68">
        <w:rPr>
          <w:bCs/>
          <w:szCs w:val="20"/>
          <w:lang w:val="lt-LT"/>
        </w:rPr>
        <w:t>r įvertinti jos galimybes vykdyti veiklą</w:t>
      </w:r>
      <w:r w:rsidR="004955A5" w:rsidRPr="00ED3D25">
        <w:rPr>
          <w:bCs/>
          <w:szCs w:val="20"/>
          <w:lang w:val="lt-LT"/>
        </w:rPr>
        <w:t>, ir ko galimėtų tikėtis ki</w:t>
      </w:r>
      <w:r w:rsidR="00333A68">
        <w:rPr>
          <w:bCs/>
          <w:szCs w:val="20"/>
          <w:lang w:val="lt-LT"/>
        </w:rPr>
        <w:t>tais metais.</w:t>
      </w:r>
      <w:r w:rsidR="004955A5" w:rsidRPr="00ED3D25">
        <w:rPr>
          <w:bCs/>
          <w:szCs w:val="20"/>
          <w:lang w:val="lt-LT"/>
        </w:rPr>
        <w:t xml:space="preserve"> </w:t>
      </w:r>
      <w:r w:rsidR="00C424EB">
        <w:rPr>
          <w:bCs/>
          <w:szCs w:val="20"/>
          <w:lang w:val="lt-LT"/>
        </w:rPr>
        <w:t>Tad E</w:t>
      </w:r>
      <w:r w:rsidR="00333A68">
        <w:rPr>
          <w:bCs/>
          <w:szCs w:val="20"/>
          <w:lang w:val="lt-LT"/>
        </w:rPr>
        <w:t>S</w:t>
      </w:r>
      <w:r w:rsidR="00C424EB">
        <w:rPr>
          <w:bCs/>
          <w:szCs w:val="20"/>
          <w:lang w:val="lt-LT"/>
        </w:rPr>
        <w:t xml:space="preserve"> finansinės paramos </w:t>
      </w:r>
      <w:r w:rsidR="00333A68">
        <w:rPr>
          <w:bCs/>
          <w:szCs w:val="20"/>
          <w:lang w:val="lt-LT"/>
        </w:rPr>
        <w:t xml:space="preserve">ir savų lėšų investavimas į įmonės plėtrą nulėmė nulinį grynąjį pelną.  Pelningumo rodikliai atskleidė, kad ES finansinės paramos gavimas įmonei efektyvumo nesuteikė, o rodikliai tik suprastėjo ir įmonė su investicine veikla tik </w:t>
      </w:r>
      <w:r w:rsidR="009D7F93">
        <w:rPr>
          <w:bCs/>
          <w:szCs w:val="20"/>
          <w:lang w:val="lt-LT"/>
        </w:rPr>
        <w:t>sukėlė</w:t>
      </w:r>
      <w:r w:rsidR="00F31A89">
        <w:rPr>
          <w:bCs/>
          <w:szCs w:val="20"/>
          <w:lang w:val="lt-LT"/>
        </w:rPr>
        <w:t xml:space="preserve"> sunkumų savo veiklai.</w:t>
      </w:r>
    </w:p>
    <w:p w:rsidR="00C67CE5" w:rsidRPr="00ED3D25" w:rsidRDefault="004955A5" w:rsidP="00E77766">
      <w:pPr>
        <w:spacing w:after="0"/>
        <w:jc w:val="right"/>
        <w:rPr>
          <w:b/>
          <w:bCs/>
          <w:szCs w:val="24"/>
          <w:lang w:val="lt-LT"/>
        </w:rPr>
      </w:pPr>
      <w:r w:rsidRPr="00ED3D25">
        <w:rPr>
          <w:b/>
          <w:bCs/>
          <w:szCs w:val="24"/>
          <w:lang w:val="lt-LT"/>
        </w:rPr>
        <w:t>2</w:t>
      </w:r>
      <w:r w:rsidR="00E77766">
        <w:rPr>
          <w:b/>
          <w:bCs/>
          <w:szCs w:val="24"/>
          <w:lang w:val="lt-LT"/>
        </w:rPr>
        <w:t>1</w:t>
      </w:r>
      <w:r w:rsidR="00C67CE5" w:rsidRPr="00ED3D25">
        <w:rPr>
          <w:b/>
          <w:bCs/>
          <w:szCs w:val="24"/>
          <w:lang w:val="lt-LT"/>
        </w:rPr>
        <w:t xml:space="preserve"> lentelė</w:t>
      </w:r>
    </w:p>
    <w:p w:rsidR="00C67CE5" w:rsidRPr="00ED3D25" w:rsidRDefault="00C67CE5" w:rsidP="004665BD">
      <w:pPr>
        <w:spacing w:after="0" w:line="240" w:lineRule="auto"/>
        <w:jc w:val="center"/>
        <w:rPr>
          <w:b/>
          <w:bCs/>
          <w:sz w:val="22"/>
          <w:lang w:val="lt-LT"/>
        </w:rPr>
      </w:pPr>
      <w:r w:rsidRPr="00ED3D25">
        <w:rPr>
          <w:b/>
          <w:bCs/>
          <w:sz w:val="22"/>
          <w:lang w:val="lt-LT"/>
        </w:rPr>
        <w:t>Įmonės D veiklos efektyvumo rodikliai</w:t>
      </w:r>
    </w:p>
    <w:p w:rsidR="00C67CE5" w:rsidRPr="00ED3D25" w:rsidRDefault="00C67CE5" w:rsidP="004665BD">
      <w:pPr>
        <w:spacing w:after="0" w:line="240" w:lineRule="auto"/>
        <w:rPr>
          <w:sz w:val="22"/>
          <w:lang w:val="lt-LT"/>
        </w:rPr>
      </w:pPr>
    </w:p>
    <w:tbl>
      <w:tblPr>
        <w:tblStyle w:val="TableGrid"/>
        <w:tblW w:w="5000" w:type="pct"/>
        <w:jc w:val="center"/>
        <w:tblLook w:val="04A0" w:firstRow="1" w:lastRow="0" w:firstColumn="1" w:lastColumn="0" w:noHBand="0" w:noVBand="1"/>
      </w:tblPr>
      <w:tblGrid>
        <w:gridCol w:w="1329"/>
        <w:gridCol w:w="2282"/>
        <w:gridCol w:w="1884"/>
        <w:gridCol w:w="2450"/>
        <w:gridCol w:w="1910"/>
      </w:tblGrid>
      <w:tr w:rsidR="004955A5" w:rsidRPr="00ED3D25" w:rsidTr="00B92C9A">
        <w:trPr>
          <w:jc w:val="center"/>
        </w:trPr>
        <w:tc>
          <w:tcPr>
            <w:tcW w:w="674" w:type="pct"/>
            <w:tcBorders>
              <w:tl2br w:val="single" w:sz="4" w:space="0" w:color="auto"/>
            </w:tcBorders>
            <w:vAlign w:val="center"/>
          </w:tcPr>
          <w:p w:rsidR="004955A5" w:rsidRDefault="004955A5" w:rsidP="00B92C9A">
            <w:pPr>
              <w:spacing w:line="240" w:lineRule="auto"/>
              <w:jc w:val="right"/>
              <w:rPr>
                <w:b/>
                <w:bCs/>
                <w:lang w:val="lt-LT"/>
              </w:rPr>
            </w:pPr>
            <w:r w:rsidRPr="00ED3D25">
              <w:rPr>
                <w:b/>
                <w:bCs/>
                <w:lang w:val="lt-LT"/>
              </w:rPr>
              <w:t>Rodiklis</w:t>
            </w:r>
          </w:p>
          <w:p w:rsidR="00B92C9A" w:rsidRDefault="00B92C9A" w:rsidP="004665BD">
            <w:pPr>
              <w:spacing w:line="240" w:lineRule="auto"/>
              <w:jc w:val="center"/>
              <w:rPr>
                <w:b/>
                <w:bCs/>
                <w:lang w:val="lt-LT"/>
              </w:rPr>
            </w:pPr>
          </w:p>
          <w:p w:rsidR="00B92C9A" w:rsidRPr="00ED3D25" w:rsidRDefault="00B92C9A" w:rsidP="00B92C9A">
            <w:pPr>
              <w:spacing w:line="240" w:lineRule="auto"/>
              <w:rPr>
                <w:b/>
                <w:bCs/>
                <w:lang w:val="lt-LT"/>
              </w:rPr>
            </w:pPr>
            <w:r>
              <w:rPr>
                <w:b/>
                <w:bCs/>
                <w:lang w:val="lt-LT"/>
              </w:rPr>
              <w:t>Metai</w:t>
            </w:r>
          </w:p>
        </w:tc>
        <w:tc>
          <w:tcPr>
            <w:tcW w:w="1158" w:type="pct"/>
            <w:vAlign w:val="center"/>
          </w:tcPr>
          <w:p w:rsidR="004955A5" w:rsidRPr="00ED3D25" w:rsidRDefault="004955A5" w:rsidP="004665BD">
            <w:pPr>
              <w:spacing w:line="240" w:lineRule="auto"/>
              <w:jc w:val="center"/>
              <w:rPr>
                <w:rFonts w:asciiTheme="majorBidi" w:hAnsiTheme="majorBidi" w:cstheme="majorBidi"/>
                <w:b/>
                <w:bCs/>
                <w:lang w:val="lt-LT"/>
              </w:rPr>
            </w:pPr>
            <w:r w:rsidRPr="00ED3D25">
              <w:rPr>
                <w:rFonts w:asciiTheme="majorBidi" w:hAnsiTheme="majorBidi" w:cstheme="majorBidi"/>
                <w:b/>
                <w:bCs/>
                <w:lang w:val="lt-LT"/>
              </w:rPr>
              <w:t>Veiklos sąnaudos vienam pajamų litui</w:t>
            </w:r>
          </w:p>
        </w:tc>
        <w:tc>
          <w:tcPr>
            <w:tcW w:w="956" w:type="pct"/>
            <w:vAlign w:val="center"/>
          </w:tcPr>
          <w:p w:rsidR="004955A5" w:rsidRPr="00ED3D25" w:rsidRDefault="004955A5" w:rsidP="004665BD">
            <w:pPr>
              <w:spacing w:line="240" w:lineRule="auto"/>
              <w:jc w:val="center"/>
              <w:rPr>
                <w:rFonts w:asciiTheme="majorBidi" w:hAnsiTheme="majorBidi" w:cstheme="majorBidi"/>
                <w:b/>
                <w:bCs/>
                <w:lang w:val="lt-LT"/>
              </w:rPr>
            </w:pPr>
            <w:r w:rsidRPr="00ED3D25">
              <w:rPr>
                <w:rFonts w:asciiTheme="majorBidi" w:hAnsiTheme="majorBidi" w:cstheme="majorBidi"/>
                <w:b/>
                <w:bCs/>
                <w:lang w:val="lt-LT"/>
              </w:rPr>
              <w:t>Apyvartinio kapitalo apyvartumas</w:t>
            </w:r>
          </w:p>
        </w:tc>
        <w:tc>
          <w:tcPr>
            <w:tcW w:w="1243" w:type="pct"/>
            <w:vAlign w:val="center"/>
          </w:tcPr>
          <w:p w:rsidR="004955A5" w:rsidRPr="00ED3D25" w:rsidRDefault="004955A5" w:rsidP="004665BD">
            <w:pPr>
              <w:spacing w:line="240" w:lineRule="auto"/>
              <w:jc w:val="center"/>
              <w:rPr>
                <w:rFonts w:asciiTheme="majorBidi" w:hAnsiTheme="majorBidi" w:cstheme="majorBidi"/>
                <w:b/>
                <w:bCs/>
                <w:lang w:val="lt-LT"/>
              </w:rPr>
            </w:pPr>
            <w:r w:rsidRPr="00ED3D25">
              <w:rPr>
                <w:rFonts w:asciiTheme="majorBidi" w:hAnsiTheme="majorBidi" w:cstheme="majorBidi"/>
                <w:b/>
                <w:bCs/>
                <w:lang w:val="lt-LT"/>
              </w:rPr>
              <w:t>Grynojo turto apyvartumas</w:t>
            </w:r>
          </w:p>
        </w:tc>
        <w:tc>
          <w:tcPr>
            <w:tcW w:w="969" w:type="pct"/>
            <w:vAlign w:val="center"/>
          </w:tcPr>
          <w:p w:rsidR="004955A5" w:rsidRPr="00ED3D25" w:rsidRDefault="004955A5" w:rsidP="004665BD">
            <w:pPr>
              <w:spacing w:line="240" w:lineRule="auto"/>
              <w:jc w:val="center"/>
              <w:rPr>
                <w:rFonts w:asciiTheme="majorBidi" w:hAnsiTheme="majorBidi" w:cstheme="majorBidi"/>
                <w:b/>
                <w:bCs/>
                <w:lang w:val="lt-LT"/>
              </w:rPr>
            </w:pPr>
            <w:r w:rsidRPr="00ED3D25">
              <w:rPr>
                <w:rFonts w:asciiTheme="majorBidi" w:hAnsiTheme="majorBidi" w:cstheme="majorBidi"/>
                <w:b/>
                <w:bCs/>
                <w:lang w:val="lt-LT"/>
              </w:rPr>
              <w:t>Turto apyvartumas</w:t>
            </w:r>
          </w:p>
        </w:tc>
      </w:tr>
      <w:tr w:rsidR="004955A5" w:rsidRPr="00ED3D25" w:rsidTr="004665BD">
        <w:trPr>
          <w:jc w:val="center"/>
        </w:trPr>
        <w:tc>
          <w:tcPr>
            <w:tcW w:w="674" w:type="pct"/>
          </w:tcPr>
          <w:p w:rsidR="004955A5" w:rsidRPr="00ED3D25" w:rsidRDefault="004955A5" w:rsidP="00B92C9A">
            <w:pPr>
              <w:spacing w:line="240" w:lineRule="auto"/>
              <w:rPr>
                <w:b/>
                <w:bCs/>
                <w:lang w:val="lt-LT"/>
              </w:rPr>
            </w:pPr>
            <w:r w:rsidRPr="00ED3D25">
              <w:rPr>
                <w:b/>
                <w:bCs/>
                <w:lang w:val="lt-LT"/>
              </w:rPr>
              <w:t>2010 m.</w:t>
            </w:r>
          </w:p>
        </w:tc>
        <w:tc>
          <w:tcPr>
            <w:tcW w:w="1158" w:type="pct"/>
            <w:vAlign w:val="center"/>
          </w:tcPr>
          <w:p w:rsidR="004955A5" w:rsidRPr="00ED3D25" w:rsidRDefault="004955A5" w:rsidP="004665BD">
            <w:pPr>
              <w:spacing w:line="240" w:lineRule="auto"/>
              <w:jc w:val="center"/>
              <w:rPr>
                <w:lang w:val="lt-LT"/>
              </w:rPr>
            </w:pPr>
            <w:r w:rsidRPr="00ED3D25">
              <w:rPr>
                <w:lang w:val="lt-LT"/>
              </w:rPr>
              <w:t>0,2824</w:t>
            </w:r>
          </w:p>
        </w:tc>
        <w:tc>
          <w:tcPr>
            <w:tcW w:w="956" w:type="pct"/>
            <w:vAlign w:val="center"/>
          </w:tcPr>
          <w:p w:rsidR="004955A5" w:rsidRPr="00ED3D25" w:rsidRDefault="004955A5" w:rsidP="004665BD">
            <w:pPr>
              <w:spacing w:line="240" w:lineRule="auto"/>
              <w:jc w:val="center"/>
              <w:rPr>
                <w:lang w:val="lt-LT"/>
              </w:rPr>
            </w:pPr>
            <w:r w:rsidRPr="00ED3D25">
              <w:rPr>
                <w:lang w:val="lt-LT"/>
              </w:rPr>
              <w:t>-</w:t>
            </w:r>
          </w:p>
        </w:tc>
        <w:tc>
          <w:tcPr>
            <w:tcW w:w="1243" w:type="pct"/>
            <w:vAlign w:val="center"/>
          </w:tcPr>
          <w:p w:rsidR="004955A5" w:rsidRPr="00ED3D25" w:rsidRDefault="00014E71" w:rsidP="004665BD">
            <w:pPr>
              <w:spacing w:line="240" w:lineRule="auto"/>
              <w:jc w:val="center"/>
              <w:rPr>
                <w:lang w:val="lt-LT"/>
              </w:rPr>
            </w:pPr>
            <w:r w:rsidRPr="00ED3D25">
              <w:rPr>
                <w:lang w:val="lt-LT"/>
              </w:rPr>
              <w:t>1,542</w:t>
            </w:r>
          </w:p>
        </w:tc>
        <w:tc>
          <w:tcPr>
            <w:tcW w:w="969" w:type="pct"/>
            <w:vAlign w:val="center"/>
          </w:tcPr>
          <w:p w:rsidR="004955A5" w:rsidRPr="00ED3D25" w:rsidRDefault="00014E71" w:rsidP="004665BD">
            <w:pPr>
              <w:spacing w:line="240" w:lineRule="auto"/>
              <w:jc w:val="center"/>
              <w:rPr>
                <w:lang w:val="lt-LT"/>
              </w:rPr>
            </w:pPr>
            <w:r w:rsidRPr="00ED3D25">
              <w:rPr>
                <w:lang w:val="lt-LT"/>
              </w:rPr>
              <w:t>1,4399</w:t>
            </w:r>
          </w:p>
        </w:tc>
      </w:tr>
      <w:tr w:rsidR="004955A5" w:rsidRPr="00ED3D25" w:rsidTr="00417AFE">
        <w:trPr>
          <w:jc w:val="center"/>
        </w:trPr>
        <w:tc>
          <w:tcPr>
            <w:tcW w:w="674" w:type="pct"/>
          </w:tcPr>
          <w:p w:rsidR="004955A5" w:rsidRPr="00ED3D25" w:rsidRDefault="004955A5" w:rsidP="00B92C9A">
            <w:pPr>
              <w:spacing w:line="240" w:lineRule="auto"/>
              <w:rPr>
                <w:b/>
                <w:bCs/>
                <w:lang w:val="lt-LT"/>
              </w:rPr>
            </w:pPr>
            <w:r w:rsidRPr="00ED3D25">
              <w:rPr>
                <w:b/>
                <w:bCs/>
                <w:lang w:val="lt-LT"/>
              </w:rPr>
              <w:t>2011 m.</w:t>
            </w:r>
          </w:p>
        </w:tc>
        <w:tc>
          <w:tcPr>
            <w:tcW w:w="1158" w:type="pct"/>
            <w:tcBorders>
              <w:bottom w:val="single" w:sz="4" w:space="0" w:color="auto"/>
            </w:tcBorders>
            <w:vAlign w:val="center"/>
          </w:tcPr>
          <w:p w:rsidR="004955A5" w:rsidRPr="00ED3D25" w:rsidRDefault="004955A5" w:rsidP="004665BD">
            <w:pPr>
              <w:spacing w:line="240" w:lineRule="auto"/>
              <w:jc w:val="center"/>
              <w:rPr>
                <w:lang w:val="lt-LT"/>
              </w:rPr>
            </w:pPr>
            <w:r w:rsidRPr="00ED3D25">
              <w:rPr>
                <w:lang w:val="lt-LT"/>
              </w:rPr>
              <w:t>0,3791</w:t>
            </w:r>
          </w:p>
        </w:tc>
        <w:tc>
          <w:tcPr>
            <w:tcW w:w="956" w:type="pct"/>
            <w:tcBorders>
              <w:bottom w:val="single" w:sz="4" w:space="0" w:color="auto"/>
            </w:tcBorders>
            <w:vAlign w:val="center"/>
          </w:tcPr>
          <w:p w:rsidR="004955A5" w:rsidRPr="00ED3D25" w:rsidRDefault="004955A5" w:rsidP="004665BD">
            <w:pPr>
              <w:spacing w:line="240" w:lineRule="auto"/>
              <w:jc w:val="center"/>
              <w:rPr>
                <w:lang w:val="lt-LT"/>
              </w:rPr>
            </w:pPr>
            <w:r w:rsidRPr="00ED3D25">
              <w:rPr>
                <w:lang w:val="lt-LT"/>
              </w:rPr>
              <w:t>4,9156</w:t>
            </w:r>
          </w:p>
        </w:tc>
        <w:tc>
          <w:tcPr>
            <w:tcW w:w="1243" w:type="pct"/>
            <w:tcBorders>
              <w:bottom w:val="single" w:sz="4" w:space="0" w:color="auto"/>
            </w:tcBorders>
            <w:vAlign w:val="center"/>
          </w:tcPr>
          <w:p w:rsidR="004955A5" w:rsidRPr="00ED3D25" w:rsidRDefault="00014E71" w:rsidP="004665BD">
            <w:pPr>
              <w:spacing w:line="240" w:lineRule="auto"/>
              <w:jc w:val="center"/>
              <w:rPr>
                <w:lang w:val="lt-LT"/>
              </w:rPr>
            </w:pPr>
            <w:r w:rsidRPr="00ED3D25">
              <w:rPr>
                <w:lang w:val="lt-LT"/>
              </w:rPr>
              <w:t>1,8324</w:t>
            </w:r>
          </w:p>
        </w:tc>
        <w:tc>
          <w:tcPr>
            <w:tcW w:w="969" w:type="pct"/>
            <w:tcBorders>
              <w:bottom w:val="single" w:sz="4" w:space="0" w:color="auto"/>
            </w:tcBorders>
            <w:vAlign w:val="center"/>
          </w:tcPr>
          <w:p w:rsidR="004955A5" w:rsidRPr="00ED3D25" w:rsidRDefault="00014E71" w:rsidP="004665BD">
            <w:pPr>
              <w:spacing w:line="240" w:lineRule="auto"/>
              <w:jc w:val="center"/>
              <w:rPr>
                <w:lang w:val="lt-LT"/>
              </w:rPr>
            </w:pPr>
            <w:r w:rsidRPr="00ED3D25">
              <w:rPr>
                <w:lang w:val="lt-LT"/>
              </w:rPr>
              <w:t>1,7049</w:t>
            </w:r>
          </w:p>
        </w:tc>
      </w:tr>
      <w:tr w:rsidR="004955A5" w:rsidRPr="00ED3D25" w:rsidTr="00417AFE">
        <w:trPr>
          <w:jc w:val="center"/>
        </w:trPr>
        <w:tc>
          <w:tcPr>
            <w:tcW w:w="674" w:type="pct"/>
          </w:tcPr>
          <w:p w:rsidR="004955A5" w:rsidRPr="00ED3D25" w:rsidRDefault="004955A5" w:rsidP="00B92C9A">
            <w:pPr>
              <w:spacing w:line="240" w:lineRule="auto"/>
              <w:rPr>
                <w:b/>
                <w:bCs/>
                <w:lang w:val="lt-LT"/>
              </w:rPr>
            </w:pPr>
            <w:r w:rsidRPr="00ED3D25">
              <w:rPr>
                <w:b/>
                <w:bCs/>
                <w:lang w:val="lt-LT"/>
              </w:rPr>
              <w:t>2012 m.</w:t>
            </w:r>
          </w:p>
        </w:tc>
        <w:tc>
          <w:tcPr>
            <w:tcW w:w="1158" w:type="pct"/>
            <w:tcBorders>
              <w:top w:val="single" w:sz="4" w:space="0" w:color="auto"/>
              <w:bottom w:val="single" w:sz="4" w:space="0" w:color="auto"/>
            </w:tcBorders>
            <w:shd w:val="clear" w:color="auto" w:fill="BFBFBF" w:themeFill="background1" w:themeFillShade="BF"/>
            <w:vAlign w:val="center"/>
          </w:tcPr>
          <w:p w:rsidR="004955A5" w:rsidRPr="00ED3D25" w:rsidRDefault="00014E71" w:rsidP="004665BD">
            <w:pPr>
              <w:spacing w:line="240" w:lineRule="auto"/>
              <w:jc w:val="center"/>
              <w:rPr>
                <w:lang w:val="lt-LT"/>
              </w:rPr>
            </w:pPr>
            <w:r w:rsidRPr="00ED3D25">
              <w:rPr>
                <w:lang w:val="lt-LT"/>
              </w:rPr>
              <w:t>0,6383</w:t>
            </w:r>
          </w:p>
        </w:tc>
        <w:tc>
          <w:tcPr>
            <w:tcW w:w="956" w:type="pct"/>
            <w:tcBorders>
              <w:top w:val="single" w:sz="4" w:space="0" w:color="auto"/>
              <w:bottom w:val="single" w:sz="4" w:space="0" w:color="auto"/>
            </w:tcBorders>
            <w:shd w:val="clear" w:color="auto" w:fill="BFBFBF" w:themeFill="background1" w:themeFillShade="BF"/>
            <w:vAlign w:val="center"/>
          </w:tcPr>
          <w:p w:rsidR="004955A5" w:rsidRPr="00ED3D25" w:rsidRDefault="00F31A89" w:rsidP="004665BD">
            <w:pPr>
              <w:spacing w:line="240" w:lineRule="auto"/>
              <w:jc w:val="center"/>
              <w:rPr>
                <w:lang w:val="lt-LT"/>
              </w:rPr>
            </w:pPr>
            <w:r>
              <w:rPr>
                <w:lang w:val="lt-LT"/>
              </w:rPr>
              <w:t>0</w:t>
            </w:r>
          </w:p>
        </w:tc>
        <w:tc>
          <w:tcPr>
            <w:tcW w:w="1243" w:type="pct"/>
            <w:tcBorders>
              <w:top w:val="single" w:sz="4" w:space="0" w:color="auto"/>
              <w:bottom w:val="single" w:sz="4" w:space="0" w:color="auto"/>
            </w:tcBorders>
            <w:shd w:val="clear" w:color="auto" w:fill="BFBFBF" w:themeFill="background1" w:themeFillShade="BF"/>
            <w:vAlign w:val="center"/>
          </w:tcPr>
          <w:p w:rsidR="004955A5" w:rsidRPr="00ED3D25" w:rsidRDefault="00014E71" w:rsidP="004665BD">
            <w:pPr>
              <w:spacing w:line="240" w:lineRule="auto"/>
              <w:jc w:val="center"/>
              <w:rPr>
                <w:lang w:val="lt-LT"/>
              </w:rPr>
            </w:pPr>
            <w:r w:rsidRPr="00ED3D25">
              <w:rPr>
                <w:lang w:val="lt-LT"/>
              </w:rPr>
              <w:t>1,7528</w:t>
            </w:r>
          </w:p>
        </w:tc>
        <w:tc>
          <w:tcPr>
            <w:tcW w:w="969" w:type="pct"/>
            <w:tcBorders>
              <w:top w:val="single" w:sz="4" w:space="0" w:color="auto"/>
              <w:bottom w:val="single" w:sz="4" w:space="0" w:color="auto"/>
            </w:tcBorders>
            <w:shd w:val="clear" w:color="auto" w:fill="BFBFBF" w:themeFill="background1" w:themeFillShade="BF"/>
            <w:vAlign w:val="center"/>
          </w:tcPr>
          <w:p w:rsidR="004955A5" w:rsidRPr="00ED3D25" w:rsidRDefault="00014E71" w:rsidP="004665BD">
            <w:pPr>
              <w:spacing w:line="240" w:lineRule="auto"/>
              <w:jc w:val="center"/>
              <w:rPr>
                <w:lang w:val="lt-LT"/>
              </w:rPr>
            </w:pPr>
            <w:r w:rsidRPr="00ED3D25">
              <w:rPr>
                <w:lang w:val="lt-LT"/>
              </w:rPr>
              <w:t>0,8334</w:t>
            </w:r>
          </w:p>
        </w:tc>
      </w:tr>
      <w:tr w:rsidR="004955A5" w:rsidRPr="00ED3D25" w:rsidTr="00417AFE">
        <w:trPr>
          <w:jc w:val="center"/>
        </w:trPr>
        <w:tc>
          <w:tcPr>
            <w:tcW w:w="674" w:type="pct"/>
          </w:tcPr>
          <w:p w:rsidR="004955A5" w:rsidRPr="00ED3D25" w:rsidRDefault="004955A5" w:rsidP="00B92C9A">
            <w:pPr>
              <w:spacing w:line="240" w:lineRule="auto"/>
              <w:rPr>
                <w:b/>
                <w:bCs/>
                <w:lang w:val="lt-LT"/>
              </w:rPr>
            </w:pPr>
            <w:r w:rsidRPr="00ED3D25">
              <w:rPr>
                <w:b/>
                <w:bCs/>
                <w:lang w:val="lt-LT"/>
              </w:rPr>
              <w:t>2013 m.</w:t>
            </w:r>
          </w:p>
        </w:tc>
        <w:tc>
          <w:tcPr>
            <w:tcW w:w="1158" w:type="pct"/>
            <w:tcBorders>
              <w:top w:val="single" w:sz="4" w:space="0" w:color="auto"/>
            </w:tcBorders>
            <w:vAlign w:val="center"/>
          </w:tcPr>
          <w:p w:rsidR="004955A5" w:rsidRPr="00ED3D25" w:rsidRDefault="00201C26" w:rsidP="004665BD">
            <w:pPr>
              <w:spacing w:line="240" w:lineRule="auto"/>
              <w:jc w:val="center"/>
              <w:rPr>
                <w:lang w:val="lt-LT"/>
              </w:rPr>
            </w:pPr>
            <w:r w:rsidRPr="00ED3D25">
              <w:rPr>
                <w:lang w:val="lt-LT"/>
              </w:rPr>
              <w:t>0,7004</w:t>
            </w:r>
          </w:p>
        </w:tc>
        <w:tc>
          <w:tcPr>
            <w:tcW w:w="956" w:type="pct"/>
            <w:tcBorders>
              <w:top w:val="single" w:sz="4" w:space="0" w:color="auto"/>
            </w:tcBorders>
            <w:vAlign w:val="center"/>
          </w:tcPr>
          <w:p w:rsidR="004955A5" w:rsidRPr="00ED3D25" w:rsidRDefault="00F31A89" w:rsidP="004665BD">
            <w:pPr>
              <w:spacing w:line="240" w:lineRule="auto"/>
              <w:jc w:val="center"/>
              <w:rPr>
                <w:lang w:val="lt-LT"/>
              </w:rPr>
            </w:pPr>
            <w:r>
              <w:rPr>
                <w:lang w:val="lt-LT"/>
              </w:rPr>
              <w:t>0</w:t>
            </w:r>
          </w:p>
        </w:tc>
        <w:tc>
          <w:tcPr>
            <w:tcW w:w="1243" w:type="pct"/>
            <w:tcBorders>
              <w:top w:val="single" w:sz="4" w:space="0" w:color="auto"/>
            </w:tcBorders>
            <w:vAlign w:val="center"/>
          </w:tcPr>
          <w:p w:rsidR="004955A5" w:rsidRPr="00ED3D25" w:rsidRDefault="00201C26" w:rsidP="004665BD">
            <w:pPr>
              <w:spacing w:line="240" w:lineRule="auto"/>
              <w:jc w:val="center"/>
              <w:rPr>
                <w:lang w:val="lt-LT"/>
              </w:rPr>
            </w:pPr>
            <w:r w:rsidRPr="00ED3D25">
              <w:rPr>
                <w:lang w:val="lt-LT"/>
              </w:rPr>
              <w:t>2,4381</w:t>
            </w:r>
          </w:p>
        </w:tc>
        <w:tc>
          <w:tcPr>
            <w:tcW w:w="969" w:type="pct"/>
            <w:tcBorders>
              <w:top w:val="single" w:sz="4" w:space="0" w:color="auto"/>
            </w:tcBorders>
            <w:vAlign w:val="center"/>
          </w:tcPr>
          <w:p w:rsidR="004955A5" w:rsidRPr="00ED3D25" w:rsidRDefault="00201C26" w:rsidP="004665BD">
            <w:pPr>
              <w:spacing w:line="240" w:lineRule="auto"/>
              <w:jc w:val="center"/>
              <w:rPr>
                <w:lang w:val="lt-LT"/>
              </w:rPr>
            </w:pPr>
            <w:r w:rsidRPr="00ED3D25">
              <w:rPr>
                <w:lang w:val="lt-LT"/>
              </w:rPr>
              <w:t>1,3014</w:t>
            </w:r>
          </w:p>
        </w:tc>
      </w:tr>
    </w:tbl>
    <w:p w:rsidR="00C67CE5" w:rsidRPr="00ED3D25" w:rsidRDefault="00C67CE5" w:rsidP="004665BD">
      <w:pPr>
        <w:spacing w:after="0" w:line="240" w:lineRule="auto"/>
        <w:rPr>
          <w:sz w:val="20"/>
          <w:szCs w:val="20"/>
          <w:lang w:val="lt-LT"/>
        </w:rPr>
      </w:pPr>
      <w:r w:rsidRPr="00ED3D25">
        <w:rPr>
          <w:sz w:val="20"/>
          <w:szCs w:val="20"/>
          <w:lang w:val="lt-LT"/>
        </w:rPr>
        <w:t>Pastaba: lentelė sudaryta autorės, remiantis įmonės D</w:t>
      </w:r>
      <w:r w:rsidR="004955A5" w:rsidRPr="00ED3D25">
        <w:rPr>
          <w:sz w:val="20"/>
          <w:szCs w:val="20"/>
          <w:lang w:val="lt-LT"/>
        </w:rPr>
        <w:t xml:space="preserve"> 2011</w:t>
      </w:r>
      <w:r w:rsidRPr="00ED3D25">
        <w:rPr>
          <w:sz w:val="20"/>
          <w:szCs w:val="20"/>
          <w:lang w:val="lt-LT"/>
        </w:rPr>
        <w:t>-2013 m. pelno (nuostolio) ata</w:t>
      </w:r>
      <w:r w:rsidR="00417AFE">
        <w:rPr>
          <w:sz w:val="20"/>
          <w:szCs w:val="20"/>
          <w:lang w:val="lt-LT"/>
        </w:rPr>
        <w:t>skaitos finansiniais duomenimis, taip pat paryškintas laikotarpis, kada įmonė gavo paramą.</w:t>
      </w:r>
    </w:p>
    <w:p w:rsidR="00C67CE5" w:rsidRPr="00417AFE" w:rsidRDefault="00C67CE5" w:rsidP="00417AFE">
      <w:pPr>
        <w:spacing w:after="0" w:line="240" w:lineRule="auto"/>
        <w:rPr>
          <w:sz w:val="14"/>
          <w:szCs w:val="14"/>
          <w:lang w:val="lt-LT"/>
        </w:rPr>
      </w:pPr>
    </w:p>
    <w:p w:rsidR="00964D8C" w:rsidRDefault="008F3BEB" w:rsidP="00E77766">
      <w:pPr>
        <w:spacing w:after="0"/>
        <w:ind w:firstLine="851"/>
        <w:rPr>
          <w:bCs/>
          <w:lang w:val="lt-LT"/>
        </w:rPr>
      </w:pPr>
      <w:r w:rsidRPr="00ED3D25">
        <w:rPr>
          <w:bCs/>
          <w:lang w:val="lt-LT"/>
        </w:rPr>
        <w:t>Įmonės D veiklos efektyvumo rodikliai pateikti 2</w:t>
      </w:r>
      <w:r w:rsidR="00E77766">
        <w:rPr>
          <w:bCs/>
          <w:lang w:val="lt-LT"/>
        </w:rPr>
        <w:t>1</w:t>
      </w:r>
      <w:r w:rsidRPr="00ED3D25">
        <w:rPr>
          <w:bCs/>
          <w:lang w:val="lt-LT"/>
        </w:rPr>
        <w:t xml:space="preserve"> lentelėje. Joje fiksuojamos veiklos sąnaudos vienam pajamų litui, kurios žemiausios buvo 2010 m. ir siekė 28 proc. nuo pardavimo pajamų. Per kelerius metus sąnaudos išaugo labai stipriai ir 2013 m. siekė</w:t>
      </w:r>
      <w:r w:rsidR="006F6F5B" w:rsidRPr="00ED3D25">
        <w:rPr>
          <w:bCs/>
          <w:lang w:val="lt-LT"/>
        </w:rPr>
        <w:t xml:space="preserve"> net 70 proc. Vertinant apyvartinio kapitalo apyvartumą matyti, kad 20</w:t>
      </w:r>
      <w:r w:rsidR="009D7F93">
        <w:rPr>
          <w:bCs/>
          <w:lang w:val="lt-LT"/>
        </w:rPr>
        <w:t xml:space="preserve">11 m. įmonė galėjo padaryti </w:t>
      </w:r>
      <w:r w:rsidR="006F6F5B" w:rsidRPr="00ED3D25">
        <w:rPr>
          <w:bCs/>
          <w:lang w:val="lt-LT"/>
        </w:rPr>
        <w:t>beveik 5 apyvartas per ataskaitinį laikotarpį, o 201</w:t>
      </w:r>
      <w:r w:rsidR="00F31A89">
        <w:rPr>
          <w:bCs/>
          <w:lang w:val="lt-LT"/>
        </w:rPr>
        <w:t>2-201</w:t>
      </w:r>
      <w:r w:rsidR="006F6F5B" w:rsidRPr="00ED3D25">
        <w:rPr>
          <w:bCs/>
          <w:lang w:val="lt-LT"/>
        </w:rPr>
        <w:t xml:space="preserve">3 m. labai išaugo įsipareigojimai ir apyvartinis kapitalas tapo </w:t>
      </w:r>
      <w:r w:rsidR="00F31A89">
        <w:rPr>
          <w:bCs/>
          <w:lang w:val="lt-LT"/>
        </w:rPr>
        <w:t>nulinis</w:t>
      </w:r>
      <w:r w:rsidR="006F6F5B" w:rsidRPr="00ED3D25">
        <w:rPr>
          <w:bCs/>
          <w:lang w:val="lt-LT"/>
        </w:rPr>
        <w:t xml:space="preserve">. Apskaičiuotas grynojo turto apyvartumas parodė, kad įmonė efektyviai naudoja turtą tiekdama produkciją, rodiklis 2013 m. siekė apie 2,44. Analizjuojant bendrą turto apyvartumą pastebima, kad įmonės politika šiuo atžvilgiu yra </w:t>
      </w:r>
      <w:r w:rsidR="00F31A89">
        <w:rPr>
          <w:bCs/>
          <w:lang w:val="lt-LT"/>
        </w:rPr>
        <w:t xml:space="preserve">taip pat </w:t>
      </w:r>
      <w:r w:rsidR="006F6F5B" w:rsidRPr="00ED3D25">
        <w:rPr>
          <w:bCs/>
          <w:lang w:val="lt-LT"/>
        </w:rPr>
        <w:t xml:space="preserve">efektyvi, nes </w:t>
      </w:r>
      <w:r w:rsidR="00C76017" w:rsidRPr="00ED3D25">
        <w:rPr>
          <w:bCs/>
          <w:lang w:val="lt-LT"/>
        </w:rPr>
        <w:t>investuotas turtas uždirba dau</w:t>
      </w:r>
      <w:r w:rsidR="006F6F5B" w:rsidRPr="00ED3D25">
        <w:rPr>
          <w:bCs/>
          <w:lang w:val="lt-LT"/>
        </w:rPr>
        <w:t>giau. Išimtis fiksuojama tik vie</w:t>
      </w:r>
      <w:r w:rsidR="00C76017" w:rsidRPr="00ED3D25">
        <w:rPr>
          <w:bCs/>
          <w:lang w:val="lt-LT"/>
        </w:rPr>
        <w:t>nais metais, t. y. 2012 m.</w:t>
      </w:r>
      <w:r w:rsidR="0023129E">
        <w:rPr>
          <w:bCs/>
          <w:lang w:val="lt-LT"/>
        </w:rPr>
        <w:t xml:space="preserve"> per ES finansinės paramos įsisavinimą</w:t>
      </w:r>
      <w:r w:rsidR="00C76017" w:rsidRPr="00ED3D25">
        <w:rPr>
          <w:bCs/>
          <w:lang w:val="lt-LT"/>
        </w:rPr>
        <w:t>, kai buvo uždirbta mažiau pardavimo pajamų (</w:t>
      </w:r>
      <w:r w:rsidR="0023129E">
        <w:rPr>
          <w:bCs/>
          <w:lang w:val="lt-LT"/>
        </w:rPr>
        <w:t xml:space="preserve">daugiau nei </w:t>
      </w:r>
      <w:r w:rsidR="00C76017" w:rsidRPr="00ED3D25">
        <w:rPr>
          <w:bCs/>
          <w:lang w:val="lt-LT"/>
        </w:rPr>
        <w:t>653</w:t>
      </w:r>
      <w:r w:rsidR="0023129E">
        <w:rPr>
          <w:bCs/>
          <w:lang w:val="lt-LT"/>
        </w:rPr>
        <w:t xml:space="preserve"> tūkst.</w:t>
      </w:r>
      <w:r w:rsidR="00C76017" w:rsidRPr="00ED3D25">
        <w:rPr>
          <w:bCs/>
          <w:lang w:val="lt-LT"/>
        </w:rPr>
        <w:t xml:space="preserve"> </w:t>
      </w:r>
      <w:r w:rsidR="00A40E6E">
        <w:rPr>
          <w:bCs/>
          <w:lang w:val="lt-LT"/>
        </w:rPr>
        <w:t>Lt.</w:t>
      </w:r>
      <w:r w:rsidR="00C76017" w:rsidRPr="00ED3D25">
        <w:rPr>
          <w:bCs/>
          <w:lang w:val="lt-LT"/>
        </w:rPr>
        <w:t>)</w:t>
      </w:r>
      <w:r w:rsidR="0023129E">
        <w:rPr>
          <w:bCs/>
          <w:lang w:val="lt-LT"/>
        </w:rPr>
        <w:t>, o turtas siekė apie 800 tūkst. Lt</w:t>
      </w:r>
      <w:r w:rsidR="00C76017" w:rsidRPr="00ED3D25">
        <w:rPr>
          <w:bCs/>
          <w:lang w:val="lt-LT"/>
        </w:rPr>
        <w:t>.</w:t>
      </w:r>
      <w:r w:rsidR="0023129E">
        <w:rPr>
          <w:bCs/>
          <w:lang w:val="lt-LT"/>
        </w:rPr>
        <w:t xml:space="preserve"> Tad gauta ES struktūrinių fondų finansinė parama neigiama linkme paveikė veiklos sąnaudas vienam pajamų litui ir apyvartinio kapitalo apyvartumą, o grynojo turto apyvartumas lyginant 2011 m. ir 2013 m. išaugo iki 2,44, nors kol buvo įsisavinamos ES lėšos rodiklis buvo nukritęs iki 1,75. </w:t>
      </w:r>
    </w:p>
    <w:p w:rsidR="0023129E" w:rsidRDefault="0023129E" w:rsidP="00B04021">
      <w:pPr>
        <w:spacing w:after="0"/>
        <w:ind w:firstLine="851"/>
        <w:rPr>
          <w:bCs/>
          <w:lang w:val="lt-LT"/>
        </w:rPr>
      </w:pPr>
      <w:r>
        <w:rPr>
          <w:bCs/>
          <w:lang w:val="lt-LT"/>
        </w:rPr>
        <w:lastRenderedPageBreak/>
        <w:t xml:space="preserve">Apibendrinant įmonės D ES finansinės paramos panaudojimo efektyvumą galima teigti, kad parama nepadarė teigiamo poveikio, nes įmonės likvidumas ir įsiskolinimai išaugo, pelningumas </w:t>
      </w:r>
      <w:r w:rsidR="00B04021">
        <w:rPr>
          <w:bCs/>
          <w:lang w:val="lt-LT"/>
        </w:rPr>
        <w:t>nukrito</w:t>
      </w:r>
      <w:r w:rsidR="00582803">
        <w:rPr>
          <w:bCs/>
          <w:lang w:val="lt-LT"/>
        </w:rPr>
        <w:t xml:space="preserve"> iki 1 proc. Taip pat veiklos sąnaudos išaugo iki 70 proc., o tai labai didelė gaunamų pajamų dalis, dėl prisiimtų trumpalaikių įsipareigojimų neliko apyvartinio kapitalo. Tačiau lyginant 2011 m. ir 2013 m. grynojo turto apyvartumas išaugo, o </w:t>
      </w:r>
      <w:r w:rsidR="00B04021">
        <w:rPr>
          <w:bCs/>
          <w:lang w:val="lt-LT"/>
        </w:rPr>
        <w:t>bendro</w:t>
      </w:r>
      <w:r w:rsidR="009D7F93">
        <w:rPr>
          <w:bCs/>
          <w:lang w:val="lt-LT"/>
        </w:rPr>
        <w:t>jo</w:t>
      </w:r>
      <w:r w:rsidR="00B04021">
        <w:rPr>
          <w:bCs/>
          <w:lang w:val="lt-LT"/>
        </w:rPr>
        <w:t xml:space="preserve"> </w:t>
      </w:r>
      <w:r w:rsidR="00582803">
        <w:rPr>
          <w:bCs/>
          <w:lang w:val="lt-LT"/>
        </w:rPr>
        <w:t>turto apyvartumas padidėjo iki 1,3 po lėšų įsisavinimo, nei buvo 2012 m. (0,83).</w:t>
      </w:r>
    </w:p>
    <w:p w:rsidR="0023129E" w:rsidRPr="00ED3D25" w:rsidRDefault="00DC35C0" w:rsidP="00062716">
      <w:pPr>
        <w:spacing w:after="0"/>
        <w:ind w:firstLine="851"/>
        <w:rPr>
          <w:bCs/>
          <w:lang w:val="lt-LT"/>
        </w:rPr>
      </w:pPr>
      <w:r>
        <w:rPr>
          <w:bCs/>
          <w:lang w:val="lt-LT"/>
        </w:rPr>
        <w:t>Apskaičiavus A, B, C ir D</w:t>
      </w:r>
      <w:r w:rsidRPr="00DC35C0">
        <w:rPr>
          <w:bCs/>
          <w:lang w:val="lt-LT"/>
        </w:rPr>
        <w:t xml:space="preserve"> </w:t>
      </w:r>
      <w:r>
        <w:rPr>
          <w:bCs/>
          <w:lang w:val="lt-LT"/>
        </w:rPr>
        <w:t xml:space="preserve">įmonių rodiklius pagal jų pateiktas finansines ataskaitas paaiškėjo, kad </w:t>
      </w:r>
      <w:r w:rsidR="00280490">
        <w:rPr>
          <w:bCs/>
          <w:lang w:val="lt-LT"/>
        </w:rPr>
        <w:t>sėkmingiausiai ES finansinę paramą panaudojo įmonės A ir B. Viena iš jų modernizavo savo verslą (A), o kita pasinaudodama ES struktūrinių fondų finansine parama įsteigė verslą. Įvertinus C ir D įmonių rezultatus, daroma išvada, kad šioms įmonėsms nepavyko tinkamai nukreipti gautų</w:t>
      </w:r>
      <w:r w:rsidR="009D7F93">
        <w:rPr>
          <w:bCs/>
          <w:lang w:val="lt-LT"/>
        </w:rPr>
        <w:t xml:space="preserve"> ES finansinės</w:t>
      </w:r>
      <w:r w:rsidR="00280490">
        <w:rPr>
          <w:bCs/>
          <w:lang w:val="lt-LT"/>
        </w:rPr>
        <w:t xml:space="preserve"> paramos lėšų.</w:t>
      </w:r>
    </w:p>
    <w:p w:rsidR="004A39CD" w:rsidRPr="00AB5701" w:rsidRDefault="004A39CD" w:rsidP="00AB5701">
      <w:pPr>
        <w:pStyle w:val="Heading2"/>
        <w:numPr>
          <w:ilvl w:val="1"/>
          <w:numId w:val="23"/>
        </w:numPr>
        <w:spacing w:line="360" w:lineRule="auto"/>
        <w:ind w:left="0" w:firstLine="0"/>
        <w:rPr>
          <w:sz w:val="24"/>
          <w:szCs w:val="24"/>
          <w:lang w:val="lt-LT"/>
        </w:rPr>
      </w:pPr>
      <w:bookmarkStart w:id="12" w:name="_Toc419534701"/>
      <w:r w:rsidRPr="00AB5701">
        <w:rPr>
          <w:sz w:val="24"/>
          <w:szCs w:val="24"/>
          <w:lang w:val="lt-LT"/>
        </w:rPr>
        <w:t>Įmonių</w:t>
      </w:r>
      <w:r w:rsidR="00DC35C0" w:rsidRPr="00AB5701">
        <w:rPr>
          <w:sz w:val="24"/>
          <w:szCs w:val="24"/>
          <w:lang w:val="lt-LT"/>
        </w:rPr>
        <w:t xml:space="preserve"> A, B, C ir D,</w:t>
      </w:r>
      <w:r w:rsidRPr="00AB5701">
        <w:rPr>
          <w:sz w:val="24"/>
          <w:szCs w:val="24"/>
          <w:lang w:val="lt-LT"/>
        </w:rPr>
        <w:t xml:space="preserve"> gavusių ES finansinę paramą, </w:t>
      </w:r>
      <w:r w:rsidR="00B41FAF" w:rsidRPr="00AB5701">
        <w:rPr>
          <w:sz w:val="24"/>
          <w:szCs w:val="24"/>
          <w:lang w:val="lt-LT"/>
        </w:rPr>
        <w:t xml:space="preserve">finansinių </w:t>
      </w:r>
      <w:r w:rsidRPr="00AB5701">
        <w:rPr>
          <w:sz w:val="24"/>
          <w:szCs w:val="24"/>
          <w:lang w:val="lt-LT"/>
        </w:rPr>
        <w:t>rodiklių palyginimas su sektoriaus rodikliais</w:t>
      </w:r>
      <w:bookmarkEnd w:id="12"/>
    </w:p>
    <w:p w:rsidR="001D46AA" w:rsidRPr="00E77766" w:rsidRDefault="00673CAB" w:rsidP="00E77766">
      <w:pPr>
        <w:spacing w:after="0"/>
        <w:ind w:firstLine="851"/>
        <w:rPr>
          <w:lang w:val="lt-LT"/>
        </w:rPr>
      </w:pPr>
      <w:r>
        <w:rPr>
          <w:lang w:val="lt-LT"/>
        </w:rPr>
        <w:t>Apskaičiavus</w:t>
      </w:r>
      <w:r w:rsidR="004A39CD" w:rsidRPr="00ED3D25">
        <w:rPr>
          <w:lang w:val="lt-LT"/>
        </w:rPr>
        <w:t xml:space="preserve"> įmonių A, B, C ir D </w:t>
      </w:r>
      <w:r w:rsidR="0009272E">
        <w:rPr>
          <w:lang w:val="lt-LT"/>
        </w:rPr>
        <w:t xml:space="preserve">finansinius </w:t>
      </w:r>
      <w:r w:rsidR="004A39CD" w:rsidRPr="00ED3D25">
        <w:rPr>
          <w:lang w:val="lt-LT"/>
        </w:rPr>
        <w:t xml:space="preserve">rodiklius svarbu </w:t>
      </w:r>
      <w:r>
        <w:rPr>
          <w:lang w:val="lt-LT"/>
        </w:rPr>
        <w:t>įvertinti</w:t>
      </w:r>
      <w:r w:rsidR="004A39CD" w:rsidRPr="00ED3D25">
        <w:rPr>
          <w:lang w:val="lt-LT"/>
        </w:rPr>
        <w:t xml:space="preserve"> juos ir bendrame kontekste, t. y.  palyginti </w:t>
      </w:r>
      <w:r w:rsidR="0009272E">
        <w:rPr>
          <w:lang w:val="lt-LT"/>
        </w:rPr>
        <w:t>juos</w:t>
      </w:r>
      <w:r w:rsidR="004A39CD" w:rsidRPr="00ED3D25">
        <w:rPr>
          <w:lang w:val="lt-LT"/>
        </w:rPr>
        <w:t xml:space="preserve"> su</w:t>
      </w:r>
      <w:r>
        <w:rPr>
          <w:lang w:val="lt-LT"/>
        </w:rPr>
        <w:t xml:space="preserve"> atstovaujamo sektoriaus. T</w:t>
      </w:r>
      <w:r w:rsidR="004A39CD" w:rsidRPr="00ED3D25">
        <w:rPr>
          <w:lang w:val="lt-LT"/>
        </w:rPr>
        <w:t>am bu</w:t>
      </w:r>
      <w:r>
        <w:rPr>
          <w:lang w:val="lt-LT"/>
        </w:rPr>
        <w:t>vo</w:t>
      </w:r>
      <w:r w:rsidR="004A39CD" w:rsidRPr="00ED3D25">
        <w:rPr>
          <w:lang w:val="lt-LT"/>
        </w:rPr>
        <w:t xml:space="preserve"> </w:t>
      </w:r>
      <w:r>
        <w:rPr>
          <w:lang w:val="lt-LT"/>
        </w:rPr>
        <w:t>pasitelkti</w:t>
      </w:r>
      <w:r w:rsidR="004A39CD" w:rsidRPr="00ED3D25">
        <w:rPr>
          <w:lang w:val="lt-LT"/>
        </w:rPr>
        <w:t xml:space="preserve"> </w:t>
      </w:r>
      <w:r w:rsidR="0009272E" w:rsidRPr="00ED3D25">
        <w:rPr>
          <w:lang w:val="lt-LT"/>
        </w:rPr>
        <w:t>įmonių</w:t>
      </w:r>
      <w:r>
        <w:rPr>
          <w:lang w:val="lt-LT"/>
        </w:rPr>
        <w:t xml:space="preserve"> ir sektorių</w:t>
      </w:r>
      <w:r w:rsidR="0009272E" w:rsidRPr="00ED3D25">
        <w:rPr>
          <w:lang w:val="lt-LT"/>
        </w:rPr>
        <w:t xml:space="preserve"> </w:t>
      </w:r>
      <w:r>
        <w:rPr>
          <w:lang w:val="lt-LT"/>
        </w:rPr>
        <w:t xml:space="preserve">2011-2013 m. </w:t>
      </w:r>
      <w:r w:rsidR="0009272E">
        <w:rPr>
          <w:lang w:val="lt-LT"/>
        </w:rPr>
        <w:t>laikotarpio</w:t>
      </w:r>
      <w:r w:rsidR="004A39CD" w:rsidRPr="00ED3D25">
        <w:rPr>
          <w:lang w:val="lt-LT"/>
        </w:rPr>
        <w:t xml:space="preserve"> rodikliai. </w:t>
      </w:r>
      <w:r>
        <w:rPr>
          <w:lang w:val="lt-LT"/>
        </w:rPr>
        <w:t>Šis laikotarpis pasirinktas dėl to, kad per tris metus geriau matoma rodiklių kitimo tendencija, o</w:t>
      </w:r>
      <w:r w:rsidR="004A39CD" w:rsidRPr="00ED3D25">
        <w:rPr>
          <w:lang w:val="lt-LT"/>
        </w:rPr>
        <w:t xml:space="preserve"> </w:t>
      </w:r>
      <w:r w:rsidR="0009272E">
        <w:rPr>
          <w:lang w:val="lt-LT"/>
        </w:rPr>
        <w:t>Lietuvos statistikos departamento</w:t>
      </w:r>
      <w:r w:rsidR="004A39CD" w:rsidRPr="00ED3D25">
        <w:rPr>
          <w:lang w:val="lt-LT"/>
        </w:rPr>
        <w:t xml:space="preserve"> internetinės svetainės sektorių</w:t>
      </w:r>
      <w:r>
        <w:rPr>
          <w:lang w:val="lt-LT"/>
        </w:rPr>
        <w:t xml:space="preserve"> finansinių rodiklių duomenys pateikti tik iki 2013 m. Tad</w:t>
      </w:r>
      <w:r w:rsidR="004A39CD" w:rsidRPr="00ED3D25">
        <w:rPr>
          <w:lang w:val="lt-LT"/>
        </w:rPr>
        <w:t xml:space="preserve"> </w:t>
      </w:r>
      <w:r>
        <w:rPr>
          <w:lang w:val="lt-LT"/>
        </w:rPr>
        <w:t>šioje dalyje</w:t>
      </w:r>
      <w:r w:rsidR="004A39CD" w:rsidRPr="00ED3D25">
        <w:rPr>
          <w:lang w:val="lt-LT"/>
        </w:rPr>
        <w:t xml:space="preserve"> įvertinamos pr</w:t>
      </w:r>
      <w:r w:rsidR="00B92C9A">
        <w:rPr>
          <w:lang w:val="lt-LT"/>
        </w:rPr>
        <w:t>iežastys dėl rodiklių skirtumo.</w:t>
      </w:r>
      <w:r w:rsidR="004A39CD" w:rsidRPr="00ED3D25">
        <w:rPr>
          <w:lang w:val="lt-LT"/>
        </w:rPr>
        <w:t xml:space="preserve"> </w:t>
      </w:r>
    </w:p>
    <w:p w:rsidR="004A39CD" w:rsidRPr="00ED3D25" w:rsidRDefault="00746E75" w:rsidP="004A39CD">
      <w:pPr>
        <w:spacing w:after="0"/>
        <w:ind w:firstLine="851"/>
        <w:jc w:val="right"/>
        <w:rPr>
          <w:b/>
          <w:bCs/>
          <w:lang w:val="lt-LT"/>
        </w:rPr>
      </w:pPr>
      <w:r>
        <w:rPr>
          <w:b/>
          <w:bCs/>
          <w:lang w:val="lt-LT"/>
        </w:rPr>
        <w:t>22</w:t>
      </w:r>
      <w:r w:rsidR="004A39CD" w:rsidRPr="00ED3D25">
        <w:rPr>
          <w:b/>
          <w:bCs/>
          <w:lang w:val="lt-LT"/>
        </w:rPr>
        <w:t xml:space="preserve"> lentelė</w:t>
      </w:r>
    </w:p>
    <w:p w:rsidR="004A39CD" w:rsidRPr="00ED3D25" w:rsidRDefault="008B03D9" w:rsidP="00633652">
      <w:pPr>
        <w:spacing w:after="0" w:line="240" w:lineRule="auto"/>
        <w:jc w:val="center"/>
        <w:rPr>
          <w:b/>
          <w:bCs/>
          <w:sz w:val="22"/>
          <w:szCs w:val="20"/>
          <w:lang w:val="lt-LT"/>
        </w:rPr>
      </w:pPr>
      <w:r>
        <w:rPr>
          <w:b/>
          <w:bCs/>
          <w:sz w:val="22"/>
          <w:szCs w:val="20"/>
          <w:lang w:val="lt-LT"/>
        </w:rPr>
        <w:t>Į</w:t>
      </w:r>
      <w:r w:rsidRPr="00ED3D25">
        <w:rPr>
          <w:b/>
          <w:bCs/>
          <w:sz w:val="22"/>
          <w:szCs w:val="20"/>
          <w:lang w:val="lt-LT"/>
        </w:rPr>
        <w:t>monė</w:t>
      </w:r>
      <w:r>
        <w:rPr>
          <w:b/>
          <w:bCs/>
          <w:sz w:val="22"/>
          <w:szCs w:val="20"/>
          <w:lang w:val="lt-LT"/>
        </w:rPr>
        <w:t>s</w:t>
      </w:r>
      <w:r w:rsidRPr="00ED3D25">
        <w:rPr>
          <w:b/>
          <w:bCs/>
          <w:sz w:val="22"/>
          <w:szCs w:val="20"/>
          <w:lang w:val="lt-LT"/>
        </w:rPr>
        <w:t xml:space="preserve"> A</w:t>
      </w:r>
      <w:r w:rsidR="00633652">
        <w:rPr>
          <w:b/>
          <w:bCs/>
          <w:sz w:val="22"/>
          <w:szCs w:val="20"/>
          <w:lang w:val="lt-LT"/>
        </w:rPr>
        <w:t xml:space="preserve"> finansinių rodiklių palyginimas su</w:t>
      </w:r>
      <w:r>
        <w:rPr>
          <w:b/>
          <w:bCs/>
          <w:sz w:val="22"/>
          <w:szCs w:val="20"/>
          <w:lang w:val="lt-LT"/>
        </w:rPr>
        <w:t xml:space="preserve"> p</w:t>
      </w:r>
      <w:r w:rsidR="00B3426A">
        <w:rPr>
          <w:b/>
          <w:bCs/>
          <w:sz w:val="22"/>
          <w:szCs w:val="20"/>
          <w:lang w:val="lt-LT"/>
        </w:rPr>
        <w:t>ramoninių mašinų ir įrangos įrengimo s</w:t>
      </w:r>
      <w:r>
        <w:rPr>
          <w:b/>
          <w:bCs/>
          <w:sz w:val="22"/>
          <w:szCs w:val="20"/>
          <w:lang w:val="lt-LT"/>
        </w:rPr>
        <w:t>ektoriaus</w:t>
      </w:r>
      <w:r w:rsidR="004A39CD" w:rsidRPr="00ED3D25">
        <w:rPr>
          <w:b/>
          <w:bCs/>
          <w:sz w:val="22"/>
          <w:szCs w:val="20"/>
          <w:lang w:val="lt-LT"/>
        </w:rPr>
        <w:t xml:space="preserve"> </w:t>
      </w:r>
      <w:r w:rsidR="00633652">
        <w:rPr>
          <w:b/>
          <w:bCs/>
          <w:sz w:val="22"/>
          <w:szCs w:val="20"/>
          <w:lang w:val="lt-LT"/>
        </w:rPr>
        <w:t>finansiniais</w:t>
      </w:r>
      <w:r w:rsidR="002261A4">
        <w:rPr>
          <w:b/>
          <w:bCs/>
          <w:sz w:val="22"/>
          <w:szCs w:val="20"/>
          <w:lang w:val="lt-LT"/>
        </w:rPr>
        <w:t xml:space="preserve"> rodikli</w:t>
      </w:r>
      <w:r w:rsidR="00633652">
        <w:rPr>
          <w:b/>
          <w:bCs/>
          <w:sz w:val="22"/>
          <w:szCs w:val="20"/>
          <w:lang w:val="lt-LT"/>
        </w:rPr>
        <w:t>ais</w:t>
      </w:r>
    </w:p>
    <w:p w:rsidR="004A39CD" w:rsidRPr="00ED3D25" w:rsidRDefault="004A39CD" w:rsidP="004A39CD">
      <w:pPr>
        <w:spacing w:after="0" w:line="240" w:lineRule="auto"/>
        <w:ind w:firstLine="851"/>
        <w:jc w:val="center"/>
        <w:rPr>
          <w:b/>
          <w:bCs/>
          <w:sz w:val="22"/>
          <w:szCs w:val="20"/>
          <w:lang w:val="lt-LT"/>
        </w:rPr>
      </w:pPr>
    </w:p>
    <w:tbl>
      <w:tblPr>
        <w:tblStyle w:val="TableGrid"/>
        <w:tblW w:w="5000" w:type="pct"/>
        <w:jc w:val="center"/>
        <w:tblLook w:val="04A0" w:firstRow="1" w:lastRow="0" w:firstColumn="1" w:lastColumn="0" w:noHBand="0" w:noVBand="1"/>
      </w:tblPr>
      <w:tblGrid>
        <w:gridCol w:w="777"/>
        <w:gridCol w:w="834"/>
        <w:gridCol w:w="1065"/>
        <w:gridCol w:w="1127"/>
        <w:gridCol w:w="834"/>
        <w:gridCol w:w="1065"/>
        <w:gridCol w:w="1127"/>
        <w:gridCol w:w="834"/>
        <w:gridCol w:w="1065"/>
        <w:gridCol w:w="1127"/>
      </w:tblGrid>
      <w:tr w:rsidR="00C33C12" w:rsidRPr="00ED3D25" w:rsidTr="00673CAB">
        <w:trPr>
          <w:jc w:val="center"/>
        </w:trPr>
        <w:tc>
          <w:tcPr>
            <w:tcW w:w="460" w:type="pct"/>
            <w:vMerge w:val="restart"/>
            <w:tcBorders>
              <w:right w:val="single" w:sz="18" w:space="0" w:color="auto"/>
              <w:tl2br w:val="single" w:sz="4" w:space="0" w:color="auto"/>
            </w:tcBorders>
            <w:vAlign w:val="center"/>
          </w:tcPr>
          <w:p w:rsidR="00C33C12" w:rsidRPr="00FB3A63" w:rsidRDefault="00C33C12" w:rsidP="00FB3A63">
            <w:pPr>
              <w:spacing w:line="240" w:lineRule="auto"/>
              <w:jc w:val="right"/>
              <w:rPr>
                <w:b/>
                <w:bCs/>
                <w:lang w:val="lt-LT"/>
              </w:rPr>
            </w:pPr>
            <w:r w:rsidRPr="00FB3A63">
              <w:rPr>
                <w:b/>
                <w:bCs/>
                <w:lang w:val="lt-LT"/>
              </w:rPr>
              <w:t>Rod.</w:t>
            </w:r>
          </w:p>
          <w:p w:rsidR="00C33C12" w:rsidRPr="00ED3D25" w:rsidRDefault="00C33C12" w:rsidP="00FB3A63">
            <w:pPr>
              <w:spacing w:line="240" w:lineRule="auto"/>
              <w:rPr>
                <w:lang w:val="lt-LT"/>
              </w:rPr>
            </w:pPr>
            <w:r w:rsidRPr="00FB3A63">
              <w:rPr>
                <w:b/>
                <w:bCs/>
                <w:lang w:val="lt-LT"/>
              </w:rPr>
              <w:t>Metai</w:t>
            </w:r>
          </w:p>
        </w:tc>
        <w:tc>
          <w:tcPr>
            <w:tcW w:w="1511" w:type="pct"/>
            <w:gridSpan w:val="3"/>
            <w:tcBorders>
              <w:left w:val="single" w:sz="18" w:space="0" w:color="auto"/>
              <w:bottom w:val="single" w:sz="4" w:space="0" w:color="auto"/>
              <w:right w:val="single" w:sz="18" w:space="0" w:color="auto"/>
            </w:tcBorders>
          </w:tcPr>
          <w:p w:rsidR="00C33C12" w:rsidRPr="00FB3A63" w:rsidRDefault="00C33C12" w:rsidP="00FB3A63">
            <w:pPr>
              <w:spacing w:line="240" w:lineRule="auto"/>
              <w:jc w:val="center"/>
              <w:rPr>
                <w:rFonts w:asciiTheme="majorBidi" w:hAnsiTheme="majorBidi" w:cstheme="majorBidi"/>
                <w:b/>
                <w:bCs/>
                <w:lang w:val="lt-LT"/>
              </w:rPr>
            </w:pPr>
            <w:r w:rsidRPr="00FB3A63">
              <w:rPr>
                <w:b/>
                <w:bCs/>
                <w:lang w:val="lt-LT"/>
              </w:rPr>
              <w:t>Einamasis likvidumas</w:t>
            </w:r>
          </w:p>
        </w:tc>
        <w:tc>
          <w:tcPr>
            <w:tcW w:w="1512" w:type="pct"/>
            <w:gridSpan w:val="3"/>
            <w:tcBorders>
              <w:left w:val="single" w:sz="18" w:space="0" w:color="auto"/>
              <w:bottom w:val="single" w:sz="4" w:space="0" w:color="auto"/>
              <w:right w:val="single" w:sz="18" w:space="0" w:color="auto"/>
            </w:tcBorders>
          </w:tcPr>
          <w:p w:rsidR="00C33C12" w:rsidRPr="00FB3A63" w:rsidRDefault="00C33C12" w:rsidP="00FB3A63">
            <w:pPr>
              <w:spacing w:line="240" w:lineRule="auto"/>
              <w:jc w:val="center"/>
              <w:rPr>
                <w:rFonts w:asciiTheme="majorBidi" w:hAnsiTheme="majorBidi" w:cstheme="majorBidi"/>
                <w:b/>
                <w:bCs/>
                <w:lang w:val="lt-LT"/>
              </w:rPr>
            </w:pPr>
            <w:r w:rsidRPr="00FB3A63">
              <w:rPr>
                <w:rFonts w:asciiTheme="majorBidi" w:hAnsiTheme="majorBidi" w:cstheme="majorBidi"/>
                <w:b/>
                <w:bCs/>
                <w:lang w:val="lt-LT"/>
              </w:rPr>
              <w:t>Įsiskolinimų koeficientas</w:t>
            </w:r>
          </w:p>
        </w:tc>
        <w:tc>
          <w:tcPr>
            <w:tcW w:w="1518" w:type="pct"/>
            <w:gridSpan w:val="3"/>
            <w:tcBorders>
              <w:left w:val="single" w:sz="18" w:space="0" w:color="auto"/>
              <w:bottom w:val="single" w:sz="4" w:space="0" w:color="auto"/>
              <w:right w:val="single" w:sz="18" w:space="0" w:color="auto"/>
            </w:tcBorders>
          </w:tcPr>
          <w:p w:rsidR="00C33C12" w:rsidRPr="00FB3A63" w:rsidRDefault="008B03D9" w:rsidP="00FB3A63">
            <w:pPr>
              <w:spacing w:line="240" w:lineRule="auto"/>
              <w:jc w:val="center"/>
              <w:rPr>
                <w:rFonts w:asciiTheme="majorBidi" w:hAnsiTheme="majorBidi" w:cstheme="majorBidi"/>
                <w:b/>
                <w:bCs/>
                <w:lang w:val="lt-LT"/>
              </w:rPr>
            </w:pPr>
            <w:r w:rsidRPr="00FB3A63">
              <w:rPr>
                <w:rFonts w:asciiTheme="majorBidi" w:hAnsiTheme="majorBidi" w:cstheme="majorBidi"/>
                <w:b/>
                <w:bCs/>
                <w:lang w:val="lt-LT"/>
              </w:rPr>
              <w:t>Turto apyvartumas</w:t>
            </w:r>
          </w:p>
        </w:tc>
      </w:tr>
      <w:tr w:rsidR="00C33C12" w:rsidRPr="00ED3D25" w:rsidTr="00AA2223">
        <w:trPr>
          <w:jc w:val="center"/>
        </w:trPr>
        <w:tc>
          <w:tcPr>
            <w:tcW w:w="460" w:type="pct"/>
            <w:vMerge/>
            <w:tcBorders>
              <w:right w:val="single" w:sz="18" w:space="0" w:color="auto"/>
            </w:tcBorders>
            <w:vAlign w:val="bottom"/>
          </w:tcPr>
          <w:p w:rsidR="00C33C12" w:rsidRPr="0018696A" w:rsidRDefault="00C33C12" w:rsidP="00FB3A63">
            <w:pPr>
              <w:spacing w:line="240" w:lineRule="auto"/>
              <w:rPr>
                <w:lang w:val="lt-LT"/>
              </w:rPr>
            </w:pPr>
          </w:p>
        </w:tc>
        <w:tc>
          <w:tcPr>
            <w:tcW w:w="417" w:type="pct"/>
            <w:tcBorders>
              <w:left w:val="single" w:sz="18" w:space="0" w:color="auto"/>
              <w:bottom w:val="single" w:sz="18" w:space="0" w:color="auto"/>
            </w:tcBorders>
          </w:tcPr>
          <w:p w:rsidR="00C33C12" w:rsidRPr="00F93BAF" w:rsidRDefault="00C33C12" w:rsidP="00FB3A63">
            <w:pPr>
              <w:spacing w:line="240" w:lineRule="auto"/>
              <w:jc w:val="center"/>
              <w:rPr>
                <w:b/>
                <w:bCs/>
                <w:lang w:val="lt-LT"/>
              </w:rPr>
            </w:pPr>
            <w:r>
              <w:rPr>
                <w:lang w:val="lt-LT"/>
              </w:rPr>
              <w:t>Įmonė</w:t>
            </w:r>
          </w:p>
        </w:tc>
        <w:tc>
          <w:tcPr>
            <w:tcW w:w="532" w:type="pct"/>
            <w:tcBorders>
              <w:bottom w:val="single" w:sz="18" w:space="0" w:color="auto"/>
            </w:tcBorders>
          </w:tcPr>
          <w:p w:rsidR="00C33C12" w:rsidRPr="00F93BAF" w:rsidRDefault="00C33C12" w:rsidP="00FB3A63">
            <w:pPr>
              <w:spacing w:line="240" w:lineRule="auto"/>
              <w:jc w:val="center"/>
              <w:rPr>
                <w:b/>
                <w:bCs/>
                <w:lang w:val="lt-LT"/>
              </w:rPr>
            </w:pPr>
            <w:r>
              <w:rPr>
                <w:lang w:val="lt-LT"/>
              </w:rPr>
              <w:t>Sektorius</w:t>
            </w:r>
          </w:p>
        </w:tc>
        <w:tc>
          <w:tcPr>
            <w:tcW w:w="563" w:type="pct"/>
            <w:tcBorders>
              <w:bottom w:val="single" w:sz="18" w:space="0" w:color="auto"/>
              <w:right w:val="single" w:sz="18" w:space="0" w:color="auto"/>
            </w:tcBorders>
          </w:tcPr>
          <w:p w:rsidR="00C33C12" w:rsidRDefault="00C33C12" w:rsidP="00FB3A63">
            <w:pPr>
              <w:spacing w:line="240" w:lineRule="auto"/>
              <w:jc w:val="center"/>
              <w:rPr>
                <w:b/>
                <w:bCs/>
                <w:lang w:val="lt-LT"/>
              </w:rPr>
            </w:pPr>
            <w:r>
              <w:rPr>
                <w:lang w:val="lt-LT"/>
              </w:rPr>
              <w:t>Skirtumas</w:t>
            </w:r>
          </w:p>
        </w:tc>
        <w:tc>
          <w:tcPr>
            <w:tcW w:w="417" w:type="pct"/>
            <w:tcBorders>
              <w:left w:val="single" w:sz="18" w:space="0" w:color="auto"/>
              <w:bottom w:val="single" w:sz="18" w:space="0" w:color="auto"/>
            </w:tcBorders>
          </w:tcPr>
          <w:p w:rsidR="00C33C12" w:rsidRPr="00F93BAF" w:rsidRDefault="00C33C12" w:rsidP="00FB3A63">
            <w:pPr>
              <w:spacing w:line="240" w:lineRule="auto"/>
              <w:jc w:val="center"/>
              <w:rPr>
                <w:b/>
                <w:bCs/>
                <w:lang w:val="lt-LT"/>
              </w:rPr>
            </w:pPr>
            <w:r>
              <w:rPr>
                <w:lang w:val="lt-LT"/>
              </w:rPr>
              <w:t>Įmonė</w:t>
            </w:r>
          </w:p>
        </w:tc>
        <w:tc>
          <w:tcPr>
            <w:tcW w:w="532" w:type="pct"/>
            <w:tcBorders>
              <w:bottom w:val="single" w:sz="18" w:space="0" w:color="auto"/>
            </w:tcBorders>
          </w:tcPr>
          <w:p w:rsidR="00C33C12" w:rsidRPr="00F93BAF" w:rsidRDefault="00C33C12" w:rsidP="00FB3A63">
            <w:pPr>
              <w:spacing w:line="240" w:lineRule="auto"/>
              <w:jc w:val="center"/>
              <w:rPr>
                <w:b/>
                <w:bCs/>
                <w:lang w:val="lt-LT"/>
              </w:rPr>
            </w:pPr>
            <w:r>
              <w:rPr>
                <w:lang w:val="lt-LT"/>
              </w:rPr>
              <w:t>Sektorius</w:t>
            </w:r>
          </w:p>
        </w:tc>
        <w:tc>
          <w:tcPr>
            <w:tcW w:w="563" w:type="pct"/>
            <w:tcBorders>
              <w:bottom w:val="single" w:sz="18" w:space="0" w:color="auto"/>
              <w:right w:val="single" w:sz="18" w:space="0" w:color="auto"/>
            </w:tcBorders>
          </w:tcPr>
          <w:p w:rsidR="00C33C12" w:rsidRDefault="00C33C12" w:rsidP="00FB3A63">
            <w:pPr>
              <w:spacing w:line="240" w:lineRule="auto"/>
              <w:jc w:val="center"/>
              <w:rPr>
                <w:b/>
                <w:bCs/>
                <w:lang w:val="lt-LT"/>
              </w:rPr>
            </w:pPr>
            <w:r>
              <w:rPr>
                <w:lang w:val="lt-LT"/>
              </w:rPr>
              <w:t>Skirtumas</w:t>
            </w:r>
          </w:p>
        </w:tc>
        <w:tc>
          <w:tcPr>
            <w:tcW w:w="423" w:type="pct"/>
            <w:tcBorders>
              <w:left w:val="single" w:sz="18" w:space="0" w:color="auto"/>
              <w:bottom w:val="single" w:sz="18" w:space="0" w:color="auto"/>
            </w:tcBorders>
          </w:tcPr>
          <w:p w:rsidR="00C33C12" w:rsidRPr="00F93BAF" w:rsidRDefault="00C33C12" w:rsidP="00FB3A63">
            <w:pPr>
              <w:spacing w:line="240" w:lineRule="auto"/>
              <w:jc w:val="center"/>
              <w:rPr>
                <w:b/>
                <w:bCs/>
                <w:lang w:val="lt-LT"/>
              </w:rPr>
            </w:pPr>
            <w:r>
              <w:rPr>
                <w:lang w:val="lt-LT"/>
              </w:rPr>
              <w:t>Įmonė</w:t>
            </w:r>
          </w:p>
        </w:tc>
        <w:tc>
          <w:tcPr>
            <w:tcW w:w="532" w:type="pct"/>
            <w:tcBorders>
              <w:bottom w:val="single" w:sz="18" w:space="0" w:color="auto"/>
            </w:tcBorders>
          </w:tcPr>
          <w:p w:rsidR="00C33C12" w:rsidRPr="00F93BAF" w:rsidRDefault="00C33C12" w:rsidP="00FB3A63">
            <w:pPr>
              <w:spacing w:line="240" w:lineRule="auto"/>
              <w:jc w:val="center"/>
              <w:rPr>
                <w:b/>
                <w:bCs/>
                <w:lang w:val="lt-LT"/>
              </w:rPr>
            </w:pPr>
            <w:r>
              <w:rPr>
                <w:lang w:val="lt-LT"/>
              </w:rPr>
              <w:t>Sektorius</w:t>
            </w:r>
          </w:p>
        </w:tc>
        <w:tc>
          <w:tcPr>
            <w:tcW w:w="563" w:type="pct"/>
            <w:tcBorders>
              <w:bottom w:val="single" w:sz="18" w:space="0" w:color="auto"/>
              <w:right w:val="single" w:sz="18" w:space="0" w:color="auto"/>
            </w:tcBorders>
          </w:tcPr>
          <w:p w:rsidR="00C33C12" w:rsidRDefault="00C33C12" w:rsidP="00FB3A63">
            <w:pPr>
              <w:spacing w:line="240" w:lineRule="auto"/>
              <w:jc w:val="center"/>
              <w:rPr>
                <w:b/>
                <w:bCs/>
                <w:lang w:val="lt-LT"/>
              </w:rPr>
            </w:pPr>
            <w:r>
              <w:rPr>
                <w:lang w:val="lt-LT"/>
              </w:rPr>
              <w:t>Skirtumas</w:t>
            </w:r>
          </w:p>
        </w:tc>
      </w:tr>
      <w:tr w:rsidR="008B03D9" w:rsidRPr="00ED3D25" w:rsidTr="001F4EB1">
        <w:trPr>
          <w:jc w:val="center"/>
        </w:trPr>
        <w:tc>
          <w:tcPr>
            <w:tcW w:w="460" w:type="pct"/>
            <w:tcBorders>
              <w:right w:val="single" w:sz="18" w:space="0" w:color="auto"/>
            </w:tcBorders>
          </w:tcPr>
          <w:p w:rsidR="008B03D9" w:rsidRPr="00FB3A63" w:rsidRDefault="008B03D9" w:rsidP="00FB3A63">
            <w:pPr>
              <w:spacing w:line="240" w:lineRule="auto"/>
              <w:rPr>
                <w:b/>
                <w:bCs/>
                <w:lang w:val="lt-LT"/>
              </w:rPr>
            </w:pPr>
            <w:r w:rsidRPr="00FB3A63">
              <w:rPr>
                <w:b/>
                <w:bCs/>
                <w:lang w:val="lt-LT"/>
              </w:rPr>
              <w:t xml:space="preserve">2011 </w:t>
            </w:r>
          </w:p>
        </w:tc>
        <w:tc>
          <w:tcPr>
            <w:tcW w:w="417" w:type="pct"/>
            <w:tcBorders>
              <w:left w:val="single" w:sz="18" w:space="0" w:color="auto"/>
            </w:tcBorders>
            <w:vAlign w:val="center"/>
          </w:tcPr>
          <w:p w:rsidR="008B03D9" w:rsidRPr="00ED3D25" w:rsidRDefault="008B03D9" w:rsidP="00FB3A63">
            <w:pPr>
              <w:spacing w:line="240" w:lineRule="auto"/>
              <w:jc w:val="center"/>
              <w:rPr>
                <w:lang w:val="lt-LT"/>
              </w:rPr>
            </w:pPr>
            <w:r w:rsidRPr="00ED3D25">
              <w:rPr>
                <w:lang w:val="lt-LT"/>
              </w:rPr>
              <w:t>0,9446</w:t>
            </w:r>
          </w:p>
        </w:tc>
        <w:tc>
          <w:tcPr>
            <w:tcW w:w="532" w:type="pct"/>
            <w:vAlign w:val="center"/>
          </w:tcPr>
          <w:p w:rsidR="008B03D9" w:rsidRPr="0018696A" w:rsidRDefault="008B03D9" w:rsidP="00FB3A63">
            <w:pPr>
              <w:spacing w:line="240" w:lineRule="auto"/>
              <w:jc w:val="center"/>
              <w:rPr>
                <w:b/>
                <w:bCs/>
                <w:lang w:val="lt-LT"/>
              </w:rPr>
            </w:pPr>
            <w:r>
              <w:rPr>
                <w:lang w:val="lt-LT"/>
              </w:rPr>
              <w:t>1,56</w:t>
            </w:r>
          </w:p>
        </w:tc>
        <w:tc>
          <w:tcPr>
            <w:tcW w:w="563" w:type="pct"/>
            <w:tcBorders>
              <w:right w:val="single" w:sz="18" w:space="0" w:color="auto"/>
            </w:tcBorders>
            <w:vAlign w:val="bottom"/>
          </w:tcPr>
          <w:p w:rsidR="008B03D9" w:rsidRDefault="008B03D9" w:rsidP="00FB3A63">
            <w:pPr>
              <w:spacing w:line="240" w:lineRule="auto"/>
              <w:jc w:val="center"/>
              <w:rPr>
                <w:color w:val="000000"/>
              </w:rPr>
            </w:pPr>
            <w:r>
              <w:rPr>
                <w:color w:val="000000"/>
                <w:lang w:val="lt-LT"/>
              </w:rPr>
              <w:t>-0,6154</w:t>
            </w:r>
          </w:p>
        </w:tc>
        <w:tc>
          <w:tcPr>
            <w:tcW w:w="417" w:type="pct"/>
            <w:tcBorders>
              <w:left w:val="single" w:sz="18" w:space="0" w:color="auto"/>
            </w:tcBorders>
            <w:vAlign w:val="center"/>
          </w:tcPr>
          <w:p w:rsidR="008B03D9" w:rsidRPr="00ED3D25" w:rsidRDefault="008B03D9" w:rsidP="00FB3A63">
            <w:pPr>
              <w:spacing w:line="240" w:lineRule="auto"/>
              <w:jc w:val="center"/>
              <w:rPr>
                <w:lang w:val="lt-LT"/>
              </w:rPr>
            </w:pPr>
            <w:r>
              <w:rPr>
                <w:lang w:val="lt-LT"/>
              </w:rPr>
              <w:t>0,4595</w:t>
            </w:r>
          </w:p>
        </w:tc>
        <w:tc>
          <w:tcPr>
            <w:tcW w:w="532" w:type="pct"/>
            <w:vAlign w:val="center"/>
          </w:tcPr>
          <w:p w:rsidR="008B03D9" w:rsidRPr="0018696A" w:rsidRDefault="008B03D9" w:rsidP="00FB3A63">
            <w:pPr>
              <w:spacing w:line="240" w:lineRule="auto"/>
              <w:jc w:val="center"/>
              <w:rPr>
                <w:b/>
                <w:bCs/>
                <w:lang w:val="lt-LT"/>
              </w:rPr>
            </w:pPr>
            <w:r>
              <w:rPr>
                <w:lang w:val="lt-LT"/>
              </w:rPr>
              <w:t>0,56</w:t>
            </w:r>
          </w:p>
        </w:tc>
        <w:tc>
          <w:tcPr>
            <w:tcW w:w="563" w:type="pct"/>
            <w:tcBorders>
              <w:right w:val="single" w:sz="18" w:space="0" w:color="auto"/>
            </w:tcBorders>
            <w:vAlign w:val="bottom"/>
          </w:tcPr>
          <w:p w:rsidR="008B03D9" w:rsidRDefault="008B03D9" w:rsidP="00FB3A63">
            <w:pPr>
              <w:spacing w:line="240" w:lineRule="auto"/>
              <w:jc w:val="center"/>
              <w:rPr>
                <w:color w:val="000000"/>
              </w:rPr>
            </w:pPr>
            <w:r>
              <w:rPr>
                <w:color w:val="000000"/>
                <w:lang w:val="lt-LT"/>
              </w:rPr>
              <w:t>-0,1005</w:t>
            </w:r>
          </w:p>
        </w:tc>
        <w:tc>
          <w:tcPr>
            <w:tcW w:w="423" w:type="pct"/>
            <w:tcBorders>
              <w:left w:val="single" w:sz="18" w:space="0" w:color="auto"/>
            </w:tcBorders>
            <w:vAlign w:val="bottom"/>
          </w:tcPr>
          <w:p w:rsidR="008B03D9" w:rsidRPr="00FB3A63" w:rsidRDefault="008B03D9" w:rsidP="001F4EB1">
            <w:pPr>
              <w:spacing w:line="240" w:lineRule="auto"/>
              <w:jc w:val="center"/>
              <w:rPr>
                <w:color w:val="000000"/>
              </w:rPr>
            </w:pPr>
            <w:r w:rsidRPr="00FB3A63">
              <w:rPr>
                <w:color w:val="000000"/>
                <w:lang w:val="lt-LT"/>
              </w:rPr>
              <w:t>0,4519</w:t>
            </w:r>
          </w:p>
        </w:tc>
        <w:tc>
          <w:tcPr>
            <w:tcW w:w="532" w:type="pct"/>
            <w:vAlign w:val="bottom"/>
          </w:tcPr>
          <w:p w:rsidR="008B03D9" w:rsidRPr="00FB3A63" w:rsidRDefault="008B03D9" w:rsidP="001F4EB1">
            <w:pPr>
              <w:spacing w:line="240" w:lineRule="auto"/>
              <w:jc w:val="center"/>
              <w:rPr>
                <w:color w:val="000000"/>
              </w:rPr>
            </w:pPr>
            <w:r w:rsidRPr="00FB3A63">
              <w:rPr>
                <w:color w:val="000000"/>
                <w:lang w:val="lt-LT"/>
              </w:rPr>
              <w:t>1,5</w:t>
            </w:r>
          </w:p>
        </w:tc>
        <w:tc>
          <w:tcPr>
            <w:tcW w:w="563" w:type="pct"/>
            <w:tcBorders>
              <w:right w:val="single" w:sz="18" w:space="0" w:color="auto"/>
            </w:tcBorders>
            <w:vAlign w:val="bottom"/>
          </w:tcPr>
          <w:p w:rsidR="008B03D9" w:rsidRPr="00FB3A63" w:rsidRDefault="008B03D9" w:rsidP="001F4EB1">
            <w:pPr>
              <w:spacing w:line="240" w:lineRule="auto"/>
              <w:jc w:val="center"/>
              <w:rPr>
                <w:color w:val="000000"/>
              </w:rPr>
            </w:pPr>
            <w:r w:rsidRPr="00FB3A63">
              <w:rPr>
                <w:color w:val="000000"/>
                <w:lang w:val="lt-LT"/>
              </w:rPr>
              <w:t>-1,0481</w:t>
            </w:r>
          </w:p>
        </w:tc>
      </w:tr>
      <w:tr w:rsidR="008B03D9" w:rsidRPr="00ED3D25" w:rsidTr="001F4EB1">
        <w:trPr>
          <w:jc w:val="center"/>
        </w:trPr>
        <w:tc>
          <w:tcPr>
            <w:tcW w:w="460" w:type="pct"/>
            <w:tcBorders>
              <w:right w:val="single" w:sz="18" w:space="0" w:color="auto"/>
            </w:tcBorders>
          </w:tcPr>
          <w:p w:rsidR="008B03D9" w:rsidRPr="00FB3A63" w:rsidRDefault="008B03D9" w:rsidP="00FB3A63">
            <w:pPr>
              <w:spacing w:line="240" w:lineRule="auto"/>
              <w:rPr>
                <w:rFonts w:asciiTheme="majorBidi" w:hAnsiTheme="majorBidi" w:cstheme="majorBidi"/>
                <w:b/>
                <w:bCs/>
                <w:lang w:val="lt-LT"/>
              </w:rPr>
            </w:pPr>
            <w:r w:rsidRPr="00FB3A63">
              <w:rPr>
                <w:rFonts w:asciiTheme="majorBidi" w:hAnsiTheme="majorBidi" w:cstheme="majorBidi"/>
                <w:b/>
                <w:bCs/>
                <w:lang w:val="lt-LT"/>
              </w:rPr>
              <w:t xml:space="preserve">2012 </w:t>
            </w:r>
          </w:p>
        </w:tc>
        <w:tc>
          <w:tcPr>
            <w:tcW w:w="417" w:type="pct"/>
            <w:tcBorders>
              <w:left w:val="single" w:sz="18" w:space="0" w:color="auto"/>
            </w:tcBorders>
            <w:vAlign w:val="center"/>
          </w:tcPr>
          <w:p w:rsidR="008B03D9" w:rsidRPr="00ED3D25" w:rsidRDefault="008B03D9" w:rsidP="00FB3A63">
            <w:pPr>
              <w:spacing w:line="240" w:lineRule="auto"/>
              <w:jc w:val="center"/>
              <w:rPr>
                <w:lang w:val="lt-LT"/>
              </w:rPr>
            </w:pPr>
            <w:r w:rsidRPr="00ED3D25">
              <w:rPr>
                <w:lang w:val="lt-LT"/>
              </w:rPr>
              <w:t>1,3038</w:t>
            </w:r>
          </w:p>
        </w:tc>
        <w:tc>
          <w:tcPr>
            <w:tcW w:w="532" w:type="pct"/>
            <w:vAlign w:val="center"/>
          </w:tcPr>
          <w:p w:rsidR="008B03D9" w:rsidRPr="0018696A" w:rsidRDefault="008B03D9" w:rsidP="00FB3A63">
            <w:pPr>
              <w:spacing w:line="240" w:lineRule="auto"/>
              <w:jc w:val="center"/>
              <w:rPr>
                <w:rFonts w:asciiTheme="majorBidi" w:hAnsiTheme="majorBidi" w:cstheme="majorBidi"/>
                <w:lang w:val="lt-LT"/>
              </w:rPr>
            </w:pPr>
            <w:r>
              <w:rPr>
                <w:rFonts w:asciiTheme="majorBidi" w:hAnsiTheme="majorBidi" w:cstheme="majorBidi"/>
                <w:lang w:val="lt-LT"/>
              </w:rPr>
              <w:t>1,92</w:t>
            </w:r>
          </w:p>
        </w:tc>
        <w:tc>
          <w:tcPr>
            <w:tcW w:w="563" w:type="pct"/>
            <w:tcBorders>
              <w:right w:val="single" w:sz="18" w:space="0" w:color="auto"/>
            </w:tcBorders>
            <w:vAlign w:val="bottom"/>
          </w:tcPr>
          <w:p w:rsidR="008B03D9" w:rsidRDefault="008B03D9" w:rsidP="00FB3A63">
            <w:pPr>
              <w:spacing w:line="240" w:lineRule="auto"/>
              <w:jc w:val="center"/>
              <w:rPr>
                <w:color w:val="000000"/>
              </w:rPr>
            </w:pPr>
            <w:r>
              <w:rPr>
                <w:color w:val="000000"/>
                <w:lang w:val="lt-LT"/>
              </w:rPr>
              <w:t>-0,6162</w:t>
            </w:r>
          </w:p>
        </w:tc>
        <w:tc>
          <w:tcPr>
            <w:tcW w:w="417" w:type="pct"/>
            <w:tcBorders>
              <w:left w:val="single" w:sz="18" w:space="0" w:color="auto"/>
            </w:tcBorders>
            <w:vAlign w:val="center"/>
          </w:tcPr>
          <w:p w:rsidR="008B03D9" w:rsidRPr="00ED3D25" w:rsidRDefault="008B03D9" w:rsidP="00FB3A63">
            <w:pPr>
              <w:spacing w:line="240" w:lineRule="auto"/>
              <w:jc w:val="center"/>
              <w:rPr>
                <w:lang w:val="lt-LT"/>
              </w:rPr>
            </w:pPr>
            <w:r>
              <w:rPr>
                <w:lang w:val="lt-LT"/>
              </w:rPr>
              <w:t>0,3807</w:t>
            </w:r>
          </w:p>
        </w:tc>
        <w:tc>
          <w:tcPr>
            <w:tcW w:w="532" w:type="pct"/>
            <w:vAlign w:val="center"/>
          </w:tcPr>
          <w:p w:rsidR="008B03D9" w:rsidRPr="0018696A" w:rsidRDefault="008B03D9" w:rsidP="00FB3A63">
            <w:pPr>
              <w:spacing w:line="240" w:lineRule="auto"/>
              <w:jc w:val="center"/>
              <w:rPr>
                <w:rFonts w:asciiTheme="majorBidi" w:hAnsiTheme="majorBidi" w:cstheme="majorBidi"/>
                <w:lang w:val="lt-LT"/>
              </w:rPr>
            </w:pPr>
            <w:r>
              <w:rPr>
                <w:rFonts w:asciiTheme="majorBidi" w:hAnsiTheme="majorBidi" w:cstheme="majorBidi"/>
                <w:lang w:val="lt-LT"/>
              </w:rPr>
              <w:t>0,53</w:t>
            </w:r>
          </w:p>
        </w:tc>
        <w:tc>
          <w:tcPr>
            <w:tcW w:w="563" w:type="pct"/>
            <w:tcBorders>
              <w:right w:val="single" w:sz="18" w:space="0" w:color="auto"/>
            </w:tcBorders>
            <w:vAlign w:val="bottom"/>
          </w:tcPr>
          <w:p w:rsidR="008B03D9" w:rsidRDefault="008B03D9" w:rsidP="00FB3A63">
            <w:pPr>
              <w:spacing w:line="240" w:lineRule="auto"/>
              <w:jc w:val="center"/>
              <w:rPr>
                <w:color w:val="000000"/>
              </w:rPr>
            </w:pPr>
            <w:r>
              <w:rPr>
                <w:color w:val="000000"/>
                <w:lang w:val="lt-LT"/>
              </w:rPr>
              <w:t>-0,1493</w:t>
            </w:r>
          </w:p>
        </w:tc>
        <w:tc>
          <w:tcPr>
            <w:tcW w:w="423" w:type="pct"/>
            <w:tcBorders>
              <w:left w:val="single" w:sz="18" w:space="0" w:color="auto"/>
            </w:tcBorders>
            <w:vAlign w:val="bottom"/>
          </w:tcPr>
          <w:p w:rsidR="008B03D9" w:rsidRPr="00FB3A63" w:rsidRDefault="008B03D9" w:rsidP="001F4EB1">
            <w:pPr>
              <w:spacing w:line="240" w:lineRule="auto"/>
              <w:jc w:val="center"/>
              <w:rPr>
                <w:color w:val="000000"/>
              </w:rPr>
            </w:pPr>
            <w:r w:rsidRPr="00FB3A63">
              <w:rPr>
                <w:color w:val="000000"/>
                <w:lang w:val="lt-LT"/>
              </w:rPr>
              <w:t>0,5234</w:t>
            </w:r>
          </w:p>
        </w:tc>
        <w:tc>
          <w:tcPr>
            <w:tcW w:w="532" w:type="pct"/>
            <w:vAlign w:val="bottom"/>
          </w:tcPr>
          <w:p w:rsidR="008B03D9" w:rsidRPr="00FB3A63" w:rsidRDefault="008B03D9" w:rsidP="001F4EB1">
            <w:pPr>
              <w:spacing w:line="240" w:lineRule="auto"/>
              <w:jc w:val="center"/>
              <w:rPr>
                <w:color w:val="000000"/>
              </w:rPr>
            </w:pPr>
            <w:r w:rsidRPr="00FB3A63">
              <w:rPr>
                <w:color w:val="000000"/>
                <w:lang w:val="lt-LT"/>
              </w:rPr>
              <w:t>2,22</w:t>
            </w:r>
          </w:p>
        </w:tc>
        <w:tc>
          <w:tcPr>
            <w:tcW w:w="563" w:type="pct"/>
            <w:tcBorders>
              <w:right w:val="single" w:sz="18" w:space="0" w:color="auto"/>
            </w:tcBorders>
            <w:vAlign w:val="bottom"/>
          </w:tcPr>
          <w:p w:rsidR="008B03D9" w:rsidRPr="00FB3A63" w:rsidRDefault="008B03D9" w:rsidP="001F4EB1">
            <w:pPr>
              <w:spacing w:line="240" w:lineRule="auto"/>
              <w:jc w:val="center"/>
              <w:rPr>
                <w:color w:val="000000"/>
              </w:rPr>
            </w:pPr>
            <w:r w:rsidRPr="00FB3A63">
              <w:rPr>
                <w:color w:val="000000"/>
                <w:lang w:val="lt-LT"/>
              </w:rPr>
              <w:t>-1,6966</w:t>
            </w:r>
          </w:p>
        </w:tc>
      </w:tr>
      <w:tr w:rsidR="008B03D9" w:rsidRPr="00ED3D25" w:rsidTr="001F4EB1">
        <w:trPr>
          <w:jc w:val="center"/>
        </w:trPr>
        <w:tc>
          <w:tcPr>
            <w:tcW w:w="460" w:type="pct"/>
            <w:tcBorders>
              <w:right w:val="single" w:sz="18" w:space="0" w:color="auto"/>
            </w:tcBorders>
          </w:tcPr>
          <w:p w:rsidR="008B03D9" w:rsidRPr="00FB3A63" w:rsidRDefault="008B03D9" w:rsidP="00FB3A63">
            <w:pPr>
              <w:spacing w:line="240" w:lineRule="auto"/>
              <w:rPr>
                <w:b/>
                <w:bCs/>
                <w:lang w:val="lt-LT"/>
              </w:rPr>
            </w:pPr>
            <w:r w:rsidRPr="00FB3A63">
              <w:rPr>
                <w:b/>
                <w:bCs/>
                <w:lang w:val="lt-LT"/>
              </w:rPr>
              <w:t xml:space="preserve">2013 </w:t>
            </w:r>
          </w:p>
        </w:tc>
        <w:tc>
          <w:tcPr>
            <w:tcW w:w="417" w:type="pct"/>
            <w:tcBorders>
              <w:left w:val="single" w:sz="18" w:space="0" w:color="auto"/>
              <w:bottom w:val="single" w:sz="4" w:space="0" w:color="auto"/>
            </w:tcBorders>
            <w:vAlign w:val="center"/>
          </w:tcPr>
          <w:p w:rsidR="008B03D9" w:rsidRPr="00ED3D25" w:rsidRDefault="008B03D9" w:rsidP="00FB3A63">
            <w:pPr>
              <w:spacing w:line="240" w:lineRule="auto"/>
              <w:jc w:val="center"/>
              <w:rPr>
                <w:lang w:val="lt-LT"/>
              </w:rPr>
            </w:pPr>
            <w:r w:rsidRPr="00ED3D25">
              <w:rPr>
                <w:lang w:val="lt-LT"/>
              </w:rPr>
              <w:t>1,3053</w:t>
            </w:r>
          </w:p>
        </w:tc>
        <w:tc>
          <w:tcPr>
            <w:tcW w:w="532" w:type="pct"/>
            <w:tcBorders>
              <w:bottom w:val="single" w:sz="4" w:space="0" w:color="auto"/>
            </w:tcBorders>
            <w:vAlign w:val="center"/>
          </w:tcPr>
          <w:p w:rsidR="008B03D9" w:rsidRPr="0018696A" w:rsidRDefault="008B03D9" w:rsidP="00FB3A63">
            <w:pPr>
              <w:spacing w:line="240" w:lineRule="auto"/>
              <w:jc w:val="center"/>
              <w:rPr>
                <w:b/>
                <w:bCs/>
                <w:lang w:val="lt-LT"/>
              </w:rPr>
            </w:pPr>
            <w:r>
              <w:rPr>
                <w:lang w:val="lt-LT"/>
              </w:rPr>
              <w:t>1,57</w:t>
            </w:r>
          </w:p>
        </w:tc>
        <w:tc>
          <w:tcPr>
            <w:tcW w:w="563" w:type="pct"/>
            <w:tcBorders>
              <w:bottom w:val="single" w:sz="4" w:space="0" w:color="auto"/>
              <w:right w:val="single" w:sz="18" w:space="0" w:color="auto"/>
            </w:tcBorders>
            <w:vAlign w:val="bottom"/>
          </w:tcPr>
          <w:p w:rsidR="008B03D9" w:rsidRDefault="008B03D9" w:rsidP="00FB3A63">
            <w:pPr>
              <w:spacing w:line="240" w:lineRule="auto"/>
              <w:jc w:val="center"/>
              <w:rPr>
                <w:color w:val="000000"/>
              </w:rPr>
            </w:pPr>
            <w:r>
              <w:rPr>
                <w:color w:val="000000"/>
                <w:lang w:val="lt-LT"/>
              </w:rPr>
              <w:t>-0,2647</w:t>
            </w:r>
          </w:p>
        </w:tc>
        <w:tc>
          <w:tcPr>
            <w:tcW w:w="417" w:type="pct"/>
            <w:tcBorders>
              <w:left w:val="single" w:sz="18" w:space="0" w:color="auto"/>
            </w:tcBorders>
            <w:vAlign w:val="center"/>
          </w:tcPr>
          <w:p w:rsidR="008B03D9" w:rsidRPr="00ED3D25" w:rsidRDefault="008B03D9" w:rsidP="00FB3A63">
            <w:pPr>
              <w:spacing w:line="240" w:lineRule="auto"/>
              <w:jc w:val="center"/>
              <w:rPr>
                <w:lang w:val="lt-LT"/>
              </w:rPr>
            </w:pPr>
            <w:r>
              <w:rPr>
                <w:lang w:val="lt-LT"/>
              </w:rPr>
              <w:t>0,3566</w:t>
            </w:r>
          </w:p>
        </w:tc>
        <w:tc>
          <w:tcPr>
            <w:tcW w:w="532" w:type="pct"/>
            <w:vAlign w:val="center"/>
          </w:tcPr>
          <w:p w:rsidR="008B03D9" w:rsidRPr="0018696A" w:rsidRDefault="008B03D9" w:rsidP="00FB3A63">
            <w:pPr>
              <w:spacing w:line="240" w:lineRule="auto"/>
              <w:jc w:val="center"/>
              <w:rPr>
                <w:b/>
                <w:bCs/>
                <w:lang w:val="lt-LT"/>
              </w:rPr>
            </w:pPr>
            <w:r>
              <w:rPr>
                <w:lang w:val="lt-LT"/>
              </w:rPr>
              <w:t>0,53</w:t>
            </w:r>
          </w:p>
        </w:tc>
        <w:tc>
          <w:tcPr>
            <w:tcW w:w="563" w:type="pct"/>
            <w:tcBorders>
              <w:right w:val="single" w:sz="18" w:space="0" w:color="auto"/>
            </w:tcBorders>
            <w:vAlign w:val="bottom"/>
          </w:tcPr>
          <w:p w:rsidR="008B03D9" w:rsidRDefault="008B03D9" w:rsidP="00FB3A63">
            <w:pPr>
              <w:spacing w:line="240" w:lineRule="auto"/>
              <w:jc w:val="center"/>
              <w:rPr>
                <w:color w:val="000000"/>
              </w:rPr>
            </w:pPr>
            <w:r>
              <w:rPr>
                <w:color w:val="000000"/>
                <w:lang w:val="lt-LT"/>
              </w:rPr>
              <w:t>-0,1734</w:t>
            </w:r>
          </w:p>
        </w:tc>
        <w:tc>
          <w:tcPr>
            <w:tcW w:w="423" w:type="pct"/>
            <w:tcBorders>
              <w:left w:val="single" w:sz="18" w:space="0" w:color="auto"/>
            </w:tcBorders>
            <w:vAlign w:val="bottom"/>
          </w:tcPr>
          <w:p w:rsidR="008B03D9" w:rsidRPr="00FB3A63" w:rsidRDefault="008B03D9" w:rsidP="001F4EB1">
            <w:pPr>
              <w:spacing w:line="240" w:lineRule="auto"/>
              <w:jc w:val="center"/>
              <w:rPr>
                <w:color w:val="000000"/>
              </w:rPr>
            </w:pPr>
            <w:r w:rsidRPr="00FB3A63">
              <w:rPr>
                <w:color w:val="000000"/>
                <w:lang w:val="lt-LT"/>
              </w:rPr>
              <w:t>0,4831</w:t>
            </w:r>
          </w:p>
        </w:tc>
        <w:tc>
          <w:tcPr>
            <w:tcW w:w="532" w:type="pct"/>
            <w:vAlign w:val="bottom"/>
          </w:tcPr>
          <w:p w:rsidR="008B03D9" w:rsidRPr="00FB3A63" w:rsidRDefault="008B03D9" w:rsidP="001F4EB1">
            <w:pPr>
              <w:spacing w:line="240" w:lineRule="auto"/>
              <w:jc w:val="center"/>
              <w:rPr>
                <w:color w:val="000000"/>
              </w:rPr>
            </w:pPr>
            <w:r w:rsidRPr="00FB3A63">
              <w:rPr>
                <w:color w:val="000000"/>
                <w:lang w:val="lt-LT"/>
              </w:rPr>
              <w:t>1,75</w:t>
            </w:r>
          </w:p>
        </w:tc>
        <w:tc>
          <w:tcPr>
            <w:tcW w:w="563" w:type="pct"/>
            <w:tcBorders>
              <w:right w:val="single" w:sz="18" w:space="0" w:color="auto"/>
            </w:tcBorders>
            <w:vAlign w:val="bottom"/>
          </w:tcPr>
          <w:p w:rsidR="008B03D9" w:rsidRPr="00FB3A63" w:rsidRDefault="008B03D9" w:rsidP="001F4EB1">
            <w:pPr>
              <w:spacing w:line="240" w:lineRule="auto"/>
              <w:jc w:val="center"/>
              <w:rPr>
                <w:color w:val="000000"/>
              </w:rPr>
            </w:pPr>
            <w:r w:rsidRPr="00FB3A63">
              <w:rPr>
                <w:color w:val="000000"/>
                <w:lang w:val="lt-LT"/>
              </w:rPr>
              <w:t>-1,2669</w:t>
            </w:r>
          </w:p>
        </w:tc>
      </w:tr>
    </w:tbl>
    <w:p w:rsidR="00B3426A" w:rsidRDefault="00B3426A" w:rsidP="00C2492C">
      <w:pPr>
        <w:spacing w:after="0" w:line="240" w:lineRule="auto"/>
        <w:rPr>
          <w:sz w:val="20"/>
          <w:szCs w:val="20"/>
          <w:lang w:val="lt-LT"/>
        </w:rPr>
      </w:pPr>
      <w:r w:rsidRPr="00ED3D25">
        <w:rPr>
          <w:sz w:val="20"/>
          <w:szCs w:val="20"/>
          <w:lang w:val="lt-LT"/>
        </w:rPr>
        <w:t xml:space="preserve">Pastaba: lentelė sudaryta autorės, remiantis </w:t>
      </w:r>
      <w:r>
        <w:rPr>
          <w:sz w:val="20"/>
          <w:szCs w:val="20"/>
          <w:lang w:val="lt-LT"/>
        </w:rPr>
        <w:t>Lietuvos statistikos departamento</w:t>
      </w:r>
      <w:r w:rsidRPr="00ED3D25">
        <w:rPr>
          <w:sz w:val="20"/>
          <w:szCs w:val="20"/>
          <w:lang w:val="lt-LT"/>
        </w:rPr>
        <w:t xml:space="preserve"> duomenimis</w:t>
      </w:r>
      <w:r w:rsidR="00C2492C">
        <w:rPr>
          <w:sz w:val="20"/>
          <w:szCs w:val="20"/>
          <w:lang w:val="lt-LT"/>
        </w:rPr>
        <w:t xml:space="preserve"> ir įmonės A finansiniais duomenimis</w:t>
      </w:r>
      <w:r w:rsidRPr="00ED3D25">
        <w:rPr>
          <w:sz w:val="20"/>
          <w:szCs w:val="20"/>
          <w:lang w:val="lt-LT"/>
        </w:rPr>
        <w:t>.</w:t>
      </w:r>
    </w:p>
    <w:p w:rsidR="00C2492C" w:rsidRPr="00C2492C" w:rsidRDefault="00C2492C" w:rsidP="00C2492C">
      <w:pPr>
        <w:spacing w:after="0" w:line="240" w:lineRule="auto"/>
        <w:rPr>
          <w:sz w:val="14"/>
          <w:szCs w:val="14"/>
          <w:lang w:val="lt-LT"/>
        </w:rPr>
      </w:pPr>
    </w:p>
    <w:p w:rsidR="003A5AEE" w:rsidRDefault="006D779D" w:rsidP="008B03D9">
      <w:pPr>
        <w:spacing w:after="0"/>
        <w:ind w:firstLine="851"/>
        <w:rPr>
          <w:szCs w:val="24"/>
          <w:lang w:val="lt-LT"/>
        </w:rPr>
      </w:pPr>
      <w:r>
        <w:rPr>
          <w:szCs w:val="24"/>
          <w:lang w:val="lt-LT"/>
        </w:rPr>
        <w:t>Apžvelgiant įmonės A ir pramoninių mašinų bei įrangos įreng</w:t>
      </w:r>
      <w:r w:rsidR="00746E75">
        <w:rPr>
          <w:szCs w:val="24"/>
          <w:lang w:val="lt-LT"/>
        </w:rPr>
        <w:t>imo sektoriaus rodiklius (žr. 22</w:t>
      </w:r>
      <w:r>
        <w:rPr>
          <w:szCs w:val="24"/>
          <w:lang w:val="lt-LT"/>
        </w:rPr>
        <w:t xml:space="preserve"> lentelę) matoma, kad sektoriaus einamojo likvidumo rodiklis yra didesnis</w:t>
      </w:r>
      <w:r w:rsidR="00B41FAF">
        <w:rPr>
          <w:szCs w:val="24"/>
          <w:lang w:val="lt-LT"/>
        </w:rPr>
        <w:t xml:space="preserve"> nei įmonės A</w:t>
      </w:r>
      <w:r>
        <w:rPr>
          <w:szCs w:val="24"/>
          <w:lang w:val="lt-LT"/>
        </w:rPr>
        <w:t xml:space="preserve"> ir 2011-2013 m. laikotarpiu fiksuojamas neigiamas skirtuma</w:t>
      </w:r>
      <w:r w:rsidR="00B41FAF">
        <w:rPr>
          <w:szCs w:val="24"/>
          <w:lang w:val="lt-LT"/>
        </w:rPr>
        <w:t>s.</w:t>
      </w:r>
      <w:r>
        <w:rPr>
          <w:szCs w:val="24"/>
          <w:lang w:val="lt-LT"/>
        </w:rPr>
        <w:t xml:space="preserve"> </w:t>
      </w:r>
      <w:r w:rsidR="00B41FAF">
        <w:rPr>
          <w:szCs w:val="24"/>
          <w:lang w:val="lt-LT"/>
        </w:rPr>
        <w:t>Ta</w:t>
      </w:r>
      <w:r>
        <w:rPr>
          <w:szCs w:val="24"/>
          <w:lang w:val="lt-LT"/>
        </w:rPr>
        <w:t>čiau</w:t>
      </w:r>
      <w:r w:rsidR="00B41FAF">
        <w:rPr>
          <w:szCs w:val="24"/>
          <w:lang w:val="lt-LT"/>
        </w:rPr>
        <w:t xml:space="preserve"> einamasis likvidumas tiek įmonės, </w:t>
      </w:r>
      <w:r w:rsidR="00B41FAF">
        <w:rPr>
          <w:szCs w:val="24"/>
          <w:lang w:val="lt-LT"/>
        </w:rPr>
        <w:lastRenderedPageBreak/>
        <w:t xml:space="preserve">tiek sektoriaus yra labai geras, taip pat 2013 m. </w:t>
      </w:r>
      <w:r w:rsidR="00AA1B26">
        <w:rPr>
          <w:szCs w:val="24"/>
          <w:lang w:val="lt-LT"/>
        </w:rPr>
        <w:t xml:space="preserve">pastebimas tarp jų </w:t>
      </w:r>
      <w:r w:rsidR="00B41FAF">
        <w:rPr>
          <w:szCs w:val="24"/>
          <w:lang w:val="lt-LT"/>
        </w:rPr>
        <w:t xml:space="preserve">mažėjantis skirtumas. Sektoriaus įsiskolinimų koeficiento reikšmės visu laiku aukštesnės, tad </w:t>
      </w:r>
      <w:r w:rsidR="003A5AEE">
        <w:rPr>
          <w:szCs w:val="24"/>
          <w:lang w:val="lt-LT"/>
        </w:rPr>
        <w:t xml:space="preserve">tyrime dalyvaujanti įmonė A geriau valdo savo įsiskolinimus. </w:t>
      </w:r>
      <w:r w:rsidR="008B03D9">
        <w:rPr>
          <w:lang w:val="lt-LT"/>
        </w:rPr>
        <w:t>Didžiausias skirtumas užfiksuotas turto apyvartumo skaičiavime. 2013 m. sektoriaus turto apyvartumas siekė 1,75, kai tuo metu įmonės A tik 0,48.  Tad lyginant su sektoriaus duomenimis galima teigti, kad įmonės turtas tikrai valdomas neefektyviai, dėl investicinės veiklos jis auga daug sparčiau, nei pardavimo pajamos.</w:t>
      </w:r>
    </w:p>
    <w:p w:rsidR="00B41FAF" w:rsidRPr="00B41FAF" w:rsidRDefault="00746E75" w:rsidP="004B21BF">
      <w:pPr>
        <w:spacing w:line="276" w:lineRule="auto"/>
        <w:jc w:val="right"/>
        <w:rPr>
          <w:b/>
          <w:bCs/>
          <w:lang w:val="lt-LT"/>
        </w:rPr>
      </w:pPr>
      <w:r>
        <w:rPr>
          <w:b/>
          <w:bCs/>
          <w:lang w:val="lt-LT"/>
        </w:rPr>
        <w:t>23</w:t>
      </w:r>
      <w:r w:rsidR="00B41FAF" w:rsidRPr="00ED3D25">
        <w:rPr>
          <w:b/>
          <w:bCs/>
          <w:lang w:val="lt-LT"/>
        </w:rPr>
        <w:t xml:space="preserve"> lentelė</w:t>
      </w:r>
    </w:p>
    <w:p w:rsidR="006D779D" w:rsidRDefault="008B03D9" w:rsidP="00633652">
      <w:pPr>
        <w:spacing w:after="0" w:line="240" w:lineRule="auto"/>
        <w:jc w:val="center"/>
        <w:rPr>
          <w:b/>
          <w:bCs/>
          <w:sz w:val="22"/>
          <w:szCs w:val="20"/>
          <w:lang w:val="lt-LT"/>
        </w:rPr>
      </w:pPr>
      <w:r>
        <w:rPr>
          <w:b/>
          <w:bCs/>
          <w:sz w:val="22"/>
          <w:szCs w:val="20"/>
          <w:lang w:val="lt-LT"/>
        </w:rPr>
        <w:t>Į</w:t>
      </w:r>
      <w:r w:rsidRPr="00ED3D25">
        <w:rPr>
          <w:b/>
          <w:bCs/>
          <w:sz w:val="22"/>
          <w:szCs w:val="20"/>
          <w:lang w:val="lt-LT"/>
        </w:rPr>
        <w:t>monė</w:t>
      </w:r>
      <w:r>
        <w:rPr>
          <w:b/>
          <w:bCs/>
          <w:sz w:val="22"/>
          <w:szCs w:val="20"/>
          <w:lang w:val="lt-LT"/>
        </w:rPr>
        <w:t>s</w:t>
      </w:r>
      <w:r w:rsidRPr="00ED3D25">
        <w:rPr>
          <w:b/>
          <w:bCs/>
          <w:sz w:val="22"/>
          <w:szCs w:val="20"/>
          <w:lang w:val="lt-LT"/>
        </w:rPr>
        <w:t xml:space="preserve"> A</w:t>
      </w:r>
      <w:r w:rsidR="00633652">
        <w:rPr>
          <w:b/>
          <w:bCs/>
          <w:sz w:val="22"/>
          <w:szCs w:val="20"/>
          <w:lang w:val="lt-LT"/>
        </w:rPr>
        <w:t xml:space="preserve"> pelningumo rodiklių palyginimas su</w:t>
      </w:r>
      <w:r>
        <w:rPr>
          <w:b/>
          <w:bCs/>
          <w:sz w:val="22"/>
          <w:szCs w:val="20"/>
          <w:lang w:val="lt-LT"/>
        </w:rPr>
        <w:t xml:space="preserve"> pramoninių mašinų ir įrangos įrengimo sektoriaus</w:t>
      </w:r>
      <w:r w:rsidRPr="00ED3D25">
        <w:rPr>
          <w:b/>
          <w:bCs/>
          <w:sz w:val="22"/>
          <w:szCs w:val="20"/>
          <w:lang w:val="lt-LT"/>
        </w:rPr>
        <w:t xml:space="preserve"> </w:t>
      </w:r>
      <w:r>
        <w:rPr>
          <w:b/>
          <w:bCs/>
          <w:sz w:val="22"/>
          <w:szCs w:val="20"/>
          <w:lang w:val="lt-LT"/>
        </w:rPr>
        <w:t>pelningumo rodikli</w:t>
      </w:r>
      <w:r w:rsidR="00633652">
        <w:rPr>
          <w:b/>
          <w:bCs/>
          <w:sz w:val="22"/>
          <w:szCs w:val="20"/>
          <w:lang w:val="lt-LT"/>
        </w:rPr>
        <w:t>ais</w:t>
      </w:r>
    </w:p>
    <w:p w:rsidR="00633652" w:rsidRPr="00633652" w:rsidRDefault="00633652" w:rsidP="00633652">
      <w:pPr>
        <w:spacing w:after="0" w:line="240" w:lineRule="auto"/>
        <w:jc w:val="center"/>
        <w:rPr>
          <w:sz w:val="20"/>
          <w:szCs w:val="18"/>
          <w:lang w:val="lt-LT"/>
        </w:rPr>
      </w:pPr>
    </w:p>
    <w:tbl>
      <w:tblPr>
        <w:tblStyle w:val="TableGrid"/>
        <w:tblW w:w="5000" w:type="pct"/>
        <w:jc w:val="center"/>
        <w:tblLook w:val="04A0" w:firstRow="1" w:lastRow="0" w:firstColumn="1" w:lastColumn="0" w:noHBand="0" w:noVBand="1"/>
      </w:tblPr>
      <w:tblGrid>
        <w:gridCol w:w="777"/>
        <w:gridCol w:w="834"/>
        <w:gridCol w:w="1065"/>
        <w:gridCol w:w="1127"/>
        <w:gridCol w:w="834"/>
        <w:gridCol w:w="1065"/>
        <w:gridCol w:w="1127"/>
        <w:gridCol w:w="834"/>
        <w:gridCol w:w="1065"/>
        <w:gridCol w:w="1127"/>
      </w:tblGrid>
      <w:tr w:rsidR="00C33C12" w:rsidRPr="00ED3D25" w:rsidTr="00C33C12">
        <w:trPr>
          <w:jc w:val="center"/>
        </w:trPr>
        <w:tc>
          <w:tcPr>
            <w:tcW w:w="464" w:type="pct"/>
            <w:vMerge w:val="restart"/>
            <w:tcBorders>
              <w:right w:val="single" w:sz="18" w:space="0" w:color="auto"/>
              <w:tl2br w:val="single" w:sz="4" w:space="0" w:color="auto"/>
            </w:tcBorders>
            <w:vAlign w:val="center"/>
          </w:tcPr>
          <w:p w:rsidR="00C33C12" w:rsidRPr="00FB3A63" w:rsidRDefault="00C33C12" w:rsidP="00FB3A63">
            <w:pPr>
              <w:spacing w:line="240" w:lineRule="auto"/>
              <w:jc w:val="right"/>
              <w:rPr>
                <w:b/>
                <w:bCs/>
                <w:lang w:val="lt-LT"/>
              </w:rPr>
            </w:pPr>
            <w:r w:rsidRPr="00FB3A63">
              <w:rPr>
                <w:b/>
                <w:bCs/>
                <w:lang w:val="lt-LT"/>
              </w:rPr>
              <w:t>Rod.</w:t>
            </w:r>
          </w:p>
          <w:p w:rsidR="00C33C12" w:rsidRPr="00FB3A63" w:rsidRDefault="00C33C12" w:rsidP="00FB3A63">
            <w:pPr>
              <w:spacing w:line="240" w:lineRule="auto"/>
              <w:rPr>
                <w:b/>
                <w:bCs/>
                <w:lang w:val="lt-LT"/>
              </w:rPr>
            </w:pPr>
            <w:r w:rsidRPr="00FB3A63">
              <w:rPr>
                <w:b/>
                <w:bCs/>
                <w:lang w:val="lt-LT"/>
              </w:rPr>
              <w:t>Metai</w:t>
            </w:r>
          </w:p>
        </w:tc>
        <w:tc>
          <w:tcPr>
            <w:tcW w:w="1512" w:type="pct"/>
            <w:gridSpan w:val="3"/>
            <w:tcBorders>
              <w:left w:val="single" w:sz="18" w:space="0" w:color="auto"/>
              <w:bottom w:val="single" w:sz="4" w:space="0" w:color="auto"/>
              <w:right w:val="single" w:sz="18" w:space="0" w:color="auto"/>
            </w:tcBorders>
            <w:vAlign w:val="center"/>
          </w:tcPr>
          <w:p w:rsidR="00C33C12" w:rsidRPr="00FB3A63" w:rsidRDefault="00C33C12" w:rsidP="00FB3A63">
            <w:pPr>
              <w:spacing w:line="240" w:lineRule="auto"/>
              <w:jc w:val="center"/>
              <w:rPr>
                <w:rFonts w:asciiTheme="majorBidi" w:hAnsiTheme="majorBidi" w:cstheme="majorBidi"/>
                <w:b/>
                <w:bCs/>
                <w:lang w:val="lt-LT"/>
              </w:rPr>
            </w:pPr>
            <w:r w:rsidRPr="00FB3A63">
              <w:rPr>
                <w:rFonts w:asciiTheme="majorBidi" w:hAnsiTheme="majorBidi" w:cstheme="majorBidi"/>
                <w:b/>
                <w:bCs/>
                <w:lang w:val="lt-LT"/>
              </w:rPr>
              <w:t>ROA</w:t>
            </w:r>
          </w:p>
        </w:tc>
        <w:tc>
          <w:tcPr>
            <w:tcW w:w="1512" w:type="pct"/>
            <w:gridSpan w:val="3"/>
            <w:tcBorders>
              <w:left w:val="single" w:sz="18" w:space="0" w:color="auto"/>
              <w:bottom w:val="single" w:sz="4" w:space="0" w:color="auto"/>
              <w:right w:val="single" w:sz="18" w:space="0" w:color="auto"/>
            </w:tcBorders>
            <w:vAlign w:val="center"/>
          </w:tcPr>
          <w:p w:rsidR="00C33C12" w:rsidRPr="00FB3A63" w:rsidRDefault="00C33C12" w:rsidP="00FB3A63">
            <w:pPr>
              <w:spacing w:line="240" w:lineRule="auto"/>
              <w:jc w:val="center"/>
              <w:rPr>
                <w:rFonts w:asciiTheme="majorBidi" w:hAnsiTheme="majorBidi" w:cstheme="majorBidi"/>
                <w:b/>
                <w:bCs/>
                <w:lang w:val="lt-LT"/>
              </w:rPr>
            </w:pPr>
            <w:r w:rsidRPr="00FB3A63">
              <w:rPr>
                <w:rFonts w:asciiTheme="majorBidi" w:hAnsiTheme="majorBidi" w:cstheme="majorBidi"/>
                <w:b/>
                <w:bCs/>
                <w:lang w:val="lt-LT"/>
              </w:rPr>
              <w:t>ROE</w:t>
            </w:r>
          </w:p>
        </w:tc>
        <w:tc>
          <w:tcPr>
            <w:tcW w:w="1512" w:type="pct"/>
            <w:gridSpan w:val="3"/>
            <w:tcBorders>
              <w:left w:val="single" w:sz="18" w:space="0" w:color="auto"/>
              <w:bottom w:val="single" w:sz="4" w:space="0" w:color="auto"/>
              <w:right w:val="single" w:sz="18" w:space="0" w:color="auto"/>
            </w:tcBorders>
            <w:vAlign w:val="center"/>
          </w:tcPr>
          <w:p w:rsidR="00C33C12" w:rsidRPr="00FB3A63" w:rsidRDefault="008B03D9" w:rsidP="008B03D9">
            <w:pPr>
              <w:spacing w:line="240" w:lineRule="auto"/>
              <w:jc w:val="center"/>
              <w:rPr>
                <w:rFonts w:asciiTheme="majorBidi" w:hAnsiTheme="majorBidi" w:cstheme="majorBidi"/>
                <w:b/>
                <w:bCs/>
                <w:lang w:val="lt-LT"/>
              </w:rPr>
            </w:pPr>
            <w:r w:rsidRPr="00FB3A63">
              <w:rPr>
                <w:rFonts w:asciiTheme="majorBidi" w:hAnsiTheme="majorBidi" w:cstheme="majorBidi"/>
                <w:b/>
                <w:bCs/>
                <w:lang w:val="lt-LT"/>
              </w:rPr>
              <w:t xml:space="preserve">Grynasis pelningumas </w:t>
            </w:r>
          </w:p>
        </w:tc>
      </w:tr>
      <w:tr w:rsidR="00C33C12" w:rsidRPr="00F93BAF" w:rsidTr="00D04433">
        <w:trPr>
          <w:jc w:val="center"/>
        </w:trPr>
        <w:tc>
          <w:tcPr>
            <w:tcW w:w="464" w:type="pct"/>
            <w:vMerge/>
            <w:tcBorders>
              <w:right w:val="single" w:sz="18" w:space="0" w:color="auto"/>
              <w:tl2br w:val="nil"/>
            </w:tcBorders>
            <w:vAlign w:val="bottom"/>
          </w:tcPr>
          <w:p w:rsidR="00C33C12" w:rsidRDefault="00C33C12" w:rsidP="00FB3A63">
            <w:pPr>
              <w:spacing w:line="240" w:lineRule="auto"/>
              <w:rPr>
                <w:b/>
                <w:bCs/>
                <w:lang w:val="lt-LT"/>
              </w:rPr>
            </w:pPr>
          </w:p>
        </w:tc>
        <w:tc>
          <w:tcPr>
            <w:tcW w:w="417" w:type="pct"/>
            <w:tcBorders>
              <w:left w:val="single" w:sz="18" w:space="0" w:color="auto"/>
              <w:bottom w:val="single" w:sz="18" w:space="0" w:color="auto"/>
            </w:tcBorders>
            <w:vAlign w:val="center"/>
          </w:tcPr>
          <w:p w:rsidR="00C33C12" w:rsidRPr="00FB3A63" w:rsidRDefault="00C33C12" w:rsidP="00FB3A63">
            <w:pPr>
              <w:spacing w:line="240" w:lineRule="auto"/>
              <w:jc w:val="center"/>
              <w:rPr>
                <w:lang w:val="lt-LT"/>
              </w:rPr>
            </w:pPr>
            <w:r w:rsidRPr="00FB3A63">
              <w:rPr>
                <w:lang w:val="lt-LT"/>
              </w:rPr>
              <w:t>Įmonė</w:t>
            </w:r>
          </w:p>
        </w:tc>
        <w:tc>
          <w:tcPr>
            <w:tcW w:w="532" w:type="pct"/>
            <w:tcBorders>
              <w:bottom w:val="single" w:sz="18" w:space="0" w:color="auto"/>
            </w:tcBorders>
            <w:vAlign w:val="center"/>
          </w:tcPr>
          <w:p w:rsidR="00C33C12" w:rsidRPr="00FB3A63" w:rsidRDefault="00C33C12" w:rsidP="00FB3A63">
            <w:pPr>
              <w:spacing w:line="240" w:lineRule="auto"/>
              <w:jc w:val="center"/>
              <w:rPr>
                <w:lang w:val="lt-LT"/>
              </w:rPr>
            </w:pPr>
            <w:r w:rsidRPr="00FB3A63">
              <w:rPr>
                <w:lang w:val="lt-LT"/>
              </w:rPr>
              <w:t>Sektorius</w:t>
            </w:r>
          </w:p>
        </w:tc>
        <w:tc>
          <w:tcPr>
            <w:tcW w:w="563" w:type="pct"/>
            <w:tcBorders>
              <w:bottom w:val="single" w:sz="18" w:space="0" w:color="auto"/>
              <w:right w:val="single" w:sz="18" w:space="0" w:color="auto"/>
            </w:tcBorders>
            <w:vAlign w:val="center"/>
          </w:tcPr>
          <w:p w:rsidR="00C33C12" w:rsidRPr="00FB3A63" w:rsidRDefault="00C33C12" w:rsidP="00FB3A63">
            <w:pPr>
              <w:spacing w:line="240" w:lineRule="auto"/>
              <w:jc w:val="center"/>
              <w:rPr>
                <w:lang w:val="lt-LT"/>
              </w:rPr>
            </w:pPr>
            <w:r w:rsidRPr="00FB3A63">
              <w:rPr>
                <w:lang w:val="lt-LT"/>
              </w:rPr>
              <w:t>Skirtumas</w:t>
            </w:r>
          </w:p>
        </w:tc>
        <w:tc>
          <w:tcPr>
            <w:tcW w:w="417" w:type="pct"/>
            <w:tcBorders>
              <w:left w:val="single" w:sz="18" w:space="0" w:color="auto"/>
              <w:bottom w:val="single" w:sz="18" w:space="0" w:color="auto"/>
            </w:tcBorders>
            <w:vAlign w:val="center"/>
          </w:tcPr>
          <w:p w:rsidR="00C33C12" w:rsidRPr="00FB3A63" w:rsidRDefault="00C33C12" w:rsidP="00FB3A63">
            <w:pPr>
              <w:spacing w:line="240" w:lineRule="auto"/>
              <w:jc w:val="center"/>
              <w:rPr>
                <w:lang w:val="lt-LT"/>
              </w:rPr>
            </w:pPr>
            <w:r w:rsidRPr="00FB3A63">
              <w:rPr>
                <w:lang w:val="lt-LT"/>
              </w:rPr>
              <w:t>Įmonė</w:t>
            </w:r>
          </w:p>
        </w:tc>
        <w:tc>
          <w:tcPr>
            <w:tcW w:w="532" w:type="pct"/>
            <w:tcBorders>
              <w:bottom w:val="single" w:sz="18" w:space="0" w:color="auto"/>
            </w:tcBorders>
            <w:vAlign w:val="center"/>
          </w:tcPr>
          <w:p w:rsidR="00C33C12" w:rsidRPr="00FB3A63" w:rsidRDefault="00C33C12" w:rsidP="00FB3A63">
            <w:pPr>
              <w:spacing w:line="240" w:lineRule="auto"/>
              <w:jc w:val="center"/>
              <w:rPr>
                <w:lang w:val="lt-LT"/>
              </w:rPr>
            </w:pPr>
            <w:r w:rsidRPr="00FB3A63">
              <w:rPr>
                <w:lang w:val="lt-LT"/>
              </w:rPr>
              <w:t>Sektorius</w:t>
            </w:r>
          </w:p>
        </w:tc>
        <w:tc>
          <w:tcPr>
            <w:tcW w:w="563" w:type="pct"/>
            <w:tcBorders>
              <w:bottom w:val="single" w:sz="18" w:space="0" w:color="auto"/>
              <w:right w:val="single" w:sz="18" w:space="0" w:color="auto"/>
            </w:tcBorders>
            <w:vAlign w:val="center"/>
          </w:tcPr>
          <w:p w:rsidR="00C33C12" w:rsidRPr="00FB3A63" w:rsidRDefault="00C33C12" w:rsidP="00FB3A63">
            <w:pPr>
              <w:spacing w:line="240" w:lineRule="auto"/>
              <w:jc w:val="center"/>
              <w:rPr>
                <w:lang w:val="lt-LT"/>
              </w:rPr>
            </w:pPr>
            <w:r w:rsidRPr="00FB3A63">
              <w:rPr>
                <w:lang w:val="lt-LT"/>
              </w:rPr>
              <w:t>Skirtumas</w:t>
            </w:r>
          </w:p>
        </w:tc>
        <w:tc>
          <w:tcPr>
            <w:tcW w:w="417" w:type="pct"/>
            <w:tcBorders>
              <w:left w:val="single" w:sz="18" w:space="0" w:color="auto"/>
              <w:bottom w:val="single" w:sz="18" w:space="0" w:color="auto"/>
            </w:tcBorders>
            <w:vAlign w:val="center"/>
          </w:tcPr>
          <w:p w:rsidR="00C33C12" w:rsidRPr="00FB3A63" w:rsidRDefault="00C33C12" w:rsidP="00FB3A63">
            <w:pPr>
              <w:spacing w:line="240" w:lineRule="auto"/>
              <w:jc w:val="center"/>
              <w:rPr>
                <w:lang w:val="lt-LT"/>
              </w:rPr>
            </w:pPr>
            <w:r w:rsidRPr="00FB3A63">
              <w:rPr>
                <w:lang w:val="lt-LT"/>
              </w:rPr>
              <w:t>Įmonė</w:t>
            </w:r>
          </w:p>
        </w:tc>
        <w:tc>
          <w:tcPr>
            <w:tcW w:w="532" w:type="pct"/>
            <w:tcBorders>
              <w:bottom w:val="single" w:sz="18" w:space="0" w:color="auto"/>
            </w:tcBorders>
            <w:vAlign w:val="center"/>
          </w:tcPr>
          <w:p w:rsidR="00C33C12" w:rsidRPr="00FB3A63" w:rsidRDefault="00C33C12" w:rsidP="00FB3A63">
            <w:pPr>
              <w:spacing w:line="240" w:lineRule="auto"/>
              <w:jc w:val="center"/>
              <w:rPr>
                <w:lang w:val="lt-LT"/>
              </w:rPr>
            </w:pPr>
            <w:r w:rsidRPr="00FB3A63">
              <w:rPr>
                <w:lang w:val="lt-LT"/>
              </w:rPr>
              <w:t>Sektorius</w:t>
            </w:r>
          </w:p>
        </w:tc>
        <w:tc>
          <w:tcPr>
            <w:tcW w:w="563" w:type="pct"/>
            <w:tcBorders>
              <w:bottom w:val="single" w:sz="18" w:space="0" w:color="auto"/>
              <w:right w:val="single" w:sz="18" w:space="0" w:color="auto"/>
            </w:tcBorders>
            <w:vAlign w:val="center"/>
          </w:tcPr>
          <w:p w:rsidR="00C33C12" w:rsidRPr="00FB3A63" w:rsidRDefault="00C33C12" w:rsidP="00FB3A63">
            <w:pPr>
              <w:spacing w:line="240" w:lineRule="auto"/>
              <w:jc w:val="center"/>
              <w:rPr>
                <w:lang w:val="lt-LT"/>
              </w:rPr>
            </w:pPr>
            <w:r w:rsidRPr="00FB3A63">
              <w:rPr>
                <w:lang w:val="lt-LT"/>
              </w:rPr>
              <w:t>Skirtumas</w:t>
            </w:r>
          </w:p>
        </w:tc>
      </w:tr>
      <w:tr w:rsidR="008B03D9" w:rsidRPr="00FB3A63" w:rsidTr="001F4EB1">
        <w:trPr>
          <w:jc w:val="center"/>
        </w:trPr>
        <w:tc>
          <w:tcPr>
            <w:tcW w:w="464" w:type="pct"/>
            <w:tcBorders>
              <w:right w:val="single" w:sz="18" w:space="0" w:color="auto"/>
            </w:tcBorders>
          </w:tcPr>
          <w:p w:rsidR="008B03D9" w:rsidRPr="00FB3A63" w:rsidRDefault="008B03D9" w:rsidP="00FB3A63">
            <w:pPr>
              <w:spacing w:line="240" w:lineRule="auto"/>
              <w:rPr>
                <w:b/>
                <w:bCs/>
                <w:lang w:val="lt-LT"/>
              </w:rPr>
            </w:pPr>
            <w:r w:rsidRPr="00FB3A63">
              <w:rPr>
                <w:b/>
                <w:bCs/>
                <w:lang w:val="lt-LT"/>
              </w:rPr>
              <w:t>2011</w:t>
            </w:r>
          </w:p>
        </w:tc>
        <w:tc>
          <w:tcPr>
            <w:tcW w:w="417" w:type="pct"/>
            <w:tcBorders>
              <w:left w:val="single" w:sz="18" w:space="0" w:color="auto"/>
            </w:tcBorders>
            <w:vAlign w:val="bottom"/>
          </w:tcPr>
          <w:p w:rsidR="008B03D9" w:rsidRPr="00FB3A63" w:rsidRDefault="008B03D9" w:rsidP="00FB3A63">
            <w:pPr>
              <w:spacing w:line="240" w:lineRule="auto"/>
              <w:jc w:val="center"/>
              <w:rPr>
                <w:color w:val="000000"/>
              </w:rPr>
            </w:pPr>
            <w:r w:rsidRPr="00FB3A63">
              <w:rPr>
                <w:color w:val="000000"/>
                <w:lang w:val="lt-LT"/>
              </w:rPr>
              <w:t>0,0142</w:t>
            </w:r>
          </w:p>
        </w:tc>
        <w:tc>
          <w:tcPr>
            <w:tcW w:w="532" w:type="pct"/>
            <w:vAlign w:val="bottom"/>
          </w:tcPr>
          <w:p w:rsidR="008B03D9" w:rsidRPr="00FB3A63" w:rsidRDefault="008B03D9" w:rsidP="00FB3A63">
            <w:pPr>
              <w:spacing w:line="240" w:lineRule="auto"/>
              <w:jc w:val="center"/>
              <w:rPr>
                <w:color w:val="000000"/>
              </w:rPr>
            </w:pPr>
            <w:r w:rsidRPr="00FB3A63">
              <w:rPr>
                <w:color w:val="000000"/>
                <w:lang w:val="lt-LT"/>
              </w:rPr>
              <w:t>0,0938</w:t>
            </w:r>
          </w:p>
        </w:tc>
        <w:tc>
          <w:tcPr>
            <w:tcW w:w="563" w:type="pct"/>
            <w:tcBorders>
              <w:right w:val="single" w:sz="18" w:space="0" w:color="auto"/>
            </w:tcBorders>
            <w:vAlign w:val="bottom"/>
          </w:tcPr>
          <w:p w:rsidR="008B03D9" w:rsidRPr="00FB3A63" w:rsidRDefault="008B03D9" w:rsidP="00FB3A63">
            <w:pPr>
              <w:spacing w:line="240" w:lineRule="auto"/>
              <w:jc w:val="center"/>
              <w:rPr>
                <w:color w:val="000000"/>
              </w:rPr>
            </w:pPr>
            <w:r w:rsidRPr="00FB3A63">
              <w:rPr>
                <w:color w:val="000000"/>
                <w:lang w:val="lt-LT"/>
              </w:rPr>
              <w:t>-0,0796</w:t>
            </w:r>
          </w:p>
        </w:tc>
        <w:tc>
          <w:tcPr>
            <w:tcW w:w="417" w:type="pct"/>
            <w:tcBorders>
              <w:left w:val="single" w:sz="18" w:space="0" w:color="auto"/>
            </w:tcBorders>
            <w:vAlign w:val="bottom"/>
          </w:tcPr>
          <w:p w:rsidR="008B03D9" w:rsidRPr="00FB3A63" w:rsidRDefault="008B03D9" w:rsidP="00FB3A63">
            <w:pPr>
              <w:spacing w:line="240" w:lineRule="auto"/>
              <w:jc w:val="center"/>
              <w:rPr>
                <w:color w:val="000000"/>
              </w:rPr>
            </w:pPr>
            <w:r w:rsidRPr="00FB3A63">
              <w:rPr>
                <w:color w:val="000000"/>
                <w:lang w:val="lt-LT"/>
              </w:rPr>
              <w:t>0,0371</w:t>
            </w:r>
          </w:p>
        </w:tc>
        <w:tc>
          <w:tcPr>
            <w:tcW w:w="532" w:type="pct"/>
            <w:vAlign w:val="bottom"/>
          </w:tcPr>
          <w:p w:rsidR="008B03D9" w:rsidRPr="00FB3A63" w:rsidRDefault="008B03D9" w:rsidP="00FB3A63">
            <w:pPr>
              <w:spacing w:line="240" w:lineRule="auto"/>
              <w:jc w:val="center"/>
              <w:rPr>
                <w:color w:val="000000"/>
              </w:rPr>
            </w:pPr>
            <w:r w:rsidRPr="00FB3A63">
              <w:rPr>
                <w:color w:val="000000"/>
                <w:lang w:val="lt-LT"/>
              </w:rPr>
              <w:t>0,2195</w:t>
            </w:r>
          </w:p>
        </w:tc>
        <w:tc>
          <w:tcPr>
            <w:tcW w:w="563" w:type="pct"/>
            <w:tcBorders>
              <w:right w:val="single" w:sz="18" w:space="0" w:color="auto"/>
            </w:tcBorders>
            <w:vAlign w:val="bottom"/>
          </w:tcPr>
          <w:p w:rsidR="008B03D9" w:rsidRPr="00FB3A63" w:rsidRDefault="008B03D9" w:rsidP="00FB3A63">
            <w:pPr>
              <w:spacing w:line="240" w:lineRule="auto"/>
              <w:jc w:val="center"/>
              <w:rPr>
                <w:color w:val="000000"/>
              </w:rPr>
            </w:pPr>
            <w:r w:rsidRPr="00FB3A63">
              <w:rPr>
                <w:color w:val="000000"/>
                <w:lang w:val="lt-LT"/>
              </w:rPr>
              <w:t>-0,1824</w:t>
            </w:r>
          </w:p>
        </w:tc>
        <w:tc>
          <w:tcPr>
            <w:tcW w:w="417" w:type="pct"/>
            <w:tcBorders>
              <w:left w:val="single" w:sz="18" w:space="0" w:color="auto"/>
            </w:tcBorders>
            <w:vAlign w:val="center"/>
          </w:tcPr>
          <w:p w:rsidR="008B03D9" w:rsidRPr="00ED3D25" w:rsidRDefault="008B03D9" w:rsidP="001F4EB1">
            <w:pPr>
              <w:spacing w:line="240" w:lineRule="auto"/>
              <w:jc w:val="center"/>
              <w:rPr>
                <w:lang w:val="lt-LT"/>
              </w:rPr>
            </w:pPr>
            <w:r w:rsidRPr="00ED3D25">
              <w:rPr>
                <w:lang w:val="lt-LT"/>
              </w:rPr>
              <w:t>0,0211</w:t>
            </w:r>
          </w:p>
        </w:tc>
        <w:tc>
          <w:tcPr>
            <w:tcW w:w="532" w:type="pct"/>
            <w:vAlign w:val="center"/>
          </w:tcPr>
          <w:p w:rsidR="008B03D9" w:rsidRPr="0018696A" w:rsidRDefault="008B03D9" w:rsidP="001F4EB1">
            <w:pPr>
              <w:spacing w:line="240" w:lineRule="auto"/>
              <w:jc w:val="center"/>
              <w:rPr>
                <w:b/>
                <w:bCs/>
                <w:lang w:val="lt-LT"/>
              </w:rPr>
            </w:pPr>
            <w:r>
              <w:rPr>
                <w:lang w:val="lt-LT"/>
              </w:rPr>
              <w:t>0,0624</w:t>
            </w:r>
          </w:p>
        </w:tc>
        <w:tc>
          <w:tcPr>
            <w:tcW w:w="563" w:type="pct"/>
            <w:tcBorders>
              <w:right w:val="single" w:sz="18" w:space="0" w:color="auto"/>
            </w:tcBorders>
            <w:vAlign w:val="bottom"/>
          </w:tcPr>
          <w:p w:rsidR="008B03D9" w:rsidRDefault="008B03D9" w:rsidP="001F4EB1">
            <w:pPr>
              <w:spacing w:line="240" w:lineRule="auto"/>
              <w:jc w:val="center"/>
              <w:rPr>
                <w:color w:val="000000"/>
              </w:rPr>
            </w:pPr>
            <w:r>
              <w:rPr>
                <w:color w:val="000000"/>
                <w:lang w:val="lt-LT"/>
              </w:rPr>
              <w:t>-0,0413</w:t>
            </w:r>
          </w:p>
        </w:tc>
      </w:tr>
      <w:tr w:rsidR="008B03D9" w:rsidRPr="00FB3A63" w:rsidTr="001F4EB1">
        <w:trPr>
          <w:jc w:val="center"/>
        </w:trPr>
        <w:tc>
          <w:tcPr>
            <w:tcW w:w="464" w:type="pct"/>
            <w:tcBorders>
              <w:right w:val="single" w:sz="18" w:space="0" w:color="auto"/>
            </w:tcBorders>
          </w:tcPr>
          <w:p w:rsidR="008B03D9" w:rsidRPr="00FB3A63" w:rsidRDefault="008B03D9" w:rsidP="00FB3A63">
            <w:pPr>
              <w:spacing w:line="240" w:lineRule="auto"/>
              <w:rPr>
                <w:rFonts w:asciiTheme="majorBidi" w:hAnsiTheme="majorBidi" w:cstheme="majorBidi"/>
                <w:b/>
                <w:bCs/>
                <w:lang w:val="lt-LT"/>
              </w:rPr>
            </w:pPr>
            <w:r w:rsidRPr="00FB3A63">
              <w:rPr>
                <w:rFonts w:asciiTheme="majorBidi" w:hAnsiTheme="majorBidi" w:cstheme="majorBidi"/>
                <w:b/>
                <w:bCs/>
                <w:lang w:val="lt-LT"/>
              </w:rPr>
              <w:t>2012</w:t>
            </w:r>
          </w:p>
        </w:tc>
        <w:tc>
          <w:tcPr>
            <w:tcW w:w="417" w:type="pct"/>
            <w:tcBorders>
              <w:left w:val="single" w:sz="18" w:space="0" w:color="auto"/>
            </w:tcBorders>
            <w:vAlign w:val="bottom"/>
          </w:tcPr>
          <w:p w:rsidR="008B03D9" w:rsidRPr="00FB3A63" w:rsidRDefault="008B03D9" w:rsidP="00FB3A63">
            <w:pPr>
              <w:spacing w:line="240" w:lineRule="auto"/>
              <w:jc w:val="center"/>
              <w:rPr>
                <w:color w:val="000000"/>
              </w:rPr>
            </w:pPr>
            <w:r w:rsidRPr="00FB3A63">
              <w:rPr>
                <w:color w:val="000000"/>
                <w:lang w:val="lt-LT"/>
              </w:rPr>
              <w:t>0,0109</w:t>
            </w:r>
          </w:p>
        </w:tc>
        <w:tc>
          <w:tcPr>
            <w:tcW w:w="532" w:type="pct"/>
            <w:vAlign w:val="bottom"/>
          </w:tcPr>
          <w:p w:rsidR="008B03D9" w:rsidRPr="00FB3A63" w:rsidRDefault="008B03D9" w:rsidP="00FB3A63">
            <w:pPr>
              <w:spacing w:line="240" w:lineRule="auto"/>
              <w:jc w:val="center"/>
              <w:rPr>
                <w:color w:val="000000"/>
              </w:rPr>
            </w:pPr>
            <w:r w:rsidRPr="00FB3A63">
              <w:rPr>
                <w:color w:val="000000"/>
                <w:lang w:val="lt-LT"/>
              </w:rPr>
              <w:t>0,0986</w:t>
            </w:r>
          </w:p>
        </w:tc>
        <w:tc>
          <w:tcPr>
            <w:tcW w:w="563" w:type="pct"/>
            <w:tcBorders>
              <w:right w:val="single" w:sz="18" w:space="0" w:color="auto"/>
            </w:tcBorders>
            <w:vAlign w:val="bottom"/>
          </w:tcPr>
          <w:p w:rsidR="008B03D9" w:rsidRPr="00FB3A63" w:rsidRDefault="008B03D9" w:rsidP="00FB3A63">
            <w:pPr>
              <w:spacing w:line="240" w:lineRule="auto"/>
              <w:jc w:val="center"/>
              <w:rPr>
                <w:color w:val="000000"/>
              </w:rPr>
            </w:pPr>
            <w:r w:rsidRPr="00FB3A63">
              <w:rPr>
                <w:color w:val="000000"/>
                <w:lang w:val="lt-LT"/>
              </w:rPr>
              <w:t>-0,0877</w:t>
            </w:r>
          </w:p>
        </w:tc>
        <w:tc>
          <w:tcPr>
            <w:tcW w:w="417" w:type="pct"/>
            <w:tcBorders>
              <w:left w:val="single" w:sz="18" w:space="0" w:color="auto"/>
            </w:tcBorders>
            <w:vAlign w:val="bottom"/>
          </w:tcPr>
          <w:p w:rsidR="008B03D9" w:rsidRPr="00FB3A63" w:rsidRDefault="008B03D9" w:rsidP="00FB3A63">
            <w:pPr>
              <w:spacing w:line="240" w:lineRule="auto"/>
              <w:jc w:val="center"/>
              <w:rPr>
                <w:color w:val="000000"/>
              </w:rPr>
            </w:pPr>
            <w:r w:rsidRPr="00FB3A63">
              <w:rPr>
                <w:color w:val="000000"/>
                <w:lang w:val="lt-LT"/>
              </w:rPr>
              <w:t>0,0419</w:t>
            </w:r>
          </w:p>
        </w:tc>
        <w:tc>
          <w:tcPr>
            <w:tcW w:w="532" w:type="pct"/>
            <w:vAlign w:val="bottom"/>
          </w:tcPr>
          <w:p w:rsidR="008B03D9" w:rsidRPr="00FB3A63" w:rsidRDefault="008B03D9" w:rsidP="00FB3A63">
            <w:pPr>
              <w:spacing w:line="240" w:lineRule="auto"/>
              <w:jc w:val="center"/>
              <w:rPr>
                <w:color w:val="000000"/>
              </w:rPr>
            </w:pPr>
            <w:r w:rsidRPr="00FB3A63">
              <w:rPr>
                <w:color w:val="000000"/>
                <w:lang w:val="lt-LT"/>
              </w:rPr>
              <w:t>0,2162</w:t>
            </w:r>
          </w:p>
        </w:tc>
        <w:tc>
          <w:tcPr>
            <w:tcW w:w="563" w:type="pct"/>
            <w:tcBorders>
              <w:right w:val="single" w:sz="18" w:space="0" w:color="auto"/>
            </w:tcBorders>
            <w:vAlign w:val="bottom"/>
          </w:tcPr>
          <w:p w:rsidR="008B03D9" w:rsidRPr="00FB3A63" w:rsidRDefault="008B03D9" w:rsidP="00FB3A63">
            <w:pPr>
              <w:spacing w:line="240" w:lineRule="auto"/>
              <w:jc w:val="center"/>
              <w:rPr>
                <w:color w:val="000000"/>
              </w:rPr>
            </w:pPr>
            <w:r w:rsidRPr="00FB3A63">
              <w:rPr>
                <w:color w:val="000000"/>
                <w:lang w:val="lt-LT"/>
              </w:rPr>
              <w:t>-0,1743</w:t>
            </w:r>
          </w:p>
        </w:tc>
        <w:tc>
          <w:tcPr>
            <w:tcW w:w="417" w:type="pct"/>
            <w:tcBorders>
              <w:left w:val="single" w:sz="18" w:space="0" w:color="auto"/>
            </w:tcBorders>
            <w:vAlign w:val="center"/>
          </w:tcPr>
          <w:p w:rsidR="008B03D9" w:rsidRPr="00ED3D25" w:rsidRDefault="008B03D9" w:rsidP="001F4EB1">
            <w:pPr>
              <w:spacing w:line="240" w:lineRule="auto"/>
              <w:jc w:val="center"/>
              <w:rPr>
                <w:lang w:val="lt-LT"/>
              </w:rPr>
            </w:pPr>
            <w:r w:rsidRPr="00ED3D25">
              <w:rPr>
                <w:lang w:val="lt-LT"/>
              </w:rPr>
              <w:t>0,0203</w:t>
            </w:r>
          </w:p>
        </w:tc>
        <w:tc>
          <w:tcPr>
            <w:tcW w:w="532" w:type="pct"/>
            <w:vAlign w:val="center"/>
          </w:tcPr>
          <w:p w:rsidR="008B03D9" w:rsidRPr="0018696A" w:rsidRDefault="008B03D9" w:rsidP="001F4EB1">
            <w:pPr>
              <w:spacing w:line="240" w:lineRule="auto"/>
              <w:jc w:val="center"/>
              <w:rPr>
                <w:b/>
                <w:bCs/>
                <w:lang w:val="lt-LT"/>
              </w:rPr>
            </w:pPr>
            <w:r>
              <w:rPr>
                <w:lang w:val="lt-LT"/>
              </w:rPr>
              <w:t>0,0444</w:t>
            </w:r>
          </w:p>
        </w:tc>
        <w:tc>
          <w:tcPr>
            <w:tcW w:w="563" w:type="pct"/>
            <w:tcBorders>
              <w:right w:val="single" w:sz="18" w:space="0" w:color="auto"/>
            </w:tcBorders>
            <w:vAlign w:val="bottom"/>
          </w:tcPr>
          <w:p w:rsidR="008B03D9" w:rsidRDefault="008B03D9" w:rsidP="001F4EB1">
            <w:pPr>
              <w:spacing w:line="240" w:lineRule="auto"/>
              <w:jc w:val="center"/>
              <w:rPr>
                <w:color w:val="000000"/>
              </w:rPr>
            </w:pPr>
            <w:r>
              <w:rPr>
                <w:color w:val="000000"/>
                <w:lang w:val="lt-LT"/>
              </w:rPr>
              <w:t>-0,0241</w:t>
            </w:r>
          </w:p>
        </w:tc>
      </w:tr>
      <w:tr w:rsidR="008B03D9" w:rsidRPr="00FB3A63" w:rsidTr="001F4EB1">
        <w:trPr>
          <w:jc w:val="center"/>
        </w:trPr>
        <w:tc>
          <w:tcPr>
            <w:tcW w:w="464" w:type="pct"/>
            <w:tcBorders>
              <w:right w:val="single" w:sz="18" w:space="0" w:color="auto"/>
            </w:tcBorders>
          </w:tcPr>
          <w:p w:rsidR="008B03D9" w:rsidRPr="00FB3A63" w:rsidRDefault="008B03D9" w:rsidP="00FB3A63">
            <w:pPr>
              <w:spacing w:line="240" w:lineRule="auto"/>
              <w:rPr>
                <w:b/>
                <w:bCs/>
                <w:lang w:val="lt-LT"/>
              </w:rPr>
            </w:pPr>
            <w:r w:rsidRPr="00FB3A63">
              <w:rPr>
                <w:b/>
                <w:bCs/>
                <w:lang w:val="lt-LT"/>
              </w:rPr>
              <w:t>2013</w:t>
            </w:r>
          </w:p>
        </w:tc>
        <w:tc>
          <w:tcPr>
            <w:tcW w:w="417" w:type="pct"/>
            <w:tcBorders>
              <w:left w:val="single" w:sz="18" w:space="0" w:color="auto"/>
            </w:tcBorders>
            <w:vAlign w:val="bottom"/>
          </w:tcPr>
          <w:p w:rsidR="008B03D9" w:rsidRPr="00FB3A63" w:rsidRDefault="008B03D9" w:rsidP="00FB3A63">
            <w:pPr>
              <w:spacing w:line="240" w:lineRule="auto"/>
              <w:jc w:val="center"/>
              <w:rPr>
                <w:color w:val="000000"/>
              </w:rPr>
            </w:pPr>
            <w:r w:rsidRPr="00FB3A63">
              <w:rPr>
                <w:color w:val="000000"/>
                <w:lang w:val="lt-LT"/>
              </w:rPr>
              <w:t>0,0132</w:t>
            </w:r>
          </w:p>
        </w:tc>
        <w:tc>
          <w:tcPr>
            <w:tcW w:w="532" w:type="pct"/>
            <w:vAlign w:val="bottom"/>
          </w:tcPr>
          <w:p w:rsidR="008B03D9" w:rsidRPr="00FB3A63" w:rsidRDefault="008B03D9" w:rsidP="00FB3A63">
            <w:pPr>
              <w:spacing w:line="240" w:lineRule="auto"/>
              <w:jc w:val="center"/>
              <w:rPr>
                <w:color w:val="000000"/>
              </w:rPr>
            </w:pPr>
            <w:r w:rsidRPr="00FB3A63">
              <w:rPr>
                <w:color w:val="000000"/>
                <w:lang w:val="lt-LT"/>
              </w:rPr>
              <w:t>0,0583</w:t>
            </w:r>
          </w:p>
        </w:tc>
        <w:tc>
          <w:tcPr>
            <w:tcW w:w="563" w:type="pct"/>
            <w:tcBorders>
              <w:right w:val="single" w:sz="18" w:space="0" w:color="auto"/>
            </w:tcBorders>
            <w:vAlign w:val="bottom"/>
          </w:tcPr>
          <w:p w:rsidR="008B03D9" w:rsidRPr="00FB3A63" w:rsidRDefault="008B03D9" w:rsidP="00FB3A63">
            <w:pPr>
              <w:spacing w:line="240" w:lineRule="auto"/>
              <w:jc w:val="center"/>
              <w:rPr>
                <w:color w:val="000000"/>
              </w:rPr>
            </w:pPr>
            <w:r w:rsidRPr="00FB3A63">
              <w:rPr>
                <w:color w:val="000000"/>
                <w:lang w:val="lt-LT"/>
              </w:rPr>
              <w:t>-0,0451</w:t>
            </w:r>
          </w:p>
        </w:tc>
        <w:tc>
          <w:tcPr>
            <w:tcW w:w="417" w:type="pct"/>
            <w:tcBorders>
              <w:left w:val="single" w:sz="18" w:space="0" w:color="auto"/>
            </w:tcBorders>
            <w:vAlign w:val="bottom"/>
          </w:tcPr>
          <w:p w:rsidR="008B03D9" w:rsidRPr="00FB3A63" w:rsidRDefault="008B03D9" w:rsidP="00FB3A63">
            <w:pPr>
              <w:spacing w:line="240" w:lineRule="auto"/>
              <w:jc w:val="center"/>
              <w:rPr>
                <w:color w:val="000000"/>
              </w:rPr>
            </w:pPr>
            <w:r w:rsidRPr="00FB3A63">
              <w:rPr>
                <w:color w:val="000000"/>
                <w:lang w:val="lt-LT"/>
              </w:rPr>
              <w:t>0,0484</w:t>
            </w:r>
          </w:p>
        </w:tc>
        <w:tc>
          <w:tcPr>
            <w:tcW w:w="532" w:type="pct"/>
            <w:vAlign w:val="bottom"/>
          </w:tcPr>
          <w:p w:rsidR="008B03D9" w:rsidRPr="00FB3A63" w:rsidRDefault="008B03D9" w:rsidP="00FB3A63">
            <w:pPr>
              <w:spacing w:line="240" w:lineRule="auto"/>
              <w:jc w:val="center"/>
              <w:rPr>
                <w:color w:val="000000"/>
              </w:rPr>
            </w:pPr>
            <w:r w:rsidRPr="00FB3A63">
              <w:rPr>
                <w:color w:val="000000"/>
                <w:lang w:val="lt-LT"/>
              </w:rPr>
              <w:t>0,1257</w:t>
            </w:r>
          </w:p>
        </w:tc>
        <w:tc>
          <w:tcPr>
            <w:tcW w:w="563" w:type="pct"/>
            <w:tcBorders>
              <w:right w:val="single" w:sz="18" w:space="0" w:color="auto"/>
            </w:tcBorders>
            <w:vAlign w:val="bottom"/>
          </w:tcPr>
          <w:p w:rsidR="008B03D9" w:rsidRPr="00FB3A63" w:rsidRDefault="008B03D9" w:rsidP="00FB3A63">
            <w:pPr>
              <w:spacing w:line="240" w:lineRule="auto"/>
              <w:jc w:val="center"/>
              <w:rPr>
                <w:color w:val="000000"/>
              </w:rPr>
            </w:pPr>
            <w:r w:rsidRPr="00FB3A63">
              <w:rPr>
                <w:color w:val="000000"/>
                <w:lang w:val="lt-LT"/>
              </w:rPr>
              <w:t>-0,0773</w:t>
            </w:r>
          </w:p>
        </w:tc>
        <w:tc>
          <w:tcPr>
            <w:tcW w:w="417" w:type="pct"/>
            <w:tcBorders>
              <w:left w:val="single" w:sz="18" w:space="0" w:color="auto"/>
            </w:tcBorders>
            <w:vAlign w:val="center"/>
          </w:tcPr>
          <w:p w:rsidR="008B03D9" w:rsidRPr="00ED3D25" w:rsidRDefault="008B03D9" w:rsidP="001F4EB1">
            <w:pPr>
              <w:spacing w:line="240" w:lineRule="auto"/>
              <w:jc w:val="center"/>
              <w:rPr>
                <w:lang w:val="lt-LT"/>
              </w:rPr>
            </w:pPr>
            <w:r w:rsidRPr="00ED3D25">
              <w:rPr>
                <w:lang w:val="lt-LT"/>
              </w:rPr>
              <w:t>0,0279</w:t>
            </w:r>
          </w:p>
        </w:tc>
        <w:tc>
          <w:tcPr>
            <w:tcW w:w="532" w:type="pct"/>
            <w:vAlign w:val="center"/>
          </w:tcPr>
          <w:p w:rsidR="008B03D9" w:rsidRPr="0018696A" w:rsidRDefault="008B03D9" w:rsidP="001F4EB1">
            <w:pPr>
              <w:spacing w:line="240" w:lineRule="auto"/>
              <w:jc w:val="center"/>
              <w:rPr>
                <w:b/>
                <w:bCs/>
                <w:lang w:val="lt-LT"/>
              </w:rPr>
            </w:pPr>
            <w:r>
              <w:rPr>
                <w:lang w:val="lt-LT"/>
              </w:rPr>
              <w:t>0,0333</w:t>
            </w:r>
          </w:p>
        </w:tc>
        <w:tc>
          <w:tcPr>
            <w:tcW w:w="563" w:type="pct"/>
            <w:tcBorders>
              <w:right w:val="single" w:sz="18" w:space="0" w:color="auto"/>
            </w:tcBorders>
            <w:vAlign w:val="bottom"/>
          </w:tcPr>
          <w:p w:rsidR="008B03D9" w:rsidRDefault="008B03D9" w:rsidP="001F4EB1">
            <w:pPr>
              <w:spacing w:line="240" w:lineRule="auto"/>
              <w:jc w:val="center"/>
              <w:rPr>
                <w:color w:val="000000"/>
              </w:rPr>
            </w:pPr>
            <w:r>
              <w:rPr>
                <w:color w:val="000000"/>
                <w:lang w:val="lt-LT"/>
              </w:rPr>
              <w:t>-0,0054</w:t>
            </w:r>
          </w:p>
        </w:tc>
      </w:tr>
    </w:tbl>
    <w:p w:rsidR="00C2492C" w:rsidRDefault="00C2492C" w:rsidP="00C2492C">
      <w:pPr>
        <w:spacing w:after="0" w:line="240" w:lineRule="auto"/>
        <w:rPr>
          <w:sz w:val="20"/>
          <w:szCs w:val="20"/>
          <w:lang w:val="lt-LT"/>
        </w:rPr>
      </w:pPr>
      <w:r>
        <w:rPr>
          <w:sz w:val="20"/>
          <w:szCs w:val="20"/>
          <w:lang w:val="lt-LT"/>
        </w:rPr>
        <w:t>Pa</w:t>
      </w:r>
      <w:r w:rsidR="004A39CD" w:rsidRPr="00FB3A63">
        <w:rPr>
          <w:b/>
          <w:bCs/>
          <w:sz w:val="20"/>
          <w:szCs w:val="20"/>
          <w:lang w:val="lt-LT"/>
        </w:rPr>
        <w:t>s</w:t>
      </w:r>
      <w:r w:rsidR="004A39CD" w:rsidRPr="00ED3D25">
        <w:rPr>
          <w:sz w:val="20"/>
          <w:szCs w:val="20"/>
          <w:lang w:val="lt-LT"/>
        </w:rPr>
        <w:t>taba: lentelė sudaryta au</w:t>
      </w:r>
      <w:r w:rsidR="00AA2223">
        <w:rPr>
          <w:sz w:val="20"/>
          <w:szCs w:val="20"/>
          <w:lang w:val="lt-LT"/>
        </w:rPr>
        <w:t>torės, remiantis Lietuvos statistikos departamento</w:t>
      </w:r>
      <w:r w:rsidR="004A39CD" w:rsidRPr="00ED3D25">
        <w:rPr>
          <w:sz w:val="20"/>
          <w:szCs w:val="20"/>
          <w:lang w:val="lt-LT"/>
        </w:rPr>
        <w:t xml:space="preserve"> duome</w:t>
      </w:r>
      <w:r>
        <w:rPr>
          <w:sz w:val="20"/>
          <w:szCs w:val="20"/>
          <w:lang w:val="lt-LT"/>
        </w:rPr>
        <w:t xml:space="preserve">nimis </w:t>
      </w:r>
      <w:r w:rsidRPr="00C2492C">
        <w:rPr>
          <w:sz w:val="20"/>
          <w:szCs w:val="20"/>
          <w:lang w:val="lt-LT"/>
        </w:rPr>
        <w:t xml:space="preserve"> </w:t>
      </w:r>
      <w:r>
        <w:rPr>
          <w:sz w:val="20"/>
          <w:szCs w:val="20"/>
          <w:lang w:val="lt-LT"/>
        </w:rPr>
        <w:t>ir įmonės A finansiniais duomenimis</w:t>
      </w:r>
      <w:r w:rsidRPr="00ED3D25">
        <w:rPr>
          <w:sz w:val="20"/>
          <w:szCs w:val="20"/>
          <w:lang w:val="lt-LT"/>
        </w:rPr>
        <w:t>.</w:t>
      </w:r>
    </w:p>
    <w:p w:rsidR="004A39CD" w:rsidRPr="00C2492C" w:rsidRDefault="004A39CD" w:rsidP="00C2492C">
      <w:pPr>
        <w:spacing w:after="0" w:line="240" w:lineRule="auto"/>
        <w:rPr>
          <w:sz w:val="14"/>
          <w:szCs w:val="14"/>
          <w:lang w:val="lt-LT"/>
        </w:rPr>
      </w:pPr>
    </w:p>
    <w:p w:rsidR="00062716" w:rsidRPr="00C2492C" w:rsidRDefault="003A5AEE" w:rsidP="00746E75">
      <w:pPr>
        <w:spacing w:after="0"/>
        <w:ind w:firstLine="851"/>
        <w:rPr>
          <w:lang w:val="lt-LT"/>
        </w:rPr>
      </w:pPr>
      <w:r>
        <w:rPr>
          <w:lang w:val="lt-LT"/>
        </w:rPr>
        <w:t xml:space="preserve">Vertinant </w:t>
      </w:r>
      <w:r w:rsidR="00A336C2">
        <w:rPr>
          <w:lang w:val="lt-LT"/>
        </w:rPr>
        <w:t>pelningumo rodiklius</w:t>
      </w:r>
      <w:r>
        <w:rPr>
          <w:lang w:val="lt-LT"/>
        </w:rPr>
        <w:t xml:space="preserve"> (žr. </w:t>
      </w:r>
      <w:r w:rsidR="00746E75">
        <w:rPr>
          <w:lang w:val="lt-LT"/>
        </w:rPr>
        <w:t xml:space="preserve">23 </w:t>
      </w:r>
      <w:r>
        <w:rPr>
          <w:lang w:val="lt-LT"/>
        </w:rPr>
        <w:t>lentelę) matyti, kad įmonės ROA rodiklis 4,5 proc. žeme</w:t>
      </w:r>
      <w:r w:rsidR="00AA1B26">
        <w:rPr>
          <w:lang w:val="lt-LT"/>
        </w:rPr>
        <w:t xml:space="preserve">snis už sektoriaus. Tačiau tą </w:t>
      </w:r>
      <w:r>
        <w:rPr>
          <w:lang w:val="lt-LT"/>
        </w:rPr>
        <w:t>lėmė įmonės investicinė veikla</w:t>
      </w:r>
      <w:r w:rsidR="00AA1B26">
        <w:rPr>
          <w:lang w:val="lt-LT"/>
        </w:rPr>
        <w:t>,  dėl to grynojo pelno uždirbt</w:t>
      </w:r>
      <w:r>
        <w:rPr>
          <w:lang w:val="lt-LT"/>
        </w:rPr>
        <w:t>a mažiau. Tą patį galima pasakyti ir apie ROE. Sektoriaus ROE taip pat mažėjo visu trijų metų laikotarpiu, t.</w:t>
      </w:r>
      <w:r w:rsidR="00F6363A">
        <w:rPr>
          <w:lang w:val="lt-LT"/>
        </w:rPr>
        <w:t xml:space="preserve"> y. nuo 22 proc. iki 12,6 proc., kai tuo metu įmonės A šiuo laikota</w:t>
      </w:r>
      <w:r w:rsidR="00AA1B26">
        <w:rPr>
          <w:lang w:val="lt-LT"/>
        </w:rPr>
        <w:t>rpiu nors ir nežymiai, bet</w:t>
      </w:r>
      <w:r w:rsidR="00F6363A">
        <w:rPr>
          <w:lang w:val="lt-LT"/>
        </w:rPr>
        <w:t xml:space="preserve"> didėja. </w:t>
      </w:r>
      <w:r w:rsidR="008B03D9">
        <w:rPr>
          <w:szCs w:val="24"/>
          <w:lang w:val="lt-LT"/>
        </w:rPr>
        <w:t>Nors grynojo pelningumo rodiklių skirtumas yra neigiamas, šiuo atveju jis skiriasi tik minimaliai, tad įmonės A grynasis pelningumas yra nors ir šiek tiek mažesnis, tačiau labai artimas sektoriaus, kurio rodiklis vis krito, o įmonės atvirkščiai – augo.</w:t>
      </w:r>
    </w:p>
    <w:p w:rsidR="004A39CD" w:rsidRPr="00ED3D25" w:rsidRDefault="00746E75" w:rsidP="004A39CD">
      <w:pPr>
        <w:spacing w:after="0"/>
        <w:ind w:firstLine="851"/>
        <w:jc w:val="right"/>
        <w:rPr>
          <w:b/>
          <w:bCs/>
          <w:lang w:val="lt-LT"/>
        </w:rPr>
      </w:pPr>
      <w:r>
        <w:rPr>
          <w:b/>
          <w:bCs/>
          <w:lang w:val="lt-LT"/>
        </w:rPr>
        <w:t>24</w:t>
      </w:r>
      <w:r w:rsidR="004A39CD" w:rsidRPr="00ED3D25">
        <w:rPr>
          <w:b/>
          <w:bCs/>
          <w:lang w:val="lt-LT"/>
        </w:rPr>
        <w:t xml:space="preserve"> lentelė</w:t>
      </w:r>
    </w:p>
    <w:p w:rsidR="004A39CD" w:rsidRPr="00ED3D25" w:rsidRDefault="00A336C2" w:rsidP="00633652">
      <w:pPr>
        <w:spacing w:after="0" w:line="240" w:lineRule="auto"/>
        <w:jc w:val="center"/>
        <w:rPr>
          <w:b/>
          <w:bCs/>
          <w:sz w:val="22"/>
          <w:szCs w:val="20"/>
          <w:lang w:val="lt-LT"/>
        </w:rPr>
      </w:pPr>
      <w:r>
        <w:rPr>
          <w:b/>
          <w:bCs/>
          <w:sz w:val="22"/>
          <w:szCs w:val="20"/>
          <w:lang w:val="lt-LT"/>
        </w:rPr>
        <w:t>Įmonė B</w:t>
      </w:r>
      <w:r w:rsidR="00633652">
        <w:rPr>
          <w:b/>
          <w:bCs/>
          <w:sz w:val="22"/>
          <w:szCs w:val="20"/>
          <w:lang w:val="lt-LT"/>
        </w:rPr>
        <w:t xml:space="preserve"> finansinių rodiklių palyginimas su</w:t>
      </w:r>
      <w:r>
        <w:rPr>
          <w:b/>
          <w:bCs/>
          <w:sz w:val="22"/>
          <w:szCs w:val="20"/>
          <w:lang w:val="lt-LT"/>
        </w:rPr>
        <w:t xml:space="preserve"> k</w:t>
      </w:r>
      <w:r w:rsidR="00152D62">
        <w:rPr>
          <w:b/>
          <w:bCs/>
          <w:sz w:val="22"/>
          <w:szCs w:val="20"/>
          <w:lang w:val="lt-LT"/>
        </w:rPr>
        <w:t>itų metalo gaminių gamybos s</w:t>
      </w:r>
      <w:r w:rsidR="004A39CD" w:rsidRPr="00ED3D25">
        <w:rPr>
          <w:b/>
          <w:bCs/>
          <w:sz w:val="22"/>
          <w:szCs w:val="20"/>
          <w:lang w:val="lt-LT"/>
        </w:rPr>
        <w:t>ektoriaus</w:t>
      </w:r>
      <w:r w:rsidR="00633652">
        <w:rPr>
          <w:b/>
          <w:bCs/>
          <w:sz w:val="22"/>
          <w:szCs w:val="20"/>
          <w:lang w:val="lt-LT"/>
        </w:rPr>
        <w:t xml:space="preserve"> finansiniais </w:t>
      </w:r>
      <w:r w:rsidR="002261A4">
        <w:rPr>
          <w:b/>
          <w:bCs/>
          <w:sz w:val="22"/>
          <w:szCs w:val="20"/>
          <w:lang w:val="lt-LT"/>
        </w:rPr>
        <w:t>rodikli</w:t>
      </w:r>
      <w:r w:rsidR="00633652">
        <w:rPr>
          <w:b/>
          <w:bCs/>
          <w:sz w:val="22"/>
          <w:szCs w:val="20"/>
          <w:lang w:val="lt-LT"/>
        </w:rPr>
        <w:t>ais</w:t>
      </w:r>
    </w:p>
    <w:p w:rsidR="004A39CD" w:rsidRDefault="004A39CD" w:rsidP="002261A4">
      <w:pPr>
        <w:spacing w:after="0" w:line="240" w:lineRule="auto"/>
        <w:ind w:firstLine="851"/>
        <w:rPr>
          <w:b/>
          <w:bCs/>
          <w:sz w:val="22"/>
          <w:szCs w:val="20"/>
          <w:lang w:val="lt-LT"/>
        </w:rPr>
      </w:pPr>
    </w:p>
    <w:tbl>
      <w:tblPr>
        <w:tblStyle w:val="TableGrid"/>
        <w:tblW w:w="5000" w:type="pct"/>
        <w:jc w:val="center"/>
        <w:tblLook w:val="04A0" w:firstRow="1" w:lastRow="0" w:firstColumn="1" w:lastColumn="0" w:noHBand="0" w:noVBand="1"/>
      </w:tblPr>
      <w:tblGrid>
        <w:gridCol w:w="769"/>
        <w:gridCol w:w="935"/>
        <w:gridCol w:w="1053"/>
        <w:gridCol w:w="1114"/>
        <w:gridCol w:w="825"/>
        <w:gridCol w:w="1053"/>
        <w:gridCol w:w="1114"/>
        <w:gridCol w:w="825"/>
        <w:gridCol w:w="1053"/>
        <w:gridCol w:w="1114"/>
      </w:tblGrid>
      <w:tr w:rsidR="00A336C2" w:rsidRPr="00ED3D25" w:rsidTr="00A336C2">
        <w:trPr>
          <w:jc w:val="center"/>
        </w:trPr>
        <w:tc>
          <w:tcPr>
            <w:tcW w:w="409" w:type="pct"/>
            <w:vMerge w:val="restart"/>
            <w:tcBorders>
              <w:right w:val="single" w:sz="18" w:space="0" w:color="auto"/>
              <w:tl2br w:val="single" w:sz="4" w:space="0" w:color="auto"/>
            </w:tcBorders>
            <w:vAlign w:val="center"/>
          </w:tcPr>
          <w:p w:rsidR="00A336C2" w:rsidRDefault="00A336C2" w:rsidP="00B8281A">
            <w:pPr>
              <w:spacing w:line="240" w:lineRule="auto"/>
              <w:jc w:val="right"/>
              <w:rPr>
                <w:b/>
                <w:bCs/>
                <w:lang w:val="lt-LT"/>
              </w:rPr>
            </w:pPr>
            <w:r w:rsidRPr="00FB3A63">
              <w:rPr>
                <w:b/>
                <w:bCs/>
                <w:lang w:val="lt-LT"/>
              </w:rPr>
              <w:t>Rod.</w:t>
            </w:r>
          </w:p>
          <w:p w:rsidR="00A336C2" w:rsidRPr="00B8281A" w:rsidRDefault="00A336C2" w:rsidP="00B8281A">
            <w:pPr>
              <w:spacing w:line="240" w:lineRule="auto"/>
              <w:rPr>
                <w:b/>
                <w:bCs/>
                <w:lang w:val="lt-LT"/>
              </w:rPr>
            </w:pPr>
            <w:r w:rsidRPr="00FB3A63">
              <w:rPr>
                <w:b/>
                <w:bCs/>
                <w:lang w:val="lt-LT"/>
              </w:rPr>
              <w:t>Metai</w:t>
            </w:r>
          </w:p>
        </w:tc>
        <w:tc>
          <w:tcPr>
            <w:tcW w:w="1567" w:type="pct"/>
            <w:gridSpan w:val="3"/>
            <w:tcBorders>
              <w:left w:val="single" w:sz="18" w:space="0" w:color="auto"/>
              <w:bottom w:val="single" w:sz="4" w:space="0" w:color="auto"/>
              <w:right w:val="single" w:sz="18" w:space="0" w:color="auto"/>
            </w:tcBorders>
          </w:tcPr>
          <w:p w:rsidR="00A336C2" w:rsidRPr="006A7328" w:rsidRDefault="00A336C2" w:rsidP="006A7328">
            <w:pPr>
              <w:spacing w:line="240" w:lineRule="auto"/>
              <w:jc w:val="center"/>
              <w:rPr>
                <w:rFonts w:asciiTheme="majorBidi" w:hAnsiTheme="majorBidi" w:cstheme="majorBidi"/>
                <w:b/>
                <w:bCs/>
                <w:lang w:val="lt-LT"/>
              </w:rPr>
            </w:pPr>
            <w:r w:rsidRPr="006A7328">
              <w:rPr>
                <w:b/>
                <w:bCs/>
                <w:lang w:val="lt-LT"/>
              </w:rPr>
              <w:t>Einamasis likvidumas</w:t>
            </w:r>
          </w:p>
        </w:tc>
        <w:tc>
          <w:tcPr>
            <w:tcW w:w="1512" w:type="pct"/>
            <w:gridSpan w:val="3"/>
            <w:tcBorders>
              <w:left w:val="single" w:sz="18" w:space="0" w:color="auto"/>
              <w:bottom w:val="single" w:sz="4" w:space="0" w:color="auto"/>
              <w:right w:val="single" w:sz="18" w:space="0" w:color="auto"/>
            </w:tcBorders>
          </w:tcPr>
          <w:p w:rsidR="00A336C2" w:rsidRPr="006A7328" w:rsidRDefault="00A336C2" w:rsidP="006A7328">
            <w:pPr>
              <w:spacing w:line="240" w:lineRule="auto"/>
              <w:jc w:val="center"/>
              <w:rPr>
                <w:rFonts w:asciiTheme="majorBidi" w:hAnsiTheme="majorBidi" w:cstheme="majorBidi"/>
                <w:b/>
                <w:bCs/>
                <w:lang w:val="lt-LT"/>
              </w:rPr>
            </w:pPr>
            <w:r w:rsidRPr="006A7328">
              <w:rPr>
                <w:rFonts w:asciiTheme="majorBidi" w:hAnsiTheme="majorBidi" w:cstheme="majorBidi"/>
                <w:b/>
                <w:bCs/>
                <w:lang w:val="lt-LT"/>
              </w:rPr>
              <w:t>Įsiskolinimų koeficientas</w:t>
            </w:r>
          </w:p>
        </w:tc>
        <w:tc>
          <w:tcPr>
            <w:tcW w:w="1512" w:type="pct"/>
            <w:gridSpan w:val="3"/>
            <w:tcBorders>
              <w:left w:val="single" w:sz="18" w:space="0" w:color="auto"/>
              <w:bottom w:val="single" w:sz="4" w:space="0" w:color="auto"/>
              <w:right w:val="single" w:sz="18" w:space="0" w:color="auto"/>
            </w:tcBorders>
            <w:vAlign w:val="center"/>
          </w:tcPr>
          <w:p w:rsidR="00A336C2" w:rsidRPr="00152D62" w:rsidRDefault="00A336C2" w:rsidP="001F4EB1">
            <w:pPr>
              <w:spacing w:line="240" w:lineRule="auto"/>
              <w:jc w:val="center"/>
              <w:rPr>
                <w:b/>
                <w:bCs/>
                <w:lang w:val="lt-LT"/>
              </w:rPr>
            </w:pPr>
            <w:r w:rsidRPr="00152D62">
              <w:rPr>
                <w:b/>
                <w:bCs/>
                <w:lang w:val="lt-LT"/>
              </w:rPr>
              <w:t>Turto apyvartumas</w:t>
            </w:r>
          </w:p>
        </w:tc>
      </w:tr>
      <w:tr w:rsidR="00A336C2" w:rsidRPr="00ED3D25" w:rsidTr="00A336C2">
        <w:trPr>
          <w:jc w:val="center"/>
        </w:trPr>
        <w:tc>
          <w:tcPr>
            <w:tcW w:w="409" w:type="pct"/>
            <w:vMerge/>
            <w:tcBorders>
              <w:right w:val="single" w:sz="18" w:space="0" w:color="auto"/>
            </w:tcBorders>
            <w:vAlign w:val="bottom"/>
          </w:tcPr>
          <w:p w:rsidR="00A336C2" w:rsidRPr="0018696A" w:rsidRDefault="00A336C2" w:rsidP="00FB3A63">
            <w:pPr>
              <w:spacing w:line="240" w:lineRule="auto"/>
              <w:rPr>
                <w:lang w:val="lt-LT"/>
              </w:rPr>
            </w:pPr>
          </w:p>
        </w:tc>
        <w:tc>
          <w:tcPr>
            <w:tcW w:w="472" w:type="pct"/>
            <w:tcBorders>
              <w:left w:val="single" w:sz="18" w:space="0" w:color="auto"/>
              <w:bottom w:val="single" w:sz="18" w:space="0" w:color="auto"/>
            </w:tcBorders>
          </w:tcPr>
          <w:p w:rsidR="00A336C2" w:rsidRPr="00F93BAF" w:rsidRDefault="00A336C2" w:rsidP="006A7328">
            <w:pPr>
              <w:spacing w:line="240" w:lineRule="auto"/>
              <w:jc w:val="center"/>
              <w:rPr>
                <w:b/>
                <w:bCs/>
                <w:lang w:val="lt-LT"/>
              </w:rPr>
            </w:pPr>
            <w:r>
              <w:rPr>
                <w:lang w:val="lt-LT"/>
              </w:rPr>
              <w:t>Įmonė</w:t>
            </w:r>
          </w:p>
        </w:tc>
        <w:tc>
          <w:tcPr>
            <w:tcW w:w="532" w:type="pct"/>
            <w:tcBorders>
              <w:bottom w:val="single" w:sz="18" w:space="0" w:color="auto"/>
            </w:tcBorders>
          </w:tcPr>
          <w:p w:rsidR="00A336C2" w:rsidRPr="00F93BAF" w:rsidRDefault="00A336C2" w:rsidP="006A7328">
            <w:pPr>
              <w:spacing w:line="240" w:lineRule="auto"/>
              <w:jc w:val="center"/>
              <w:rPr>
                <w:b/>
                <w:bCs/>
                <w:lang w:val="lt-LT"/>
              </w:rPr>
            </w:pPr>
            <w:r>
              <w:rPr>
                <w:lang w:val="lt-LT"/>
              </w:rPr>
              <w:t>Sektorius</w:t>
            </w:r>
          </w:p>
        </w:tc>
        <w:tc>
          <w:tcPr>
            <w:tcW w:w="563" w:type="pct"/>
            <w:tcBorders>
              <w:bottom w:val="single" w:sz="18" w:space="0" w:color="auto"/>
              <w:right w:val="single" w:sz="18" w:space="0" w:color="auto"/>
            </w:tcBorders>
          </w:tcPr>
          <w:p w:rsidR="00A336C2" w:rsidRDefault="00A336C2" w:rsidP="006A7328">
            <w:pPr>
              <w:spacing w:line="240" w:lineRule="auto"/>
              <w:jc w:val="center"/>
              <w:rPr>
                <w:b/>
                <w:bCs/>
                <w:lang w:val="lt-LT"/>
              </w:rPr>
            </w:pPr>
            <w:r>
              <w:rPr>
                <w:lang w:val="lt-LT"/>
              </w:rPr>
              <w:t>Skirtumas</w:t>
            </w:r>
          </w:p>
        </w:tc>
        <w:tc>
          <w:tcPr>
            <w:tcW w:w="417" w:type="pct"/>
            <w:tcBorders>
              <w:left w:val="single" w:sz="18" w:space="0" w:color="auto"/>
              <w:bottom w:val="single" w:sz="18" w:space="0" w:color="auto"/>
            </w:tcBorders>
          </w:tcPr>
          <w:p w:rsidR="00A336C2" w:rsidRPr="00F93BAF" w:rsidRDefault="00A336C2" w:rsidP="006A7328">
            <w:pPr>
              <w:spacing w:line="240" w:lineRule="auto"/>
              <w:jc w:val="center"/>
              <w:rPr>
                <w:b/>
                <w:bCs/>
                <w:lang w:val="lt-LT"/>
              </w:rPr>
            </w:pPr>
            <w:r>
              <w:rPr>
                <w:lang w:val="lt-LT"/>
              </w:rPr>
              <w:t>Įmonė</w:t>
            </w:r>
          </w:p>
        </w:tc>
        <w:tc>
          <w:tcPr>
            <w:tcW w:w="532" w:type="pct"/>
            <w:tcBorders>
              <w:bottom w:val="single" w:sz="18" w:space="0" w:color="auto"/>
            </w:tcBorders>
          </w:tcPr>
          <w:p w:rsidR="00A336C2" w:rsidRPr="00F93BAF" w:rsidRDefault="00A336C2" w:rsidP="006A7328">
            <w:pPr>
              <w:spacing w:line="240" w:lineRule="auto"/>
              <w:jc w:val="center"/>
              <w:rPr>
                <w:b/>
                <w:bCs/>
                <w:lang w:val="lt-LT"/>
              </w:rPr>
            </w:pPr>
            <w:r>
              <w:rPr>
                <w:lang w:val="lt-LT"/>
              </w:rPr>
              <w:t>Sektorius</w:t>
            </w:r>
          </w:p>
        </w:tc>
        <w:tc>
          <w:tcPr>
            <w:tcW w:w="563" w:type="pct"/>
            <w:tcBorders>
              <w:bottom w:val="single" w:sz="18" w:space="0" w:color="auto"/>
              <w:right w:val="single" w:sz="18" w:space="0" w:color="auto"/>
            </w:tcBorders>
          </w:tcPr>
          <w:p w:rsidR="00A336C2" w:rsidRDefault="00A336C2" w:rsidP="006A7328">
            <w:pPr>
              <w:spacing w:line="240" w:lineRule="auto"/>
              <w:jc w:val="center"/>
              <w:rPr>
                <w:b/>
                <w:bCs/>
                <w:lang w:val="lt-LT"/>
              </w:rPr>
            </w:pPr>
            <w:r>
              <w:rPr>
                <w:lang w:val="lt-LT"/>
              </w:rPr>
              <w:t>Skirtumas</w:t>
            </w:r>
          </w:p>
        </w:tc>
        <w:tc>
          <w:tcPr>
            <w:tcW w:w="417" w:type="pct"/>
            <w:tcBorders>
              <w:left w:val="single" w:sz="18" w:space="0" w:color="auto"/>
              <w:bottom w:val="single" w:sz="18" w:space="0" w:color="auto"/>
            </w:tcBorders>
            <w:vAlign w:val="center"/>
          </w:tcPr>
          <w:p w:rsidR="00A336C2" w:rsidRPr="006A7328" w:rsidRDefault="00A336C2" w:rsidP="001F4EB1">
            <w:pPr>
              <w:spacing w:line="240" w:lineRule="auto"/>
              <w:jc w:val="center"/>
              <w:rPr>
                <w:lang w:val="lt-LT"/>
              </w:rPr>
            </w:pPr>
            <w:r w:rsidRPr="006A7328">
              <w:rPr>
                <w:lang w:val="lt-LT"/>
              </w:rPr>
              <w:t>Įmonė</w:t>
            </w:r>
          </w:p>
        </w:tc>
        <w:tc>
          <w:tcPr>
            <w:tcW w:w="532" w:type="pct"/>
            <w:tcBorders>
              <w:bottom w:val="single" w:sz="18" w:space="0" w:color="auto"/>
            </w:tcBorders>
            <w:vAlign w:val="center"/>
          </w:tcPr>
          <w:p w:rsidR="00A336C2" w:rsidRPr="006A7328" w:rsidRDefault="00A336C2" w:rsidP="001F4EB1">
            <w:pPr>
              <w:spacing w:line="240" w:lineRule="auto"/>
              <w:jc w:val="center"/>
              <w:rPr>
                <w:lang w:val="lt-LT"/>
              </w:rPr>
            </w:pPr>
            <w:r w:rsidRPr="006A7328">
              <w:rPr>
                <w:lang w:val="lt-LT"/>
              </w:rPr>
              <w:t>Sektorius</w:t>
            </w:r>
          </w:p>
        </w:tc>
        <w:tc>
          <w:tcPr>
            <w:tcW w:w="563" w:type="pct"/>
            <w:tcBorders>
              <w:bottom w:val="single" w:sz="18" w:space="0" w:color="auto"/>
              <w:right w:val="single" w:sz="18" w:space="0" w:color="auto"/>
            </w:tcBorders>
            <w:vAlign w:val="center"/>
          </w:tcPr>
          <w:p w:rsidR="00A336C2" w:rsidRPr="006A7328" w:rsidRDefault="00A336C2" w:rsidP="001F4EB1">
            <w:pPr>
              <w:spacing w:line="240" w:lineRule="auto"/>
              <w:jc w:val="center"/>
              <w:rPr>
                <w:lang w:val="lt-LT"/>
              </w:rPr>
            </w:pPr>
            <w:r w:rsidRPr="006A7328">
              <w:rPr>
                <w:lang w:val="lt-LT"/>
              </w:rPr>
              <w:t>Skirtumas</w:t>
            </w:r>
          </w:p>
        </w:tc>
      </w:tr>
      <w:tr w:rsidR="00A336C2" w:rsidRPr="00ED3D25" w:rsidTr="00A336C2">
        <w:trPr>
          <w:jc w:val="center"/>
        </w:trPr>
        <w:tc>
          <w:tcPr>
            <w:tcW w:w="409" w:type="pct"/>
            <w:tcBorders>
              <w:right w:val="single" w:sz="18" w:space="0" w:color="auto"/>
            </w:tcBorders>
          </w:tcPr>
          <w:p w:rsidR="00A336C2" w:rsidRPr="006A7328" w:rsidRDefault="00A336C2" w:rsidP="00FB3A63">
            <w:pPr>
              <w:spacing w:line="240" w:lineRule="auto"/>
              <w:rPr>
                <w:b/>
                <w:bCs/>
                <w:lang w:val="lt-LT"/>
              </w:rPr>
            </w:pPr>
            <w:r w:rsidRPr="006A7328">
              <w:rPr>
                <w:b/>
                <w:bCs/>
                <w:lang w:val="lt-LT"/>
              </w:rPr>
              <w:t xml:space="preserve">2011 </w:t>
            </w:r>
          </w:p>
        </w:tc>
        <w:tc>
          <w:tcPr>
            <w:tcW w:w="472" w:type="pct"/>
            <w:tcBorders>
              <w:top w:val="single" w:sz="18" w:space="0" w:color="auto"/>
              <w:left w:val="single" w:sz="18" w:space="0" w:color="auto"/>
            </w:tcBorders>
            <w:vAlign w:val="center"/>
          </w:tcPr>
          <w:p w:rsidR="00A336C2" w:rsidRPr="00152D62" w:rsidRDefault="00A336C2" w:rsidP="006A7328">
            <w:pPr>
              <w:spacing w:line="240" w:lineRule="auto"/>
              <w:jc w:val="center"/>
              <w:rPr>
                <w:rFonts w:asciiTheme="majorBidi" w:hAnsiTheme="majorBidi" w:cstheme="majorBidi"/>
                <w:lang w:val="lt-LT"/>
              </w:rPr>
            </w:pPr>
            <w:r w:rsidRPr="00152D62">
              <w:rPr>
                <w:rFonts w:asciiTheme="majorBidi" w:hAnsiTheme="majorBidi" w:cstheme="majorBidi"/>
                <w:lang w:val="lt-LT"/>
              </w:rPr>
              <w:t>30,3331</w:t>
            </w:r>
          </w:p>
        </w:tc>
        <w:tc>
          <w:tcPr>
            <w:tcW w:w="532" w:type="pct"/>
            <w:tcBorders>
              <w:top w:val="single" w:sz="18" w:space="0" w:color="auto"/>
            </w:tcBorders>
            <w:vAlign w:val="center"/>
          </w:tcPr>
          <w:p w:rsidR="00A336C2" w:rsidRPr="00152D62" w:rsidRDefault="00A336C2" w:rsidP="006A7328">
            <w:pPr>
              <w:spacing w:line="240" w:lineRule="auto"/>
              <w:jc w:val="center"/>
              <w:rPr>
                <w:rFonts w:asciiTheme="majorBidi" w:hAnsiTheme="majorBidi" w:cstheme="majorBidi"/>
                <w:color w:val="000000"/>
              </w:rPr>
            </w:pPr>
            <w:r w:rsidRPr="00152D62">
              <w:rPr>
                <w:rFonts w:asciiTheme="majorBidi" w:hAnsiTheme="majorBidi" w:cstheme="majorBidi"/>
                <w:color w:val="000000"/>
              </w:rPr>
              <w:t>1,78</w:t>
            </w:r>
          </w:p>
        </w:tc>
        <w:tc>
          <w:tcPr>
            <w:tcW w:w="563" w:type="pct"/>
            <w:tcBorders>
              <w:top w:val="single" w:sz="18" w:space="0" w:color="auto"/>
              <w:right w:val="single" w:sz="18" w:space="0" w:color="auto"/>
            </w:tcBorders>
            <w:vAlign w:val="center"/>
          </w:tcPr>
          <w:p w:rsidR="00A336C2" w:rsidRPr="00152D62" w:rsidRDefault="00A336C2" w:rsidP="006A7328">
            <w:pPr>
              <w:spacing w:line="240" w:lineRule="auto"/>
              <w:jc w:val="center"/>
              <w:rPr>
                <w:rFonts w:asciiTheme="majorBidi" w:hAnsiTheme="majorBidi" w:cstheme="majorBidi"/>
              </w:rPr>
            </w:pPr>
            <w:r w:rsidRPr="00152D62">
              <w:rPr>
                <w:rFonts w:asciiTheme="majorBidi" w:hAnsiTheme="majorBidi" w:cstheme="majorBidi"/>
                <w:lang w:val="lt-LT"/>
              </w:rPr>
              <w:t>28,5531</w:t>
            </w:r>
          </w:p>
        </w:tc>
        <w:tc>
          <w:tcPr>
            <w:tcW w:w="417" w:type="pct"/>
            <w:tcBorders>
              <w:top w:val="single" w:sz="18" w:space="0" w:color="auto"/>
              <w:left w:val="single" w:sz="18" w:space="0" w:color="auto"/>
            </w:tcBorders>
            <w:vAlign w:val="center"/>
          </w:tcPr>
          <w:p w:rsidR="00A336C2" w:rsidRPr="00152D62" w:rsidRDefault="00A336C2" w:rsidP="006A7328">
            <w:pPr>
              <w:spacing w:line="240" w:lineRule="auto"/>
              <w:jc w:val="center"/>
              <w:rPr>
                <w:rFonts w:asciiTheme="majorBidi" w:hAnsiTheme="majorBidi" w:cstheme="majorBidi"/>
                <w:lang w:val="lt-LT"/>
              </w:rPr>
            </w:pPr>
            <w:r w:rsidRPr="00152D62">
              <w:rPr>
                <w:rFonts w:asciiTheme="majorBidi" w:hAnsiTheme="majorBidi" w:cstheme="majorBidi"/>
                <w:lang w:val="lt-LT"/>
              </w:rPr>
              <w:t>0,3356</w:t>
            </w:r>
          </w:p>
        </w:tc>
        <w:tc>
          <w:tcPr>
            <w:tcW w:w="532" w:type="pct"/>
            <w:tcBorders>
              <w:top w:val="single" w:sz="18" w:space="0" w:color="auto"/>
            </w:tcBorders>
            <w:vAlign w:val="center"/>
          </w:tcPr>
          <w:p w:rsidR="00A336C2" w:rsidRPr="00152D62" w:rsidRDefault="00A336C2" w:rsidP="006A7328">
            <w:pPr>
              <w:spacing w:line="240" w:lineRule="auto"/>
              <w:jc w:val="center"/>
              <w:rPr>
                <w:rFonts w:asciiTheme="majorBidi" w:hAnsiTheme="majorBidi" w:cstheme="majorBidi"/>
                <w:color w:val="000000"/>
              </w:rPr>
            </w:pPr>
            <w:r w:rsidRPr="00152D62">
              <w:rPr>
                <w:rFonts w:asciiTheme="majorBidi" w:hAnsiTheme="majorBidi" w:cstheme="majorBidi"/>
                <w:color w:val="000000"/>
              </w:rPr>
              <w:t>0,53</w:t>
            </w:r>
          </w:p>
        </w:tc>
        <w:tc>
          <w:tcPr>
            <w:tcW w:w="563" w:type="pct"/>
            <w:tcBorders>
              <w:top w:val="single" w:sz="18" w:space="0" w:color="auto"/>
              <w:right w:val="single" w:sz="18" w:space="0" w:color="auto"/>
            </w:tcBorders>
            <w:vAlign w:val="center"/>
          </w:tcPr>
          <w:p w:rsidR="00A336C2" w:rsidRPr="00152D62" w:rsidRDefault="00A336C2" w:rsidP="006A7328">
            <w:pPr>
              <w:spacing w:line="240" w:lineRule="auto"/>
              <w:jc w:val="center"/>
              <w:rPr>
                <w:rFonts w:asciiTheme="majorBidi" w:hAnsiTheme="majorBidi" w:cstheme="majorBidi"/>
              </w:rPr>
            </w:pPr>
            <w:r w:rsidRPr="00152D62">
              <w:rPr>
                <w:rFonts w:asciiTheme="majorBidi" w:hAnsiTheme="majorBidi" w:cstheme="majorBidi"/>
                <w:lang w:val="lt-LT"/>
              </w:rPr>
              <w:t>-0,1944</w:t>
            </w:r>
          </w:p>
        </w:tc>
        <w:tc>
          <w:tcPr>
            <w:tcW w:w="417" w:type="pct"/>
            <w:tcBorders>
              <w:top w:val="single" w:sz="18" w:space="0" w:color="auto"/>
              <w:left w:val="single" w:sz="18" w:space="0" w:color="auto"/>
            </w:tcBorders>
            <w:vAlign w:val="center"/>
          </w:tcPr>
          <w:p w:rsidR="00A336C2" w:rsidRPr="00152D62" w:rsidRDefault="00A336C2" w:rsidP="001F4EB1">
            <w:pPr>
              <w:spacing w:line="240" w:lineRule="auto"/>
              <w:jc w:val="center"/>
              <w:rPr>
                <w:lang w:val="lt-LT"/>
              </w:rPr>
            </w:pPr>
            <w:r w:rsidRPr="00152D62">
              <w:rPr>
                <w:lang w:val="lt-LT"/>
              </w:rPr>
              <w:t>-</w:t>
            </w:r>
          </w:p>
        </w:tc>
        <w:tc>
          <w:tcPr>
            <w:tcW w:w="532" w:type="pct"/>
            <w:tcBorders>
              <w:top w:val="single" w:sz="18" w:space="0" w:color="auto"/>
            </w:tcBorders>
            <w:vAlign w:val="center"/>
          </w:tcPr>
          <w:p w:rsidR="00A336C2" w:rsidRPr="00152D62" w:rsidRDefault="00A336C2" w:rsidP="001F4EB1">
            <w:pPr>
              <w:spacing w:line="240" w:lineRule="auto"/>
              <w:jc w:val="center"/>
              <w:rPr>
                <w:color w:val="000000"/>
              </w:rPr>
            </w:pPr>
            <w:r w:rsidRPr="00152D62">
              <w:rPr>
                <w:color w:val="000000"/>
              </w:rPr>
              <w:t>1,36</w:t>
            </w:r>
          </w:p>
        </w:tc>
        <w:tc>
          <w:tcPr>
            <w:tcW w:w="563" w:type="pct"/>
            <w:tcBorders>
              <w:top w:val="single" w:sz="18" w:space="0" w:color="auto"/>
              <w:right w:val="single" w:sz="18" w:space="0" w:color="auto"/>
            </w:tcBorders>
            <w:vAlign w:val="center"/>
          </w:tcPr>
          <w:p w:rsidR="00A336C2" w:rsidRPr="00152D62" w:rsidRDefault="00A336C2" w:rsidP="001F4EB1">
            <w:pPr>
              <w:spacing w:line="240" w:lineRule="auto"/>
              <w:jc w:val="center"/>
              <w:rPr>
                <w:b/>
                <w:bCs/>
                <w:lang w:val="lt-LT"/>
              </w:rPr>
            </w:pPr>
            <w:r w:rsidRPr="00152D62">
              <w:rPr>
                <w:b/>
                <w:bCs/>
                <w:lang w:val="lt-LT"/>
              </w:rPr>
              <w:t>-</w:t>
            </w:r>
          </w:p>
        </w:tc>
      </w:tr>
      <w:tr w:rsidR="00A336C2" w:rsidRPr="00ED3D25" w:rsidTr="00A336C2">
        <w:trPr>
          <w:jc w:val="center"/>
        </w:trPr>
        <w:tc>
          <w:tcPr>
            <w:tcW w:w="409" w:type="pct"/>
            <w:tcBorders>
              <w:right w:val="single" w:sz="18" w:space="0" w:color="auto"/>
            </w:tcBorders>
          </w:tcPr>
          <w:p w:rsidR="00A336C2" w:rsidRPr="006A7328" w:rsidRDefault="00A336C2" w:rsidP="00FB3A63">
            <w:pPr>
              <w:spacing w:line="240" w:lineRule="auto"/>
              <w:rPr>
                <w:rFonts w:asciiTheme="majorBidi" w:hAnsiTheme="majorBidi" w:cstheme="majorBidi"/>
                <w:b/>
                <w:bCs/>
                <w:lang w:val="lt-LT"/>
              </w:rPr>
            </w:pPr>
            <w:r w:rsidRPr="006A7328">
              <w:rPr>
                <w:rFonts w:asciiTheme="majorBidi" w:hAnsiTheme="majorBidi" w:cstheme="majorBidi"/>
                <w:b/>
                <w:bCs/>
                <w:lang w:val="lt-LT"/>
              </w:rPr>
              <w:t xml:space="preserve">2012 </w:t>
            </w:r>
          </w:p>
        </w:tc>
        <w:tc>
          <w:tcPr>
            <w:tcW w:w="472" w:type="pct"/>
            <w:tcBorders>
              <w:left w:val="single" w:sz="18" w:space="0" w:color="auto"/>
            </w:tcBorders>
            <w:vAlign w:val="center"/>
          </w:tcPr>
          <w:p w:rsidR="00A336C2" w:rsidRPr="00152D62" w:rsidRDefault="00A336C2" w:rsidP="006A7328">
            <w:pPr>
              <w:spacing w:line="240" w:lineRule="auto"/>
              <w:jc w:val="center"/>
              <w:rPr>
                <w:rFonts w:asciiTheme="majorBidi" w:hAnsiTheme="majorBidi" w:cstheme="majorBidi"/>
                <w:lang w:val="lt-LT"/>
              </w:rPr>
            </w:pPr>
            <w:r w:rsidRPr="00152D62">
              <w:rPr>
                <w:rFonts w:asciiTheme="majorBidi" w:hAnsiTheme="majorBidi" w:cstheme="majorBidi"/>
                <w:lang w:val="lt-LT"/>
              </w:rPr>
              <w:t>1,0274</w:t>
            </w:r>
          </w:p>
        </w:tc>
        <w:tc>
          <w:tcPr>
            <w:tcW w:w="532" w:type="pct"/>
            <w:vAlign w:val="center"/>
          </w:tcPr>
          <w:p w:rsidR="00A336C2" w:rsidRPr="00152D62" w:rsidRDefault="00A336C2" w:rsidP="006A7328">
            <w:pPr>
              <w:spacing w:line="240" w:lineRule="auto"/>
              <w:jc w:val="center"/>
              <w:rPr>
                <w:rFonts w:asciiTheme="majorBidi" w:hAnsiTheme="majorBidi" w:cstheme="majorBidi"/>
                <w:color w:val="000000"/>
              </w:rPr>
            </w:pPr>
            <w:r w:rsidRPr="00152D62">
              <w:rPr>
                <w:rFonts w:asciiTheme="majorBidi" w:hAnsiTheme="majorBidi" w:cstheme="majorBidi"/>
                <w:color w:val="000000"/>
              </w:rPr>
              <w:t>1,72</w:t>
            </w:r>
          </w:p>
        </w:tc>
        <w:tc>
          <w:tcPr>
            <w:tcW w:w="563" w:type="pct"/>
            <w:tcBorders>
              <w:right w:val="single" w:sz="18" w:space="0" w:color="auto"/>
            </w:tcBorders>
            <w:vAlign w:val="center"/>
          </w:tcPr>
          <w:p w:rsidR="00A336C2" w:rsidRPr="00152D62" w:rsidRDefault="00A336C2" w:rsidP="006A7328">
            <w:pPr>
              <w:spacing w:line="240" w:lineRule="auto"/>
              <w:jc w:val="center"/>
              <w:rPr>
                <w:rFonts w:asciiTheme="majorBidi" w:hAnsiTheme="majorBidi" w:cstheme="majorBidi"/>
              </w:rPr>
            </w:pPr>
            <w:r w:rsidRPr="00152D62">
              <w:rPr>
                <w:rFonts w:asciiTheme="majorBidi" w:hAnsiTheme="majorBidi" w:cstheme="majorBidi"/>
                <w:lang w:val="lt-LT"/>
              </w:rPr>
              <w:t>-0,6926</w:t>
            </w:r>
          </w:p>
        </w:tc>
        <w:tc>
          <w:tcPr>
            <w:tcW w:w="417" w:type="pct"/>
            <w:tcBorders>
              <w:left w:val="single" w:sz="18" w:space="0" w:color="auto"/>
            </w:tcBorders>
            <w:vAlign w:val="center"/>
          </w:tcPr>
          <w:p w:rsidR="00A336C2" w:rsidRPr="00152D62" w:rsidRDefault="00A336C2" w:rsidP="006A7328">
            <w:pPr>
              <w:spacing w:line="240" w:lineRule="auto"/>
              <w:jc w:val="center"/>
              <w:rPr>
                <w:rFonts w:asciiTheme="majorBidi" w:hAnsiTheme="majorBidi" w:cstheme="majorBidi"/>
                <w:lang w:val="lt-LT"/>
              </w:rPr>
            </w:pPr>
            <w:r w:rsidRPr="00152D62">
              <w:rPr>
                <w:rFonts w:asciiTheme="majorBidi" w:hAnsiTheme="majorBidi" w:cstheme="majorBidi"/>
                <w:lang w:val="lt-LT"/>
              </w:rPr>
              <w:t>0,8845</w:t>
            </w:r>
          </w:p>
        </w:tc>
        <w:tc>
          <w:tcPr>
            <w:tcW w:w="532" w:type="pct"/>
            <w:vAlign w:val="center"/>
          </w:tcPr>
          <w:p w:rsidR="00A336C2" w:rsidRPr="00152D62" w:rsidRDefault="00A336C2" w:rsidP="006A7328">
            <w:pPr>
              <w:spacing w:line="240" w:lineRule="auto"/>
              <w:jc w:val="center"/>
              <w:rPr>
                <w:rFonts w:asciiTheme="majorBidi" w:hAnsiTheme="majorBidi" w:cstheme="majorBidi"/>
                <w:color w:val="000000"/>
              </w:rPr>
            </w:pPr>
            <w:r w:rsidRPr="00152D62">
              <w:rPr>
                <w:rFonts w:asciiTheme="majorBidi" w:hAnsiTheme="majorBidi" w:cstheme="majorBidi"/>
                <w:color w:val="000000"/>
              </w:rPr>
              <w:t>0,54</w:t>
            </w:r>
          </w:p>
        </w:tc>
        <w:tc>
          <w:tcPr>
            <w:tcW w:w="563" w:type="pct"/>
            <w:tcBorders>
              <w:right w:val="single" w:sz="18" w:space="0" w:color="auto"/>
            </w:tcBorders>
            <w:vAlign w:val="center"/>
          </w:tcPr>
          <w:p w:rsidR="00A336C2" w:rsidRPr="00152D62" w:rsidRDefault="00A336C2" w:rsidP="006A7328">
            <w:pPr>
              <w:spacing w:line="240" w:lineRule="auto"/>
              <w:jc w:val="center"/>
              <w:rPr>
                <w:rFonts w:asciiTheme="majorBidi" w:hAnsiTheme="majorBidi" w:cstheme="majorBidi"/>
              </w:rPr>
            </w:pPr>
            <w:r w:rsidRPr="00152D62">
              <w:rPr>
                <w:rFonts w:asciiTheme="majorBidi" w:hAnsiTheme="majorBidi" w:cstheme="majorBidi"/>
                <w:lang w:val="lt-LT"/>
              </w:rPr>
              <w:t>0,3445</w:t>
            </w:r>
          </w:p>
        </w:tc>
        <w:tc>
          <w:tcPr>
            <w:tcW w:w="417" w:type="pct"/>
            <w:tcBorders>
              <w:left w:val="single" w:sz="18" w:space="0" w:color="auto"/>
            </w:tcBorders>
            <w:vAlign w:val="center"/>
          </w:tcPr>
          <w:p w:rsidR="00A336C2" w:rsidRPr="00152D62" w:rsidRDefault="00A336C2" w:rsidP="001F4EB1">
            <w:pPr>
              <w:spacing w:line="240" w:lineRule="auto"/>
              <w:jc w:val="center"/>
              <w:rPr>
                <w:lang w:val="lt-LT"/>
              </w:rPr>
            </w:pPr>
            <w:r w:rsidRPr="00152D62">
              <w:rPr>
                <w:lang w:val="lt-LT"/>
              </w:rPr>
              <w:t>-</w:t>
            </w:r>
          </w:p>
        </w:tc>
        <w:tc>
          <w:tcPr>
            <w:tcW w:w="532" w:type="pct"/>
            <w:vAlign w:val="center"/>
          </w:tcPr>
          <w:p w:rsidR="00A336C2" w:rsidRPr="00152D62" w:rsidRDefault="00A336C2" w:rsidP="001F4EB1">
            <w:pPr>
              <w:spacing w:line="240" w:lineRule="auto"/>
              <w:jc w:val="center"/>
              <w:rPr>
                <w:color w:val="000000"/>
              </w:rPr>
            </w:pPr>
            <w:r w:rsidRPr="00152D62">
              <w:rPr>
                <w:color w:val="000000"/>
              </w:rPr>
              <w:t>1,39</w:t>
            </w:r>
          </w:p>
        </w:tc>
        <w:tc>
          <w:tcPr>
            <w:tcW w:w="563" w:type="pct"/>
            <w:tcBorders>
              <w:right w:val="single" w:sz="18" w:space="0" w:color="auto"/>
            </w:tcBorders>
            <w:vAlign w:val="center"/>
          </w:tcPr>
          <w:p w:rsidR="00A336C2" w:rsidRPr="00152D62" w:rsidRDefault="00A336C2" w:rsidP="001F4EB1">
            <w:pPr>
              <w:spacing w:line="240" w:lineRule="auto"/>
              <w:jc w:val="center"/>
              <w:rPr>
                <w:lang w:val="lt-LT"/>
              </w:rPr>
            </w:pPr>
            <w:r w:rsidRPr="00152D62">
              <w:rPr>
                <w:lang w:val="lt-LT"/>
              </w:rPr>
              <w:t>-</w:t>
            </w:r>
          </w:p>
        </w:tc>
      </w:tr>
      <w:tr w:rsidR="00A336C2" w:rsidRPr="00ED3D25" w:rsidTr="00A336C2">
        <w:trPr>
          <w:jc w:val="center"/>
        </w:trPr>
        <w:tc>
          <w:tcPr>
            <w:tcW w:w="409" w:type="pct"/>
            <w:tcBorders>
              <w:right w:val="single" w:sz="18" w:space="0" w:color="auto"/>
            </w:tcBorders>
          </w:tcPr>
          <w:p w:rsidR="00A336C2" w:rsidRPr="006A7328" w:rsidRDefault="00A336C2" w:rsidP="00FB3A63">
            <w:pPr>
              <w:spacing w:line="240" w:lineRule="auto"/>
              <w:rPr>
                <w:b/>
                <w:bCs/>
                <w:lang w:val="lt-LT"/>
              </w:rPr>
            </w:pPr>
            <w:r w:rsidRPr="006A7328">
              <w:rPr>
                <w:b/>
                <w:bCs/>
                <w:lang w:val="lt-LT"/>
              </w:rPr>
              <w:t xml:space="preserve">2013 </w:t>
            </w:r>
          </w:p>
        </w:tc>
        <w:tc>
          <w:tcPr>
            <w:tcW w:w="472" w:type="pct"/>
            <w:tcBorders>
              <w:left w:val="single" w:sz="18" w:space="0" w:color="auto"/>
            </w:tcBorders>
            <w:vAlign w:val="center"/>
          </w:tcPr>
          <w:p w:rsidR="00A336C2" w:rsidRPr="00152D62" w:rsidRDefault="00A336C2" w:rsidP="006A7328">
            <w:pPr>
              <w:spacing w:line="240" w:lineRule="auto"/>
              <w:jc w:val="center"/>
              <w:rPr>
                <w:lang w:val="lt-LT"/>
              </w:rPr>
            </w:pPr>
            <w:r w:rsidRPr="00152D62">
              <w:rPr>
                <w:lang w:val="lt-LT"/>
              </w:rPr>
              <w:t>0,0164</w:t>
            </w:r>
          </w:p>
        </w:tc>
        <w:tc>
          <w:tcPr>
            <w:tcW w:w="532" w:type="pct"/>
            <w:vAlign w:val="center"/>
          </w:tcPr>
          <w:p w:rsidR="00A336C2" w:rsidRPr="00152D62" w:rsidRDefault="00A336C2" w:rsidP="006A7328">
            <w:pPr>
              <w:spacing w:line="240" w:lineRule="auto"/>
              <w:jc w:val="center"/>
              <w:rPr>
                <w:color w:val="000000"/>
              </w:rPr>
            </w:pPr>
            <w:r w:rsidRPr="00152D62">
              <w:rPr>
                <w:color w:val="000000"/>
              </w:rPr>
              <w:t>1,66</w:t>
            </w:r>
          </w:p>
        </w:tc>
        <w:tc>
          <w:tcPr>
            <w:tcW w:w="563" w:type="pct"/>
            <w:tcBorders>
              <w:right w:val="single" w:sz="18" w:space="0" w:color="auto"/>
            </w:tcBorders>
            <w:vAlign w:val="center"/>
          </w:tcPr>
          <w:p w:rsidR="00A336C2" w:rsidRPr="00152D62" w:rsidRDefault="00A336C2" w:rsidP="006A7328">
            <w:pPr>
              <w:spacing w:line="240" w:lineRule="auto"/>
              <w:jc w:val="center"/>
            </w:pPr>
            <w:r w:rsidRPr="00152D62">
              <w:rPr>
                <w:lang w:val="lt-LT"/>
              </w:rPr>
              <w:t>-1,6436</w:t>
            </w:r>
          </w:p>
        </w:tc>
        <w:tc>
          <w:tcPr>
            <w:tcW w:w="417" w:type="pct"/>
            <w:tcBorders>
              <w:left w:val="single" w:sz="18" w:space="0" w:color="auto"/>
            </w:tcBorders>
            <w:vAlign w:val="center"/>
          </w:tcPr>
          <w:p w:rsidR="00A336C2" w:rsidRPr="00152D62" w:rsidRDefault="00A336C2" w:rsidP="006A7328">
            <w:pPr>
              <w:spacing w:line="240" w:lineRule="auto"/>
              <w:jc w:val="center"/>
              <w:rPr>
                <w:lang w:val="lt-LT"/>
              </w:rPr>
            </w:pPr>
            <w:r w:rsidRPr="00152D62">
              <w:rPr>
                <w:lang w:val="lt-LT"/>
              </w:rPr>
              <w:t>1,0171</w:t>
            </w:r>
          </w:p>
        </w:tc>
        <w:tc>
          <w:tcPr>
            <w:tcW w:w="532" w:type="pct"/>
            <w:vAlign w:val="center"/>
          </w:tcPr>
          <w:p w:rsidR="00A336C2" w:rsidRPr="00152D62" w:rsidRDefault="00A336C2" w:rsidP="006A7328">
            <w:pPr>
              <w:spacing w:line="240" w:lineRule="auto"/>
              <w:jc w:val="center"/>
              <w:rPr>
                <w:color w:val="000000"/>
              </w:rPr>
            </w:pPr>
            <w:r w:rsidRPr="00152D62">
              <w:rPr>
                <w:color w:val="000000"/>
              </w:rPr>
              <w:t>0,51</w:t>
            </w:r>
          </w:p>
        </w:tc>
        <w:tc>
          <w:tcPr>
            <w:tcW w:w="563" w:type="pct"/>
            <w:tcBorders>
              <w:right w:val="single" w:sz="18" w:space="0" w:color="auto"/>
            </w:tcBorders>
            <w:vAlign w:val="center"/>
          </w:tcPr>
          <w:p w:rsidR="00A336C2" w:rsidRPr="00152D62" w:rsidRDefault="00A336C2" w:rsidP="006A7328">
            <w:pPr>
              <w:spacing w:line="240" w:lineRule="auto"/>
              <w:jc w:val="center"/>
            </w:pPr>
            <w:r w:rsidRPr="00152D62">
              <w:rPr>
                <w:lang w:val="lt-LT"/>
              </w:rPr>
              <w:t>0,5071</w:t>
            </w:r>
          </w:p>
        </w:tc>
        <w:tc>
          <w:tcPr>
            <w:tcW w:w="417" w:type="pct"/>
            <w:tcBorders>
              <w:left w:val="single" w:sz="18" w:space="0" w:color="auto"/>
            </w:tcBorders>
            <w:vAlign w:val="center"/>
          </w:tcPr>
          <w:p w:rsidR="00A336C2" w:rsidRPr="00152D62" w:rsidRDefault="00A336C2" w:rsidP="001F4EB1">
            <w:pPr>
              <w:spacing w:line="240" w:lineRule="auto"/>
              <w:jc w:val="center"/>
              <w:rPr>
                <w:lang w:val="lt-LT"/>
              </w:rPr>
            </w:pPr>
            <w:r w:rsidRPr="00152D62">
              <w:rPr>
                <w:lang w:val="lt-LT"/>
              </w:rPr>
              <w:t>0,0775</w:t>
            </w:r>
          </w:p>
        </w:tc>
        <w:tc>
          <w:tcPr>
            <w:tcW w:w="532" w:type="pct"/>
            <w:vAlign w:val="center"/>
          </w:tcPr>
          <w:p w:rsidR="00A336C2" w:rsidRPr="00152D62" w:rsidRDefault="00A336C2" w:rsidP="001F4EB1">
            <w:pPr>
              <w:spacing w:line="240" w:lineRule="auto"/>
              <w:jc w:val="center"/>
              <w:rPr>
                <w:color w:val="000000"/>
              </w:rPr>
            </w:pPr>
            <w:r w:rsidRPr="00152D62">
              <w:rPr>
                <w:color w:val="000000"/>
              </w:rPr>
              <w:t>1,31</w:t>
            </w:r>
          </w:p>
        </w:tc>
        <w:tc>
          <w:tcPr>
            <w:tcW w:w="563" w:type="pct"/>
            <w:tcBorders>
              <w:right w:val="single" w:sz="18" w:space="0" w:color="auto"/>
            </w:tcBorders>
            <w:vAlign w:val="center"/>
          </w:tcPr>
          <w:p w:rsidR="00A336C2" w:rsidRPr="00152D62" w:rsidRDefault="00A336C2" w:rsidP="001F4EB1">
            <w:pPr>
              <w:spacing w:line="240" w:lineRule="auto"/>
              <w:jc w:val="center"/>
            </w:pPr>
            <w:r w:rsidRPr="00152D62">
              <w:rPr>
                <w:lang w:val="lt-LT"/>
              </w:rPr>
              <w:t>-1,2325</w:t>
            </w:r>
          </w:p>
        </w:tc>
      </w:tr>
    </w:tbl>
    <w:p w:rsidR="00C2492C" w:rsidRDefault="00B3426A" w:rsidP="00C2492C">
      <w:pPr>
        <w:spacing w:after="0" w:line="240" w:lineRule="auto"/>
        <w:rPr>
          <w:sz w:val="20"/>
          <w:szCs w:val="20"/>
          <w:lang w:val="lt-LT"/>
        </w:rPr>
      </w:pPr>
      <w:r w:rsidRPr="00ED3D25">
        <w:rPr>
          <w:sz w:val="20"/>
          <w:szCs w:val="20"/>
          <w:lang w:val="lt-LT"/>
        </w:rPr>
        <w:lastRenderedPageBreak/>
        <w:t>Pastaba</w:t>
      </w:r>
      <w:r w:rsidR="00C2492C" w:rsidRPr="00C2492C">
        <w:rPr>
          <w:sz w:val="20"/>
          <w:szCs w:val="20"/>
          <w:lang w:val="lt-LT"/>
        </w:rPr>
        <w:t xml:space="preserve"> </w:t>
      </w:r>
      <w:r w:rsidR="00C2492C" w:rsidRPr="00ED3D25">
        <w:rPr>
          <w:sz w:val="20"/>
          <w:szCs w:val="20"/>
          <w:lang w:val="lt-LT"/>
        </w:rPr>
        <w:t>lentelė sudaryta au</w:t>
      </w:r>
      <w:r w:rsidR="00C2492C">
        <w:rPr>
          <w:sz w:val="20"/>
          <w:szCs w:val="20"/>
          <w:lang w:val="lt-LT"/>
        </w:rPr>
        <w:t>torės, remiantis Lietuvos statistikos departamento</w:t>
      </w:r>
      <w:r w:rsidR="00C2492C" w:rsidRPr="00ED3D25">
        <w:rPr>
          <w:sz w:val="20"/>
          <w:szCs w:val="20"/>
          <w:lang w:val="lt-LT"/>
        </w:rPr>
        <w:t xml:space="preserve"> duome</w:t>
      </w:r>
      <w:r w:rsidR="00AC2F95">
        <w:rPr>
          <w:sz w:val="20"/>
          <w:szCs w:val="20"/>
          <w:lang w:val="lt-LT"/>
        </w:rPr>
        <w:t>nimis</w:t>
      </w:r>
      <w:r w:rsidR="00C2492C" w:rsidRPr="00C2492C">
        <w:rPr>
          <w:sz w:val="20"/>
          <w:szCs w:val="20"/>
          <w:lang w:val="lt-LT"/>
        </w:rPr>
        <w:t xml:space="preserve"> </w:t>
      </w:r>
      <w:r w:rsidR="00C2492C">
        <w:rPr>
          <w:sz w:val="20"/>
          <w:szCs w:val="20"/>
          <w:lang w:val="lt-LT"/>
        </w:rPr>
        <w:t>ir įmonės B finansiniais duomenimis</w:t>
      </w:r>
      <w:r w:rsidR="00C2492C" w:rsidRPr="00ED3D25">
        <w:rPr>
          <w:sz w:val="20"/>
          <w:szCs w:val="20"/>
          <w:lang w:val="lt-LT"/>
        </w:rPr>
        <w:t>.</w:t>
      </w:r>
    </w:p>
    <w:p w:rsidR="00C2492C" w:rsidRPr="00C2492C" w:rsidRDefault="00C2492C" w:rsidP="00C2492C">
      <w:pPr>
        <w:spacing w:after="0" w:line="240" w:lineRule="auto"/>
        <w:rPr>
          <w:sz w:val="14"/>
          <w:szCs w:val="14"/>
          <w:lang w:val="lt-LT"/>
        </w:rPr>
      </w:pPr>
    </w:p>
    <w:p w:rsidR="00AC2F95" w:rsidRDefault="009F4C38" w:rsidP="00AC2F95">
      <w:pPr>
        <w:spacing w:after="0"/>
        <w:ind w:firstLine="851"/>
        <w:rPr>
          <w:lang w:val="lt-LT"/>
        </w:rPr>
      </w:pPr>
      <w:r>
        <w:rPr>
          <w:lang w:val="lt-LT"/>
        </w:rPr>
        <w:t>Įmonė B priskiriama kitų metalo g</w:t>
      </w:r>
      <w:r w:rsidR="00746E75">
        <w:rPr>
          <w:lang w:val="lt-LT"/>
        </w:rPr>
        <w:t>aminių gamybos sektoriui (žr. 24</w:t>
      </w:r>
      <w:r>
        <w:rPr>
          <w:lang w:val="lt-LT"/>
        </w:rPr>
        <w:t xml:space="preserve"> lentelę), tad lyginant įmonės einamąjį likvidumą fiksuojamas didžiulis svyravim</w:t>
      </w:r>
      <w:r w:rsidR="00AA1B26">
        <w:rPr>
          <w:lang w:val="lt-LT"/>
        </w:rPr>
        <w:t>as, tai pasireiškė nuo aukšto</w:t>
      </w:r>
      <w:r>
        <w:rPr>
          <w:lang w:val="lt-LT"/>
        </w:rPr>
        <w:t xml:space="preserve"> </w:t>
      </w:r>
      <w:r w:rsidR="00AA1B26">
        <w:rPr>
          <w:lang w:val="lt-LT"/>
        </w:rPr>
        <w:t>likvidumo 2011 m.  ir iki</w:t>
      </w:r>
      <w:r>
        <w:rPr>
          <w:lang w:val="lt-LT"/>
        </w:rPr>
        <w:t xml:space="preserve"> </w:t>
      </w:r>
      <w:r w:rsidR="00AA1B26">
        <w:rPr>
          <w:lang w:val="lt-LT"/>
        </w:rPr>
        <w:t>1,6 proc</w:t>
      </w:r>
      <w:r>
        <w:rPr>
          <w:lang w:val="lt-LT"/>
        </w:rPr>
        <w:t xml:space="preserve">. Tuo metu sektoriaus rodiklis svyravo nežymiai ir vidutiniškai buvo lygus 1,72. Taip atsitiko įmonei B dėl didelių įsipareigojimų atsiradimo, </w:t>
      </w:r>
      <w:r w:rsidR="00B8281A">
        <w:rPr>
          <w:lang w:val="lt-LT"/>
        </w:rPr>
        <w:t>o</w:t>
      </w:r>
      <w:r>
        <w:rPr>
          <w:lang w:val="lt-LT"/>
        </w:rPr>
        <w:t xml:space="preserve"> trumpalaikis turtas augo nežymiai. </w:t>
      </w:r>
      <w:r w:rsidR="00B8281A">
        <w:rPr>
          <w:lang w:val="lt-LT"/>
        </w:rPr>
        <w:t>Sektoriui būdingas įsiskolinimų koeficientas lygus 0,51, o įmonės B 2011-20</w:t>
      </w:r>
      <w:r w:rsidR="00AA1B26">
        <w:rPr>
          <w:lang w:val="lt-LT"/>
        </w:rPr>
        <w:t>13 m. laikotarpiu jis tik didėjo</w:t>
      </w:r>
      <w:r w:rsidR="00B8281A">
        <w:rPr>
          <w:lang w:val="lt-LT"/>
        </w:rPr>
        <w:t xml:space="preserve"> ir galiausiai, paskutiniais tyrimo metais</w:t>
      </w:r>
      <w:r w:rsidR="00AA1B26">
        <w:rPr>
          <w:lang w:val="lt-LT"/>
        </w:rPr>
        <w:t xml:space="preserve"> tapo</w:t>
      </w:r>
      <w:r w:rsidR="00B8281A">
        <w:rPr>
          <w:lang w:val="lt-LT"/>
        </w:rPr>
        <w:t xml:space="preserve"> dvigubai didesnis</w:t>
      </w:r>
      <w:r w:rsidR="00AA1B26">
        <w:rPr>
          <w:lang w:val="lt-LT"/>
        </w:rPr>
        <w:t xml:space="preserve"> nei sektoriaus</w:t>
      </w:r>
      <w:r w:rsidR="00B8281A">
        <w:rPr>
          <w:lang w:val="lt-LT"/>
        </w:rPr>
        <w:t xml:space="preserve">. </w:t>
      </w:r>
      <w:r w:rsidR="00A336C2">
        <w:rPr>
          <w:lang w:val="lt-LT"/>
        </w:rPr>
        <w:t>Nors turto apyvartumas sektoriuje yra lygus apie 1,3, tačiau įmonė B ženkliai atsilieka nuo jo. Ši įmonė neefektyviai valdo savo turimą turtą.</w:t>
      </w:r>
    </w:p>
    <w:p w:rsidR="00A336C2" w:rsidRPr="00AC2F95" w:rsidRDefault="00AC2F95" w:rsidP="00AD477E">
      <w:pPr>
        <w:spacing w:line="276" w:lineRule="auto"/>
        <w:jc w:val="left"/>
        <w:rPr>
          <w:lang w:val="lt-LT"/>
        </w:rPr>
      </w:pPr>
      <w:r>
        <w:rPr>
          <w:lang w:val="lt-LT"/>
        </w:rPr>
        <w:br w:type="page"/>
      </w:r>
    </w:p>
    <w:p w:rsidR="00F6363A" w:rsidRPr="00ED3D25" w:rsidRDefault="00746E75" w:rsidP="00F6363A">
      <w:pPr>
        <w:spacing w:after="0"/>
        <w:ind w:firstLine="851"/>
        <w:jc w:val="right"/>
        <w:rPr>
          <w:b/>
          <w:bCs/>
          <w:lang w:val="lt-LT"/>
        </w:rPr>
      </w:pPr>
      <w:r>
        <w:rPr>
          <w:b/>
          <w:bCs/>
          <w:lang w:val="lt-LT"/>
        </w:rPr>
        <w:lastRenderedPageBreak/>
        <w:t>25</w:t>
      </w:r>
      <w:r w:rsidR="00F6363A" w:rsidRPr="00ED3D25">
        <w:rPr>
          <w:b/>
          <w:bCs/>
          <w:lang w:val="lt-LT"/>
        </w:rPr>
        <w:t xml:space="preserve"> lentelė</w:t>
      </w:r>
    </w:p>
    <w:p w:rsidR="00F6363A" w:rsidRPr="00ED3D25" w:rsidRDefault="00A336C2" w:rsidP="00A336C2">
      <w:pPr>
        <w:spacing w:after="0" w:line="240" w:lineRule="auto"/>
        <w:jc w:val="center"/>
        <w:rPr>
          <w:b/>
          <w:bCs/>
          <w:sz w:val="22"/>
          <w:szCs w:val="20"/>
          <w:lang w:val="lt-LT"/>
        </w:rPr>
      </w:pPr>
      <w:r>
        <w:rPr>
          <w:b/>
          <w:bCs/>
          <w:sz w:val="22"/>
          <w:szCs w:val="20"/>
          <w:lang w:val="lt-LT"/>
        </w:rPr>
        <w:t>Įmonė B</w:t>
      </w:r>
      <w:r w:rsidR="00633652">
        <w:rPr>
          <w:b/>
          <w:bCs/>
          <w:sz w:val="22"/>
          <w:szCs w:val="20"/>
          <w:lang w:val="lt-LT"/>
        </w:rPr>
        <w:t xml:space="preserve"> pelningumo rodiklių palyginimas su</w:t>
      </w:r>
      <w:r>
        <w:rPr>
          <w:b/>
          <w:bCs/>
          <w:sz w:val="22"/>
          <w:szCs w:val="20"/>
          <w:lang w:val="lt-LT"/>
        </w:rPr>
        <w:t xml:space="preserve"> kitų metalo gaminių gamybos s</w:t>
      </w:r>
      <w:r w:rsidRPr="00ED3D25">
        <w:rPr>
          <w:b/>
          <w:bCs/>
          <w:sz w:val="22"/>
          <w:szCs w:val="20"/>
          <w:lang w:val="lt-LT"/>
        </w:rPr>
        <w:t>ektoriaus</w:t>
      </w:r>
      <w:r w:rsidR="00633652">
        <w:rPr>
          <w:b/>
          <w:bCs/>
          <w:sz w:val="22"/>
          <w:szCs w:val="20"/>
          <w:lang w:val="lt-LT"/>
        </w:rPr>
        <w:t xml:space="preserve"> pelningumo rodikliais</w:t>
      </w:r>
    </w:p>
    <w:p w:rsidR="006A7328" w:rsidRPr="00F6363A" w:rsidRDefault="006A7328" w:rsidP="00F6363A">
      <w:pPr>
        <w:spacing w:after="0" w:line="240" w:lineRule="auto"/>
        <w:rPr>
          <w:sz w:val="20"/>
          <w:szCs w:val="18"/>
          <w:lang w:val="lt-LT"/>
        </w:rPr>
      </w:pPr>
    </w:p>
    <w:tbl>
      <w:tblPr>
        <w:tblStyle w:val="TableGrid"/>
        <w:tblW w:w="5000" w:type="pct"/>
        <w:jc w:val="center"/>
        <w:tblLook w:val="04A0" w:firstRow="1" w:lastRow="0" w:firstColumn="1" w:lastColumn="0" w:noHBand="0" w:noVBand="1"/>
      </w:tblPr>
      <w:tblGrid>
        <w:gridCol w:w="690"/>
        <w:gridCol w:w="841"/>
        <w:gridCol w:w="1075"/>
        <w:gridCol w:w="1139"/>
        <w:gridCol w:w="841"/>
        <w:gridCol w:w="1075"/>
        <w:gridCol w:w="1139"/>
        <w:gridCol w:w="841"/>
        <w:gridCol w:w="1075"/>
        <w:gridCol w:w="1139"/>
      </w:tblGrid>
      <w:tr w:rsidR="00A336C2" w:rsidRPr="00152D62" w:rsidTr="00A336C2">
        <w:trPr>
          <w:jc w:val="center"/>
        </w:trPr>
        <w:tc>
          <w:tcPr>
            <w:tcW w:w="391" w:type="pct"/>
            <w:vMerge w:val="restart"/>
            <w:tcBorders>
              <w:right w:val="single" w:sz="18" w:space="0" w:color="auto"/>
              <w:tl2br w:val="single" w:sz="4" w:space="0" w:color="auto"/>
            </w:tcBorders>
            <w:vAlign w:val="center"/>
          </w:tcPr>
          <w:p w:rsidR="00A336C2" w:rsidRPr="00E66F03" w:rsidRDefault="00A336C2" w:rsidP="00E66F03">
            <w:pPr>
              <w:spacing w:line="240" w:lineRule="auto"/>
              <w:jc w:val="right"/>
              <w:rPr>
                <w:b/>
                <w:bCs/>
                <w:sz w:val="20"/>
                <w:szCs w:val="20"/>
                <w:lang w:val="lt-LT"/>
              </w:rPr>
            </w:pPr>
            <w:r w:rsidRPr="00E66F03">
              <w:rPr>
                <w:b/>
                <w:bCs/>
                <w:sz w:val="20"/>
                <w:szCs w:val="20"/>
                <w:lang w:val="lt-LT"/>
              </w:rPr>
              <w:t>Rod.</w:t>
            </w:r>
          </w:p>
          <w:p w:rsidR="00A336C2" w:rsidRPr="00E66F03" w:rsidRDefault="00A336C2" w:rsidP="00E66F03">
            <w:pPr>
              <w:spacing w:line="240" w:lineRule="auto"/>
              <w:rPr>
                <w:b/>
                <w:bCs/>
                <w:sz w:val="20"/>
                <w:szCs w:val="20"/>
                <w:lang w:val="lt-LT"/>
              </w:rPr>
            </w:pPr>
            <w:r w:rsidRPr="00E66F03">
              <w:rPr>
                <w:b/>
                <w:bCs/>
                <w:sz w:val="20"/>
                <w:szCs w:val="20"/>
                <w:lang w:val="lt-LT"/>
              </w:rPr>
              <w:t>Metai</w:t>
            </w:r>
          </w:p>
        </w:tc>
        <w:tc>
          <w:tcPr>
            <w:tcW w:w="1572" w:type="pct"/>
            <w:gridSpan w:val="3"/>
            <w:tcBorders>
              <w:left w:val="single" w:sz="18" w:space="0" w:color="auto"/>
              <w:bottom w:val="single" w:sz="4" w:space="0" w:color="auto"/>
              <w:right w:val="single" w:sz="18" w:space="0" w:color="auto"/>
            </w:tcBorders>
            <w:vAlign w:val="center"/>
          </w:tcPr>
          <w:p w:rsidR="00A336C2" w:rsidRPr="00152D62" w:rsidRDefault="00A336C2" w:rsidP="006A7328">
            <w:pPr>
              <w:spacing w:line="240" w:lineRule="auto"/>
              <w:jc w:val="center"/>
              <w:rPr>
                <w:b/>
                <w:bCs/>
                <w:lang w:val="lt-LT"/>
              </w:rPr>
            </w:pPr>
            <w:r w:rsidRPr="00152D62">
              <w:rPr>
                <w:b/>
                <w:bCs/>
                <w:lang w:val="lt-LT"/>
              </w:rPr>
              <w:t>ROA</w:t>
            </w:r>
          </w:p>
        </w:tc>
        <w:tc>
          <w:tcPr>
            <w:tcW w:w="1523" w:type="pct"/>
            <w:gridSpan w:val="3"/>
            <w:tcBorders>
              <w:left w:val="single" w:sz="18" w:space="0" w:color="auto"/>
              <w:bottom w:val="single" w:sz="4" w:space="0" w:color="auto"/>
              <w:right w:val="single" w:sz="18" w:space="0" w:color="auto"/>
            </w:tcBorders>
            <w:vAlign w:val="center"/>
          </w:tcPr>
          <w:p w:rsidR="00A336C2" w:rsidRPr="00152D62" w:rsidRDefault="00A336C2" w:rsidP="006A7328">
            <w:pPr>
              <w:spacing w:line="240" w:lineRule="auto"/>
              <w:jc w:val="center"/>
              <w:rPr>
                <w:b/>
                <w:bCs/>
                <w:lang w:val="lt-LT"/>
              </w:rPr>
            </w:pPr>
            <w:r w:rsidRPr="00152D62">
              <w:rPr>
                <w:b/>
                <w:bCs/>
                <w:lang w:val="lt-LT"/>
              </w:rPr>
              <w:t>ROE</w:t>
            </w:r>
          </w:p>
        </w:tc>
        <w:tc>
          <w:tcPr>
            <w:tcW w:w="1515" w:type="pct"/>
            <w:gridSpan w:val="3"/>
            <w:tcBorders>
              <w:left w:val="single" w:sz="18" w:space="0" w:color="auto"/>
              <w:bottom w:val="single" w:sz="4" w:space="0" w:color="auto"/>
              <w:right w:val="single" w:sz="18" w:space="0" w:color="auto"/>
            </w:tcBorders>
          </w:tcPr>
          <w:p w:rsidR="00A336C2" w:rsidRPr="006A7328" w:rsidRDefault="00A336C2" w:rsidP="001F4EB1">
            <w:pPr>
              <w:spacing w:line="240" w:lineRule="auto"/>
              <w:jc w:val="center"/>
              <w:rPr>
                <w:rFonts w:asciiTheme="majorBidi" w:hAnsiTheme="majorBidi" w:cstheme="majorBidi"/>
                <w:b/>
                <w:bCs/>
                <w:lang w:val="lt-LT"/>
              </w:rPr>
            </w:pPr>
            <w:r w:rsidRPr="006A7328">
              <w:rPr>
                <w:rFonts w:asciiTheme="majorBidi" w:hAnsiTheme="majorBidi" w:cstheme="majorBidi"/>
                <w:b/>
                <w:bCs/>
                <w:lang w:val="lt-LT"/>
              </w:rPr>
              <w:t>Grynasis pelningumas</w:t>
            </w:r>
          </w:p>
        </w:tc>
      </w:tr>
      <w:tr w:rsidR="00E66F03" w:rsidRPr="00152D62" w:rsidTr="00A336C2">
        <w:trPr>
          <w:jc w:val="center"/>
        </w:trPr>
        <w:tc>
          <w:tcPr>
            <w:tcW w:w="391" w:type="pct"/>
            <w:vMerge/>
            <w:tcBorders>
              <w:right w:val="single" w:sz="18" w:space="0" w:color="auto"/>
              <w:tl2br w:val="nil"/>
            </w:tcBorders>
            <w:vAlign w:val="bottom"/>
          </w:tcPr>
          <w:p w:rsidR="00AE421E" w:rsidRPr="006A7328" w:rsidRDefault="00AE421E" w:rsidP="006A7328">
            <w:pPr>
              <w:spacing w:line="240" w:lineRule="auto"/>
              <w:rPr>
                <w:b/>
                <w:bCs/>
                <w:lang w:val="lt-LT"/>
              </w:rPr>
            </w:pPr>
          </w:p>
        </w:tc>
        <w:tc>
          <w:tcPr>
            <w:tcW w:w="461" w:type="pct"/>
            <w:tcBorders>
              <w:left w:val="single" w:sz="18" w:space="0" w:color="auto"/>
              <w:bottom w:val="single" w:sz="18" w:space="0" w:color="auto"/>
            </w:tcBorders>
            <w:vAlign w:val="center"/>
          </w:tcPr>
          <w:p w:rsidR="00AE421E" w:rsidRPr="006A7328" w:rsidRDefault="00AE421E" w:rsidP="006A7328">
            <w:pPr>
              <w:spacing w:line="240" w:lineRule="auto"/>
              <w:jc w:val="center"/>
              <w:rPr>
                <w:lang w:val="lt-LT"/>
              </w:rPr>
            </w:pPr>
            <w:r w:rsidRPr="006A7328">
              <w:rPr>
                <w:lang w:val="lt-LT"/>
              </w:rPr>
              <w:t>Įmonė</w:t>
            </w:r>
          </w:p>
        </w:tc>
        <w:tc>
          <w:tcPr>
            <w:tcW w:w="535" w:type="pct"/>
            <w:tcBorders>
              <w:bottom w:val="single" w:sz="18" w:space="0" w:color="auto"/>
            </w:tcBorders>
            <w:vAlign w:val="center"/>
          </w:tcPr>
          <w:p w:rsidR="00AE421E" w:rsidRPr="006A7328" w:rsidRDefault="00AE421E" w:rsidP="006A7328">
            <w:pPr>
              <w:spacing w:line="240" w:lineRule="auto"/>
              <w:jc w:val="center"/>
              <w:rPr>
                <w:lang w:val="lt-LT"/>
              </w:rPr>
            </w:pPr>
            <w:r w:rsidRPr="006A7328">
              <w:rPr>
                <w:lang w:val="lt-LT"/>
              </w:rPr>
              <w:t>Sektorius</w:t>
            </w:r>
          </w:p>
        </w:tc>
        <w:tc>
          <w:tcPr>
            <w:tcW w:w="576" w:type="pct"/>
            <w:tcBorders>
              <w:bottom w:val="single" w:sz="18" w:space="0" w:color="auto"/>
              <w:right w:val="single" w:sz="18" w:space="0" w:color="auto"/>
            </w:tcBorders>
            <w:vAlign w:val="center"/>
          </w:tcPr>
          <w:p w:rsidR="00AE421E" w:rsidRPr="006A7328" w:rsidRDefault="00AE421E" w:rsidP="006A7328">
            <w:pPr>
              <w:spacing w:line="240" w:lineRule="auto"/>
              <w:jc w:val="center"/>
              <w:rPr>
                <w:lang w:val="lt-LT"/>
              </w:rPr>
            </w:pPr>
            <w:r w:rsidRPr="006A7328">
              <w:rPr>
                <w:lang w:val="lt-LT"/>
              </w:rPr>
              <w:t>Skirtumas</w:t>
            </w:r>
          </w:p>
        </w:tc>
        <w:tc>
          <w:tcPr>
            <w:tcW w:w="417" w:type="pct"/>
            <w:tcBorders>
              <w:left w:val="single" w:sz="18" w:space="0" w:color="auto"/>
              <w:bottom w:val="single" w:sz="18" w:space="0" w:color="auto"/>
            </w:tcBorders>
            <w:vAlign w:val="center"/>
          </w:tcPr>
          <w:p w:rsidR="00AE421E" w:rsidRPr="006A7328" w:rsidRDefault="00AE421E" w:rsidP="006A7328">
            <w:pPr>
              <w:spacing w:line="240" w:lineRule="auto"/>
              <w:jc w:val="center"/>
              <w:rPr>
                <w:lang w:val="lt-LT"/>
              </w:rPr>
            </w:pPr>
            <w:r w:rsidRPr="006A7328">
              <w:rPr>
                <w:lang w:val="lt-LT"/>
              </w:rPr>
              <w:t>Įmonė</w:t>
            </w:r>
          </w:p>
        </w:tc>
        <w:tc>
          <w:tcPr>
            <w:tcW w:w="532" w:type="pct"/>
            <w:tcBorders>
              <w:bottom w:val="single" w:sz="18" w:space="0" w:color="auto"/>
            </w:tcBorders>
            <w:vAlign w:val="center"/>
          </w:tcPr>
          <w:p w:rsidR="00AE421E" w:rsidRPr="006A7328" w:rsidRDefault="00AE421E" w:rsidP="006A7328">
            <w:pPr>
              <w:spacing w:line="240" w:lineRule="auto"/>
              <w:jc w:val="center"/>
              <w:rPr>
                <w:lang w:val="lt-LT"/>
              </w:rPr>
            </w:pPr>
            <w:r w:rsidRPr="006A7328">
              <w:rPr>
                <w:lang w:val="lt-LT"/>
              </w:rPr>
              <w:t>Sektorius</w:t>
            </w:r>
          </w:p>
        </w:tc>
        <w:tc>
          <w:tcPr>
            <w:tcW w:w="574" w:type="pct"/>
            <w:tcBorders>
              <w:bottom w:val="single" w:sz="18" w:space="0" w:color="auto"/>
              <w:right w:val="single" w:sz="18" w:space="0" w:color="auto"/>
            </w:tcBorders>
            <w:vAlign w:val="center"/>
          </w:tcPr>
          <w:p w:rsidR="00AE421E" w:rsidRPr="006A7328" w:rsidRDefault="00AE421E" w:rsidP="006A7328">
            <w:pPr>
              <w:spacing w:line="240" w:lineRule="auto"/>
              <w:jc w:val="center"/>
              <w:rPr>
                <w:lang w:val="lt-LT"/>
              </w:rPr>
            </w:pPr>
            <w:r w:rsidRPr="006A7328">
              <w:rPr>
                <w:lang w:val="lt-LT"/>
              </w:rPr>
              <w:t>Skirtumas</w:t>
            </w:r>
          </w:p>
        </w:tc>
        <w:tc>
          <w:tcPr>
            <w:tcW w:w="417" w:type="pct"/>
            <w:tcBorders>
              <w:left w:val="single" w:sz="18" w:space="0" w:color="auto"/>
              <w:bottom w:val="single" w:sz="18" w:space="0" w:color="auto"/>
            </w:tcBorders>
            <w:vAlign w:val="center"/>
          </w:tcPr>
          <w:p w:rsidR="00AE421E" w:rsidRPr="006A7328" w:rsidRDefault="00AE421E" w:rsidP="006A7328">
            <w:pPr>
              <w:spacing w:line="240" w:lineRule="auto"/>
              <w:jc w:val="center"/>
              <w:rPr>
                <w:lang w:val="lt-LT"/>
              </w:rPr>
            </w:pPr>
            <w:r w:rsidRPr="006A7328">
              <w:rPr>
                <w:lang w:val="lt-LT"/>
              </w:rPr>
              <w:t>Įmonė</w:t>
            </w:r>
          </w:p>
        </w:tc>
        <w:tc>
          <w:tcPr>
            <w:tcW w:w="532" w:type="pct"/>
            <w:tcBorders>
              <w:bottom w:val="single" w:sz="18" w:space="0" w:color="auto"/>
            </w:tcBorders>
            <w:vAlign w:val="center"/>
          </w:tcPr>
          <w:p w:rsidR="00AE421E" w:rsidRPr="006A7328" w:rsidRDefault="00AE421E" w:rsidP="006A7328">
            <w:pPr>
              <w:spacing w:line="240" w:lineRule="auto"/>
              <w:jc w:val="center"/>
              <w:rPr>
                <w:lang w:val="lt-LT"/>
              </w:rPr>
            </w:pPr>
            <w:r w:rsidRPr="006A7328">
              <w:rPr>
                <w:lang w:val="lt-LT"/>
              </w:rPr>
              <w:t>Sektorius</w:t>
            </w:r>
          </w:p>
        </w:tc>
        <w:tc>
          <w:tcPr>
            <w:tcW w:w="566" w:type="pct"/>
            <w:tcBorders>
              <w:bottom w:val="single" w:sz="18" w:space="0" w:color="auto"/>
              <w:right w:val="single" w:sz="18" w:space="0" w:color="auto"/>
            </w:tcBorders>
            <w:vAlign w:val="center"/>
          </w:tcPr>
          <w:p w:rsidR="00AE421E" w:rsidRPr="006A7328" w:rsidRDefault="00AE421E" w:rsidP="006A7328">
            <w:pPr>
              <w:spacing w:line="240" w:lineRule="auto"/>
              <w:jc w:val="center"/>
              <w:rPr>
                <w:lang w:val="lt-LT"/>
              </w:rPr>
            </w:pPr>
            <w:r w:rsidRPr="006A7328">
              <w:rPr>
                <w:lang w:val="lt-LT"/>
              </w:rPr>
              <w:t>Skirtumas</w:t>
            </w:r>
          </w:p>
        </w:tc>
      </w:tr>
      <w:tr w:rsidR="00A336C2" w:rsidRPr="00152D62" w:rsidTr="00A336C2">
        <w:trPr>
          <w:jc w:val="center"/>
        </w:trPr>
        <w:tc>
          <w:tcPr>
            <w:tcW w:w="391" w:type="pct"/>
            <w:tcBorders>
              <w:right w:val="single" w:sz="18" w:space="0" w:color="auto"/>
            </w:tcBorders>
          </w:tcPr>
          <w:p w:rsidR="00A336C2" w:rsidRPr="006A7328" w:rsidRDefault="00A336C2" w:rsidP="006A7328">
            <w:pPr>
              <w:spacing w:line="240" w:lineRule="auto"/>
              <w:rPr>
                <w:b/>
                <w:bCs/>
                <w:lang w:val="lt-LT"/>
              </w:rPr>
            </w:pPr>
            <w:r w:rsidRPr="006A7328">
              <w:rPr>
                <w:b/>
                <w:bCs/>
                <w:lang w:val="lt-LT"/>
              </w:rPr>
              <w:t>2011</w:t>
            </w:r>
          </w:p>
        </w:tc>
        <w:tc>
          <w:tcPr>
            <w:tcW w:w="461" w:type="pct"/>
            <w:tcBorders>
              <w:top w:val="single" w:sz="18" w:space="0" w:color="auto"/>
              <w:left w:val="single" w:sz="18" w:space="0" w:color="auto"/>
            </w:tcBorders>
            <w:vAlign w:val="center"/>
          </w:tcPr>
          <w:p w:rsidR="00A336C2" w:rsidRPr="00152D62" w:rsidRDefault="00A336C2" w:rsidP="006A7328">
            <w:pPr>
              <w:spacing w:line="240" w:lineRule="auto"/>
              <w:jc w:val="center"/>
              <w:rPr>
                <w:lang w:val="lt-LT"/>
              </w:rPr>
            </w:pPr>
            <w:r w:rsidRPr="00152D62">
              <w:rPr>
                <w:lang w:val="lt-LT"/>
              </w:rPr>
              <w:t>-</w:t>
            </w:r>
          </w:p>
        </w:tc>
        <w:tc>
          <w:tcPr>
            <w:tcW w:w="535" w:type="pct"/>
            <w:tcBorders>
              <w:top w:val="single" w:sz="18" w:space="0" w:color="auto"/>
            </w:tcBorders>
            <w:vAlign w:val="center"/>
          </w:tcPr>
          <w:p w:rsidR="00A336C2" w:rsidRPr="00152D62" w:rsidRDefault="00A336C2" w:rsidP="006A7328">
            <w:pPr>
              <w:spacing w:line="240" w:lineRule="auto"/>
              <w:jc w:val="center"/>
              <w:rPr>
                <w:color w:val="000000"/>
              </w:rPr>
            </w:pPr>
            <w:r>
              <w:rPr>
                <w:color w:val="000000"/>
              </w:rPr>
              <w:t>0,06</w:t>
            </w:r>
            <w:r w:rsidRPr="00152D62">
              <w:rPr>
                <w:color w:val="000000"/>
              </w:rPr>
              <w:t>46</w:t>
            </w:r>
          </w:p>
        </w:tc>
        <w:tc>
          <w:tcPr>
            <w:tcW w:w="576" w:type="pct"/>
            <w:tcBorders>
              <w:top w:val="single" w:sz="18" w:space="0" w:color="auto"/>
              <w:right w:val="single" w:sz="18" w:space="0" w:color="auto"/>
            </w:tcBorders>
            <w:vAlign w:val="center"/>
          </w:tcPr>
          <w:p w:rsidR="00A336C2" w:rsidRPr="00152D62" w:rsidRDefault="00A336C2" w:rsidP="006A7328">
            <w:pPr>
              <w:spacing w:line="240" w:lineRule="auto"/>
              <w:jc w:val="center"/>
              <w:rPr>
                <w:b/>
                <w:bCs/>
                <w:lang w:val="lt-LT"/>
              </w:rPr>
            </w:pPr>
            <w:r w:rsidRPr="00152D62">
              <w:rPr>
                <w:b/>
                <w:bCs/>
                <w:lang w:val="lt-LT"/>
              </w:rPr>
              <w:t>-</w:t>
            </w:r>
          </w:p>
        </w:tc>
        <w:tc>
          <w:tcPr>
            <w:tcW w:w="417" w:type="pct"/>
            <w:tcBorders>
              <w:top w:val="single" w:sz="18" w:space="0" w:color="auto"/>
              <w:left w:val="single" w:sz="18" w:space="0" w:color="auto"/>
            </w:tcBorders>
            <w:vAlign w:val="center"/>
          </w:tcPr>
          <w:p w:rsidR="00A336C2" w:rsidRPr="00152D62" w:rsidRDefault="00A336C2" w:rsidP="006A7328">
            <w:pPr>
              <w:spacing w:line="240" w:lineRule="auto"/>
              <w:jc w:val="center"/>
              <w:rPr>
                <w:lang w:val="lt-LT"/>
              </w:rPr>
            </w:pPr>
            <w:r w:rsidRPr="00152D62">
              <w:rPr>
                <w:lang w:val="lt-LT"/>
              </w:rPr>
              <w:t>-</w:t>
            </w:r>
          </w:p>
        </w:tc>
        <w:tc>
          <w:tcPr>
            <w:tcW w:w="532" w:type="pct"/>
            <w:tcBorders>
              <w:top w:val="single" w:sz="18" w:space="0" w:color="auto"/>
            </w:tcBorders>
            <w:vAlign w:val="center"/>
          </w:tcPr>
          <w:p w:rsidR="00A336C2" w:rsidRPr="00152D62" w:rsidRDefault="00A336C2" w:rsidP="006A7328">
            <w:pPr>
              <w:spacing w:line="240" w:lineRule="auto"/>
              <w:jc w:val="center"/>
              <w:rPr>
                <w:color w:val="000000"/>
              </w:rPr>
            </w:pPr>
            <w:r>
              <w:rPr>
                <w:color w:val="000000"/>
              </w:rPr>
              <w:t>0,14</w:t>
            </w:r>
            <w:r w:rsidRPr="00152D62">
              <w:rPr>
                <w:color w:val="000000"/>
              </w:rPr>
              <w:t>19</w:t>
            </w:r>
          </w:p>
        </w:tc>
        <w:tc>
          <w:tcPr>
            <w:tcW w:w="574" w:type="pct"/>
            <w:tcBorders>
              <w:top w:val="single" w:sz="18" w:space="0" w:color="auto"/>
              <w:right w:val="single" w:sz="18" w:space="0" w:color="auto"/>
            </w:tcBorders>
            <w:vAlign w:val="center"/>
          </w:tcPr>
          <w:p w:rsidR="00A336C2" w:rsidRPr="00152D62" w:rsidRDefault="00A336C2" w:rsidP="006A7328">
            <w:pPr>
              <w:spacing w:line="240" w:lineRule="auto"/>
              <w:jc w:val="center"/>
              <w:rPr>
                <w:b/>
                <w:bCs/>
                <w:lang w:val="lt-LT"/>
              </w:rPr>
            </w:pPr>
            <w:r w:rsidRPr="00152D62">
              <w:rPr>
                <w:b/>
                <w:bCs/>
                <w:lang w:val="lt-LT"/>
              </w:rPr>
              <w:t>-</w:t>
            </w:r>
          </w:p>
        </w:tc>
        <w:tc>
          <w:tcPr>
            <w:tcW w:w="417" w:type="pct"/>
            <w:tcBorders>
              <w:top w:val="single" w:sz="18" w:space="0" w:color="auto"/>
              <w:left w:val="single" w:sz="18" w:space="0" w:color="auto"/>
            </w:tcBorders>
            <w:vAlign w:val="center"/>
          </w:tcPr>
          <w:p w:rsidR="00A336C2" w:rsidRPr="00152D62" w:rsidRDefault="00A336C2" w:rsidP="001F4EB1">
            <w:pPr>
              <w:spacing w:line="240" w:lineRule="auto"/>
              <w:jc w:val="center"/>
              <w:rPr>
                <w:rFonts w:asciiTheme="majorBidi" w:hAnsiTheme="majorBidi" w:cstheme="majorBidi"/>
                <w:lang w:val="lt-LT"/>
              </w:rPr>
            </w:pPr>
            <w:r w:rsidRPr="00152D62">
              <w:rPr>
                <w:rFonts w:asciiTheme="majorBidi" w:hAnsiTheme="majorBidi" w:cstheme="majorBidi"/>
                <w:lang w:val="lt-LT"/>
              </w:rPr>
              <w:t>-</w:t>
            </w:r>
          </w:p>
        </w:tc>
        <w:tc>
          <w:tcPr>
            <w:tcW w:w="532" w:type="pct"/>
            <w:tcBorders>
              <w:top w:val="single" w:sz="18" w:space="0" w:color="auto"/>
            </w:tcBorders>
            <w:vAlign w:val="center"/>
          </w:tcPr>
          <w:p w:rsidR="00A336C2" w:rsidRPr="00152D62" w:rsidRDefault="00A336C2" w:rsidP="001F4EB1">
            <w:pPr>
              <w:spacing w:line="240" w:lineRule="auto"/>
              <w:jc w:val="center"/>
              <w:rPr>
                <w:rFonts w:asciiTheme="majorBidi" w:hAnsiTheme="majorBidi" w:cstheme="majorBidi"/>
                <w:color w:val="000000"/>
              </w:rPr>
            </w:pPr>
            <w:r>
              <w:rPr>
                <w:rFonts w:asciiTheme="majorBidi" w:hAnsiTheme="majorBidi" w:cstheme="majorBidi"/>
                <w:color w:val="000000"/>
              </w:rPr>
              <w:t>0,04</w:t>
            </w:r>
            <w:r w:rsidRPr="00152D62">
              <w:rPr>
                <w:rFonts w:asciiTheme="majorBidi" w:hAnsiTheme="majorBidi" w:cstheme="majorBidi"/>
                <w:color w:val="000000"/>
              </w:rPr>
              <w:t>75</w:t>
            </w:r>
          </w:p>
        </w:tc>
        <w:tc>
          <w:tcPr>
            <w:tcW w:w="566" w:type="pct"/>
            <w:tcBorders>
              <w:top w:val="single" w:sz="18" w:space="0" w:color="auto"/>
              <w:right w:val="single" w:sz="18" w:space="0" w:color="auto"/>
            </w:tcBorders>
            <w:vAlign w:val="center"/>
          </w:tcPr>
          <w:p w:rsidR="00A336C2" w:rsidRPr="00152D62" w:rsidRDefault="00A336C2" w:rsidP="001F4EB1">
            <w:pPr>
              <w:spacing w:line="240" w:lineRule="auto"/>
              <w:jc w:val="center"/>
              <w:rPr>
                <w:rFonts w:asciiTheme="majorBidi" w:hAnsiTheme="majorBidi" w:cstheme="majorBidi"/>
                <w:b/>
                <w:bCs/>
                <w:lang w:val="lt-LT"/>
              </w:rPr>
            </w:pPr>
            <w:r w:rsidRPr="00152D62">
              <w:rPr>
                <w:rFonts w:asciiTheme="majorBidi" w:hAnsiTheme="majorBidi" w:cstheme="majorBidi"/>
                <w:lang w:val="lt-LT"/>
              </w:rPr>
              <w:t>-</w:t>
            </w:r>
          </w:p>
        </w:tc>
      </w:tr>
      <w:tr w:rsidR="00A336C2" w:rsidRPr="00152D62" w:rsidTr="00A336C2">
        <w:trPr>
          <w:jc w:val="center"/>
        </w:trPr>
        <w:tc>
          <w:tcPr>
            <w:tcW w:w="391" w:type="pct"/>
            <w:tcBorders>
              <w:right w:val="single" w:sz="18" w:space="0" w:color="auto"/>
            </w:tcBorders>
          </w:tcPr>
          <w:p w:rsidR="00A336C2" w:rsidRPr="006A7328" w:rsidRDefault="00A336C2" w:rsidP="006A7328">
            <w:pPr>
              <w:spacing w:line="240" w:lineRule="auto"/>
              <w:rPr>
                <w:b/>
                <w:bCs/>
                <w:lang w:val="lt-LT"/>
              </w:rPr>
            </w:pPr>
            <w:r w:rsidRPr="006A7328">
              <w:rPr>
                <w:b/>
                <w:bCs/>
                <w:lang w:val="lt-LT"/>
              </w:rPr>
              <w:t>2012</w:t>
            </w:r>
          </w:p>
        </w:tc>
        <w:tc>
          <w:tcPr>
            <w:tcW w:w="461" w:type="pct"/>
            <w:tcBorders>
              <w:left w:val="single" w:sz="18" w:space="0" w:color="auto"/>
            </w:tcBorders>
            <w:vAlign w:val="center"/>
          </w:tcPr>
          <w:p w:rsidR="00A336C2" w:rsidRPr="00152D62" w:rsidRDefault="00A336C2" w:rsidP="006A7328">
            <w:pPr>
              <w:spacing w:line="240" w:lineRule="auto"/>
              <w:jc w:val="center"/>
              <w:rPr>
                <w:lang w:val="lt-LT"/>
              </w:rPr>
            </w:pPr>
            <w:r w:rsidRPr="00152D62">
              <w:rPr>
                <w:lang w:val="lt-LT"/>
              </w:rPr>
              <w:t>0,0021</w:t>
            </w:r>
          </w:p>
        </w:tc>
        <w:tc>
          <w:tcPr>
            <w:tcW w:w="535" w:type="pct"/>
            <w:vAlign w:val="center"/>
          </w:tcPr>
          <w:p w:rsidR="00A336C2" w:rsidRPr="00152D62" w:rsidRDefault="00A336C2" w:rsidP="006A7328">
            <w:pPr>
              <w:spacing w:line="240" w:lineRule="auto"/>
              <w:jc w:val="center"/>
              <w:rPr>
                <w:color w:val="000000"/>
              </w:rPr>
            </w:pPr>
            <w:r>
              <w:rPr>
                <w:color w:val="000000"/>
              </w:rPr>
              <w:t>0,06</w:t>
            </w:r>
            <w:r w:rsidRPr="00152D62">
              <w:rPr>
                <w:color w:val="000000"/>
              </w:rPr>
              <w:t>38</w:t>
            </w:r>
          </w:p>
        </w:tc>
        <w:tc>
          <w:tcPr>
            <w:tcW w:w="576" w:type="pct"/>
            <w:tcBorders>
              <w:right w:val="single" w:sz="18" w:space="0" w:color="auto"/>
            </w:tcBorders>
            <w:vAlign w:val="bottom"/>
          </w:tcPr>
          <w:p w:rsidR="00A336C2" w:rsidRPr="00152D62" w:rsidRDefault="00A336C2" w:rsidP="006A7328">
            <w:pPr>
              <w:spacing w:line="240" w:lineRule="auto"/>
              <w:jc w:val="center"/>
            </w:pPr>
            <w:r>
              <w:rPr>
                <w:lang w:val="lt-LT"/>
              </w:rPr>
              <w:t>-0,061</w:t>
            </w:r>
            <w:r w:rsidRPr="00152D62">
              <w:rPr>
                <w:lang w:val="lt-LT"/>
              </w:rPr>
              <w:t>7</w:t>
            </w:r>
          </w:p>
        </w:tc>
        <w:tc>
          <w:tcPr>
            <w:tcW w:w="417" w:type="pct"/>
            <w:tcBorders>
              <w:left w:val="single" w:sz="18" w:space="0" w:color="auto"/>
            </w:tcBorders>
            <w:vAlign w:val="center"/>
          </w:tcPr>
          <w:p w:rsidR="00A336C2" w:rsidRPr="00152D62" w:rsidRDefault="00A336C2" w:rsidP="006A7328">
            <w:pPr>
              <w:spacing w:line="240" w:lineRule="auto"/>
              <w:jc w:val="center"/>
              <w:rPr>
                <w:lang w:val="lt-LT"/>
              </w:rPr>
            </w:pPr>
            <w:r w:rsidRPr="00152D62">
              <w:rPr>
                <w:lang w:val="lt-LT"/>
              </w:rPr>
              <w:t>0,0045</w:t>
            </w:r>
          </w:p>
        </w:tc>
        <w:tc>
          <w:tcPr>
            <w:tcW w:w="532" w:type="pct"/>
            <w:vAlign w:val="center"/>
          </w:tcPr>
          <w:p w:rsidR="00A336C2" w:rsidRPr="00152D62" w:rsidRDefault="00A336C2" w:rsidP="006A7328">
            <w:pPr>
              <w:spacing w:line="240" w:lineRule="auto"/>
              <w:jc w:val="center"/>
              <w:rPr>
                <w:color w:val="000000"/>
              </w:rPr>
            </w:pPr>
            <w:r>
              <w:rPr>
                <w:color w:val="000000"/>
              </w:rPr>
              <w:t>0,14</w:t>
            </w:r>
            <w:r w:rsidRPr="00152D62">
              <w:rPr>
                <w:color w:val="000000"/>
              </w:rPr>
              <w:t>25</w:t>
            </w:r>
          </w:p>
        </w:tc>
        <w:tc>
          <w:tcPr>
            <w:tcW w:w="574" w:type="pct"/>
            <w:tcBorders>
              <w:right w:val="single" w:sz="18" w:space="0" w:color="auto"/>
            </w:tcBorders>
            <w:vAlign w:val="bottom"/>
          </w:tcPr>
          <w:p w:rsidR="00A336C2" w:rsidRPr="00152D62" w:rsidRDefault="00A336C2" w:rsidP="006A7328">
            <w:pPr>
              <w:spacing w:line="240" w:lineRule="auto"/>
              <w:jc w:val="center"/>
            </w:pPr>
            <w:r>
              <w:rPr>
                <w:lang w:val="lt-LT"/>
              </w:rPr>
              <w:t>-0</w:t>
            </w:r>
            <w:r w:rsidRPr="00152D62">
              <w:rPr>
                <w:lang w:val="lt-LT"/>
              </w:rPr>
              <w:t>,</w:t>
            </w:r>
            <w:r>
              <w:rPr>
                <w:lang w:val="lt-LT"/>
              </w:rPr>
              <w:t>138</w:t>
            </w:r>
          </w:p>
        </w:tc>
        <w:tc>
          <w:tcPr>
            <w:tcW w:w="417" w:type="pct"/>
            <w:tcBorders>
              <w:left w:val="single" w:sz="18" w:space="0" w:color="auto"/>
            </w:tcBorders>
            <w:vAlign w:val="center"/>
          </w:tcPr>
          <w:p w:rsidR="00A336C2" w:rsidRPr="00152D62" w:rsidRDefault="00A336C2" w:rsidP="001F4EB1">
            <w:pPr>
              <w:spacing w:line="240" w:lineRule="auto"/>
              <w:jc w:val="center"/>
              <w:rPr>
                <w:rFonts w:asciiTheme="majorBidi" w:hAnsiTheme="majorBidi" w:cstheme="majorBidi"/>
                <w:lang w:val="lt-LT"/>
              </w:rPr>
            </w:pPr>
            <w:r w:rsidRPr="00152D62">
              <w:rPr>
                <w:rFonts w:asciiTheme="majorBidi" w:hAnsiTheme="majorBidi" w:cstheme="majorBidi"/>
                <w:lang w:val="lt-LT"/>
              </w:rPr>
              <w:t>-</w:t>
            </w:r>
          </w:p>
        </w:tc>
        <w:tc>
          <w:tcPr>
            <w:tcW w:w="532" w:type="pct"/>
            <w:vAlign w:val="center"/>
          </w:tcPr>
          <w:p w:rsidR="00A336C2" w:rsidRPr="00152D62" w:rsidRDefault="00A336C2" w:rsidP="001F4EB1">
            <w:pPr>
              <w:spacing w:line="240" w:lineRule="auto"/>
              <w:jc w:val="center"/>
              <w:rPr>
                <w:rFonts w:asciiTheme="majorBidi" w:hAnsiTheme="majorBidi" w:cstheme="majorBidi"/>
                <w:color w:val="000000"/>
              </w:rPr>
            </w:pPr>
            <w:r>
              <w:rPr>
                <w:rFonts w:asciiTheme="majorBidi" w:hAnsiTheme="majorBidi" w:cstheme="majorBidi"/>
                <w:color w:val="000000"/>
              </w:rPr>
              <w:t>0,04</w:t>
            </w:r>
            <w:r w:rsidRPr="00152D62">
              <w:rPr>
                <w:rFonts w:asciiTheme="majorBidi" w:hAnsiTheme="majorBidi" w:cstheme="majorBidi"/>
                <w:color w:val="000000"/>
              </w:rPr>
              <w:t>58</w:t>
            </w:r>
          </w:p>
        </w:tc>
        <w:tc>
          <w:tcPr>
            <w:tcW w:w="566" w:type="pct"/>
            <w:tcBorders>
              <w:right w:val="single" w:sz="18" w:space="0" w:color="auto"/>
            </w:tcBorders>
            <w:vAlign w:val="center"/>
          </w:tcPr>
          <w:p w:rsidR="00A336C2" w:rsidRPr="00152D62" w:rsidRDefault="00A336C2" w:rsidP="001F4EB1">
            <w:pPr>
              <w:spacing w:line="240" w:lineRule="auto"/>
              <w:jc w:val="center"/>
              <w:rPr>
                <w:rFonts w:asciiTheme="majorBidi" w:hAnsiTheme="majorBidi" w:cstheme="majorBidi"/>
                <w:b/>
                <w:bCs/>
                <w:lang w:val="lt-LT"/>
              </w:rPr>
            </w:pPr>
            <w:r w:rsidRPr="00152D62">
              <w:rPr>
                <w:rFonts w:asciiTheme="majorBidi" w:hAnsiTheme="majorBidi" w:cstheme="majorBidi"/>
                <w:lang w:val="lt-LT"/>
              </w:rPr>
              <w:t>-</w:t>
            </w:r>
          </w:p>
        </w:tc>
      </w:tr>
      <w:tr w:rsidR="00A336C2" w:rsidRPr="00152D62" w:rsidTr="00A336C2">
        <w:trPr>
          <w:jc w:val="center"/>
        </w:trPr>
        <w:tc>
          <w:tcPr>
            <w:tcW w:w="391" w:type="pct"/>
            <w:tcBorders>
              <w:right w:val="single" w:sz="18" w:space="0" w:color="auto"/>
            </w:tcBorders>
          </w:tcPr>
          <w:p w:rsidR="00A336C2" w:rsidRPr="006A7328" w:rsidRDefault="00A336C2" w:rsidP="006A7328">
            <w:pPr>
              <w:spacing w:line="240" w:lineRule="auto"/>
              <w:rPr>
                <w:b/>
                <w:bCs/>
                <w:lang w:val="lt-LT"/>
              </w:rPr>
            </w:pPr>
            <w:r w:rsidRPr="006A7328">
              <w:rPr>
                <w:b/>
                <w:bCs/>
                <w:lang w:val="lt-LT"/>
              </w:rPr>
              <w:t>2013</w:t>
            </w:r>
          </w:p>
        </w:tc>
        <w:tc>
          <w:tcPr>
            <w:tcW w:w="461" w:type="pct"/>
            <w:tcBorders>
              <w:left w:val="single" w:sz="18" w:space="0" w:color="auto"/>
            </w:tcBorders>
            <w:vAlign w:val="center"/>
          </w:tcPr>
          <w:p w:rsidR="00A336C2" w:rsidRPr="00152D62" w:rsidRDefault="00A336C2" w:rsidP="006A7328">
            <w:pPr>
              <w:spacing w:line="240" w:lineRule="auto"/>
              <w:jc w:val="center"/>
              <w:rPr>
                <w:lang w:val="lt-LT"/>
              </w:rPr>
            </w:pPr>
            <w:r w:rsidRPr="00152D62">
              <w:rPr>
                <w:lang w:val="lt-LT"/>
              </w:rPr>
              <w:t>0,0061</w:t>
            </w:r>
          </w:p>
        </w:tc>
        <w:tc>
          <w:tcPr>
            <w:tcW w:w="535" w:type="pct"/>
            <w:vAlign w:val="center"/>
          </w:tcPr>
          <w:p w:rsidR="00A336C2" w:rsidRPr="00152D62" w:rsidRDefault="00A336C2" w:rsidP="006A7328">
            <w:pPr>
              <w:spacing w:line="240" w:lineRule="auto"/>
              <w:jc w:val="center"/>
              <w:rPr>
                <w:color w:val="000000"/>
              </w:rPr>
            </w:pPr>
            <w:r>
              <w:rPr>
                <w:color w:val="000000"/>
              </w:rPr>
              <w:t>0,06</w:t>
            </w:r>
            <w:r w:rsidRPr="00152D62">
              <w:rPr>
                <w:color w:val="000000"/>
              </w:rPr>
              <w:t>44</w:t>
            </w:r>
          </w:p>
        </w:tc>
        <w:tc>
          <w:tcPr>
            <w:tcW w:w="576" w:type="pct"/>
            <w:tcBorders>
              <w:right w:val="single" w:sz="18" w:space="0" w:color="auto"/>
            </w:tcBorders>
            <w:vAlign w:val="bottom"/>
          </w:tcPr>
          <w:p w:rsidR="00A336C2" w:rsidRPr="00152D62" w:rsidRDefault="00A336C2" w:rsidP="006A7328">
            <w:pPr>
              <w:spacing w:line="240" w:lineRule="auto"/>
              <w:jc w:val="center"/>
            </w:pPr>
            <w:r>
              <w:rPr>
                <w:lang w:val="lt-LT"/>
              </w:rPr>
              <w:t>-0,0518</w:t>
            </w:r>
          </w:p>
        </w:tc>
        <w:tc>
          <w:tcPr>
            <w:tcW w:w="417" w:type="pct"/>
            <w:tcBorders>
              <w:left w:val="single" w:sz="18" w:space="0" w:color="auto"/>
            </w:tcBorders>
            <w:vAlign w:val="center"/>
          </w:tcPr>
          <w:p w:rsidR="00A336C2" w:rsidRPr="00152D62" w:rsidRDefault="00A336C2" w:rsidP="006A7328">
            <w:pPr>
              <w:spacing w:line="240" w:lineRule="auto"/>
              <w:jc w:val="center"/>
              <w:rPr>
                <w:lang w:val="lt-LT"/>
              </w:rPr>
            </w:pPr>
            <w:r w:rsidRPr="00152D62">
              <w:rPr>
                <w:lang w:val="lt-LT"/>
              </w:rPr>
              <w:t>0,0247</w:t>
            </w:r>
          </w:p>
        </w:tc>
        <w:tc>
          <w:tcPr>
            <w:tcW w:w="532" w:type="pct"/>
            <w:vAlign w:val="center"/>
          </w:tcPr>
          <w:p w:rsidR="00A336C2" w:rsidRPr="00152D62" w:rsidRDefault="00A336C2" w:rsidP="006A7328">
            <w:pPr>
              <w:spacing w:line="240" w:lineRule="auto"/>
              <w:jc w:val="center"/>
              <w:rPr>
                <w:color w:val="000000"/>
              </w:rPr>
            </w:pPr>
            <w:r>
              <w:rPr>
                <w:color w:val="000000"/>
              </w:rPr>
              <w:t>0,14</w:t>
            </w:r>
            <w:r w:rsidRPr="00152D62">
              <w:rPr>
                <w:color w:val="000000"/>
              </w:rPr>
              <w:t>08</w:t>
            </w:r>
          </w:p>
        </w:tc>
        <w:tc>
          <w:tcPr>
            <w:tcW w:w="574" w:type="pct"/>
            <w:tcBorders>
              <w:right w:val="single" w:sz="18" w:space="0" w:color="auto"/>
            </w:tcBorders>
            <w:vAlign w:val="bottom"/>
          </w:tcPr>
          <w:p w:rsidR="00A336C2" w:rsidRPr="00152D62" w:rsidRDefault="00A336C2" w:rsidP="006A7328">
            <w:pPr>
              <w:spacing w:line="240" w:lineRule="auto"/>
              <w:jc w:val="center"/>
            </w:pPr>
            <w:r>
              <w:rPr>
                <w:lang w:val="lt-LT"/>
              </w:rPr>
              <w:t>-0</w:t>
            </w:r>
            <w:r w:rsidRPr="00152D62">
              <w:rPr>
                <w:lang w:val="lt-LT"/>
              </w:rPr>
              <w:t>,</w:t>
            </w:r>
            <w:r>
              <w:rPr>
                <w:lang w:val="lt-LT"/>
              </w:rPr>
              <w:t>1151</w:t>
            </w:r>
          </w:p>
        </w:tc>
        <w:tc>
          <w:tcPr>
            <w:tcW w:w="417" w:type="pct"/>
            <w:tcBorders>
              <w:left w:val="single" w:sz="18" w:space="0" w:color="auto"/>
            </w:tcBorders>
            <w:vAlign w:val="center"/>
          </w:tcPr>
          <w:p w:rsidR="00A336C2" w:rsidRPr="00152D62" w:rsidRDefault="00A336C2" w:rsidP="001F4EB1">
            <w:pPr>
              <w:spacing w:line="240" w:lineRule="auto"/>
              <w:jc w:val="center"/>
              <w:rPr>
                <w:lang w:val="lt-LT"/>
              </w:rPr>
            </w:pPr>
            <w:r w:rsidRPr="00152D62">
              <w:rPr>
                <w:lang w:val="lt-LT"/>
              </w:rPr>
              <w:t>0,1406</w:t>
            </w:r>
          </w:p>
        </w:tc>
        <w:tc>
          <w:tcPr>
            <w:tcW w:w="532" w:type="pct"/>
            <w:vAlign w:val="center"/>
          </w:tcPr>
          <w:p w:rsidR="00A336C2" w:rsidRPr="00152D62" w:rsidRDefault="00A336C2" w:rsidP="001F4EB1">
            <w:pPr>
              <w:spacing w:line="240" w:lineRule="auto"/>
              <w:jc w:val="center"/>
              <w:rPr>
                <w:color w:val="000000"/>
              </w:rPr>
            </w:pPr>
            <w:r>
              <w:rPr>
                <w:color w:val="000000"/>
              </w:rPr>
              <w:t>0,04</w:t>
            </w:r>
            <w:r w:rsidRPr="00152D62">
              <w:rPr>
                <w:color w:val="000000"/>
              </w:rPr>
              <w:t>92</w:t>
            </w:r>
          </w:p>
        </w:tc>
        <w:tc>
          <w:tcPr>
            <w:tcW w:w="566" w:type="pct"/>
            <w:tcBorders>
              <w:right w:val="single" w:sz="18" w:space="0" w:color="auto"/>
            </w:tcBorders>
            <w:vAlign w:val="center"/>
          </w:tcPr>
          <w:p w:rsidR="00A336C2" w:rsidRPr="00152D62" w:rsidRDefault="00A336C2" w:rsidP="001F4EB1">
            <w:pPr>
              <w:spacing w:line="240" w:lineRule="auto"/>
              <w:jc w:val="center"/>
            </w:pPr>
            <w:r>
              <w:rPr>
                <w:lang w:val="lt-LT"/>
              </w:rPr>
              <w:t>0,0</w:t>
            </w:r>
            <w:r w:rsidRPr="00152D62">
              <w:rPr>
                <w:lang w:val="lt-LT"/>
              </w:rPr>
              <w:t>9</w:t>
            </w:r>
            <w:r>
              <w:rPr>
                <w:lang w:val="lt-LT"/>
              </w:rPr>
              <w:t>1</w:t>
            </w:r>
            <w:r w:rsidRPr="00152D62">
              <w:rPr>
                <w:lang w:val="lt-LT"/>
              </w:rPr>
              <w:t>4</w:t>
            </w:r>
          </w:p>
        </w:tc>
      </w:tr>
    </w:tbl>
    <w:p w:rsidR="00C2492C" w:rsidRDefault="004A39CD" w:rsidP="00C2492C">
      <w:pPr>
        <w:spacing w:after="0" w:line="240" w:lineRule="auto"/>
        <w:rPr>
          <w:sz w:val="20"/>
          <w:szCs w:val="20"/>
          <w:lang w:val="lt-LT"/>
        </w:rPr>
      </w:pPr>
      <w:r w:rsidRPr="00ED3D25">
        <w:rPr>
          <w:sz w:val="20"/>
          <w:szCs w:val="20"/>
          <w:lang w:val="lt-LT"/>
        </w:rPr>
        <w:t xml:space="preserve">Pastaba: </w:t>
      </w:r>
      <w:r w:rsidR="00C2492C" w:rsidRPr="00ED3D25">
        <w:rPr>
          <w:sz w:val="20"/>
          <w:szCs w:val="20"/>
          <w:lang w:val="lt-LT"/>
        </w:rPr>
        <w:t>lentelė sudaryta au</w:t>
      </w:r>
      <w:r w:rsidR="00C2492C">
        <w:rPr>
          <w:sz w:val="20"/>
          <w:szCs w:val="20"/>
          <w:lang w:val="lt-LT"/>
        </w:rPr>
        <w:t>torės, remiantis Lietuvos statistikos departamento</w:t>
      </w:r>
      <w:r w:rsidR="00C2492C" w:rsidRPr="00ED3D25">
        <w:rPr>
          <w:sz w:val="20"/>
          <w:szCs w:val="20"/>
          <w:lang w:val="lt-LT"/>
        </w:rPr>
        <w:t xml:space="preserve"> duome</w:t>
      </w:r>
      <w:r w:rsidR="00C2492C">
        <w:rPr>
          <w:sz w:val="20"/>
          <w:szCs w:val="20"/>
          <w:lang w:val="lt-LT"/>
        </w:rPr>
        <w:t xml:space="preserve">nimis </w:t>
      </w:r>
      <w:r w:rsidR="00C2492C" w:rsidRPr="00C2492C">
        <w:rPr>
          <w:sz w:val="20"/>
          <w:szCs w:val="20"/>
          <w:lang w:val="lt-LT"/>
        </w:rPr>
        <w:t xml:space="preserve"> </w:t>
      </w:r>
      <w:r w:rsidR="00C2492C">
        <w:rPr>
          <w:sz w:val="20"/>
          <w:szCs w:val="20"/>
          <w:lang w:val="lt-LT"/>
        </w:rPr>
        <w:t>ir įmonės B finansiniais duomenimis</w:t>
      </w:r>
      <w:r w:rsidR="00C2492C" w:rsidRPr="00ED3D25">
        <w:rPr>
          <w:sz w:val="20"/>
          <w:szCs w:val="20"/>
          <w:lang w:val="lt-LT"/>
        </w:rPr>
        <w:t>.</w:t>
      </w:r>
    </w:p>
    <w:p w:rsidR="00C2492C" w:rsidRPr="00C2492C" w:rsidRDefault="00C2492C" w:rsidP="00C2492C">
      <w:pPr>
        <w:spacing w:after="0" w:line="240" w:lineRule="auto"/>
        <w:rPr>
          <w:sz w:val="14"/>
          <w:szCs w:val="14"/>
          <w:lang w:val="lt-LT"/>
        </w:rPr>
      </w:pPr>
    </w:p>
    <w:p w:rsidR="004A39CD" w:rsidRPr="00ED3D25" w:rsidRDefault="004A39CD" w:rsidP="00C2492C">
      <w:pPr>
        <w:spacing w:after="0"/>
        <w:rPr>
          <w:sz w:val="2"/>
          <w:szCs w:val="2"/>
          <w:lang w:val="lt-LT"/>
        </w:rPr>
      </w:pPr>
    </w:p>
    <w:p w:rsidR="001D46AA" w:rsidRPr="00A336C2" w:rsidRDefault="004D7816" w:rsidP="00A336C2">
      <w:pPr>
        <w:spacing w:after="0"/>
        <w:ind w:firstLine="851"/>
        <w:rPr>
          <w:lang w:val="lt-LT"/>
        </w:rPr>
      </w:pPr>
      <w:r>
        <w:rPr>
          <w:lang w:val="lt-LT"/>
        </w:rPr>
        <w:t xml:space="preserve">Lyginant </w:t>
      </w:r>
      <w:r w:rsidR="00C46144">
        <w:rPr>
          <w:lang w:val="lt-LT"/>
        </w:rPr>
        <w:t xml:space="preserve">įmonės B ir sekoriaus </w:t>
      </w:r>
      <w:r w:rsidR="00A336C2">
        <w:rPr>
          <w:lang w:val="lt-LT"/>
        </w:rPr>
        <w:t xml:space="preserve">pelningumo </w:t>
      </w:r>
      <w:r w:rsidR="00746E75">
        <w:rPr>
          <w:lang w:val="lt-LT"/>
        </w:rPr>
        <w:t>rodiklius 25</w:t>
      </w:r>
      <w:r>
        <w:rPr>
          <w:lang w:val="lt-LT"/>
        </w:rPr>
        <w:t xml:space="preserve"> lentel</w:t>
      </w:r>
      <w:r w:rsidR="00C46144">
        <w:rPr>
          <w:lang w:val="lt-LT"/>
        </w:rPr>
        <w:t>ė</w:t>
      </w:r>
      <w:r>
        <w:rPr>
          <w:lang w:val="lt-LT"/>
        </w:rPr>
        <w:t xml:space="preserve">je, matyti, kad </w:t>
      </w:r>
      <w:r w:rsidR="00C46144">
        <w:rPr>
          <w:lang w:val="lt-LT"/>
        </w:rPr>
        <w:t>įmonei būdingas beveik nulinis turto pelningumas, kai tuo metu sektoriaus yra daugiau nei 6 proc.</w:t>
      </w:r>
      <w:r w:rsidR="00E66F03">
        <w:rPr>
          <w:lang w:val="lt-LT"/>
        </w:rPr>
        <w:t xml:space="preserve"> Panaši situacija ir su ROE rodikliu, tik paskutiniais lyginamais metais įmonės B rodiklis siekė 2,5 proc., kai tuo metu sektoriaus 14 proc. Galima tikėtis, kad toks didelis, net 11,5 proc. siekiantis skirtumas palaipsniui mažės, nes įmonė dar tik kelis metus vykdo veiklą. </w:t>
      </w:r>
      <w:r w:rsidR="00A336C2">
        <w:rPr>
          <w:lang w:val="lt-LT"/>
        </w:rPr>
        <w:t>Vertinant grynąjį pelningumą sektoriui būdingas 4,7 proc. pelningumo lygis. Šiuo atžvilgiu įmonės B pelningumas skaičiuojamas tik paskutiniais metais – 2013m. ir siekia net 14 proc. tad čia įmonė lenkia kitas sektoriuje veikiančias įmones.</w:t>
      </w:r>
    </w:p>
    <w:p w:rsidR="004A39CD" w:rsidRPr="00ED3D25" w:rsidRDefault="00746E75" w:rsidP="004A39CD">
      <w:pPr>
        <w:spacing w:after="0"/>
        <w:ind w:firstLine="851"/>
        <w:jc w:val="right"/>
        <w:rPr>
          <w:b/>
          <w:bCs/>
          <w:lang w:val="lt-LT"/>
        </w:rPr>
      </w:pPr>
      <w:r>
        <w:rPr>
          <w:b/>
          <w:bCs/>
          <w:lang w:val="lt-LT"/>
        </w:rPr>
        <w:t>26</w:t>
      </w:r>
      <w:r w:rsidR="004A39CD" w:rsidRPr="00ED3D25">
        <w:rPr>
          <w:b/>
          <w:bCs/>
          <w:lang w:val="lt-LT"/>
        </w:rPr>
        <w:t xml:space="preserve"> lentelė</w:t>
      </w:r>
    </w:p>
    <w:p w:rsidR="00633652" w:rsidRPr="00ED3D25" w:rsidRDefault="001F4EB1" w:rsidP="00633652">
      <w:pPr>
        <w:spacing w:after="0" w:line="240" w:lineRule="auto"/>
        <w:jc w:val="center"/>
        <w:rPr>
          <w:b/>
          <w:bCs/>
          <w:sz w:val="22"/>
          <w:szCs w:val="20"/>
          <w:lang w:val="lt-LT"/>
        </w:rPr>
      </w:pPr>
      <w:r>
        <w:rPr>
          <w:b/>
          <w:bCs/>
          <w:sz w:val="22"/>
          <w:szCs w:val="20"/>
          <w:lang w:val="lt-LT"/>
        </w:rPr>
        <w:t>Į</w:t>
      </w:r>
      <w:r w:rsidRPr="00ED3D25">
        <w:rPr>
          <w:b/>
          <w:bCs/>
          <w:sz w:val="22"/>
          <w:szCs w:val="20"/>
          <w:lang w:val="lt-LT"/>
        </w:rPr>
        <w:t>monė</w:t>
      </w:r>
      <w:r>
        <w:rPr>
          <w:b/>
          <w:bCs/>
          <w:sz w:val="22"/>
          <w:szCs w:val="20"/>
          <w:lang w:val="lt-LT"/>
        </w:rPr>
        <w:t>s</w:t>
      </w:r>
      <w:r w:rsidRPr="00ED3D25">
        <w:rPr>
          <w:b/>
          <w:bCs/>
          <w:sz w:val="22"/>
          <w:szCs w:val="20"/>
          <w:lang w:val="lt-LT"/>
        </w:rPr>
        <w:t xml:space="preserve"> C</w:t>
      </w:r>
      <w:r>
        <w:rPr>
          <w:b/>
          <w:bCs/>
          <w:sz w:val="22"/>
          <w:szCs w:val="20"/>
          <w:lang w:val="lt-LT"/>
        </w:rPr>
        <w:t xml:space="preserve"> </w:t>
      </w:r>
      <w:r w:rsidR="00633652">
        <w:rPr>
          <w:b/>
          <w:bCs/>
          <w:sz w:val="22"/>
          <w:szCs w:val="20"/>
          <w:lang w:val="lt-LT"/>
        </w:rPr>
        <w:t>finansinių rodiklių palyginimas su</w:t>
      </w:r>
      <w:r>
        <w:rPr>
          <w:b/>
          <w:bCs/>
          <w:sz w:val="22"/>
          <w:szCs w:val="20"/>
          <w:lang w:val="lt-LT"/>
        </w:rPr>
        <w:t xml:space="preserve"> m</w:t>
      </w:r>
      <w:r w:rsidR="00063F29">
        <w:rPr>
          <w:b/>
          <w:bCs/>
          <w:sz w:val="22"/>
          <w:szCs w:val="20"/>
          <w:lang w:val="lt-LT"/>
        </w:rPr>
        <w:t>edienos ruošos s</w:t>
      </w:r>
      <w:r w:rsidR="004A39CD" w:rsidRPr="00ED3D25">
        <w:rPr>
          <w:b/>
          <w:bCs/>
          <w:sz w:val="22"/>
          <w:szCs w:val="20"/>
          <w:lang w:val="lt-LT"/>
        </w:rPr>
        <w:t>ektoriaus</w:t>
      </w:r>
      <w:r>
        <w:rPr>
          <w:b/>
          <w:bCs/>
          <w:sz w:val="22"/>
          <w:szCs w:val="20"/>
          <w:lang w:val="lt-LT"/>
        </w:rPr>
        <w:t xml:space="preserve"> </w:t>
      </w:r>
      <w:r w:rsidR="00633652">
        <w:rPr>
          <w:b/>
          <w:bCs/>
          <w:sz w:val="22"/>
          <w:szCs w:val="20"/>
          <w:lang w:val="lt-LT"/>
        </w:rPr>
        <w:t>finansiniais rodikliais</w:t>
      </w:r>
    </w:p>
    <w:p w:rsidR="004A39CD" w:rsidRPr="00ED3D25" w:rsidRDefault="004A39CD" w:rsidP="004A39CD">
      <w:pPr>
        <w:spacing w:after="0" w:line="240" w:lineRule="auto"/>
        <w:ind w:firstLine="851"/>
        <w:jc w:val="center"/>
        <w:rPr>
          <w:b/>
          <w:bCs/>
          <w:sz w:val="22"/>
          <w:szCs w:val="20"/>
          <w:lang w:val="lt-LT"/>
        </w:rPr>
      </w:pPr>
    </w:p>
    <w:tbl>
      <w:tblPr>
        <w:tblStyle w:val="TableGrid"/>
        <w:tblW w:w="5000" w:type="pct"/>
        <w:jc w:val="center"/>
        <w:tblLook w:val="04A0" w:firstRow="1" w:lastRow="0" w:firstColumn="1" w:lastColumn="0" w:noHBand="0" w:noVBand="1"/>
      </w:tblPr>
      <w:tblGrid>
        <w:gridCol w:w="777"/>
        <w:gridCol w:w="834"/>
        <w:gridCol w:w="1065"/>
        <w:gridCol w:w="1127"/>
        <w:gridCol w:w="834"/>
        <w:gridCol w:w="1065"/>
        <w:gridCol w:w="1127"/>
        <w:gridCol w:w="834"/>
        <w:gridCol w:w="1065"/>
        <w:gridCol w:w="1127"/>
      </w:tblGrid>
      <w:tr w:rsidR="00AE421E" w:rsidRPr="00ED3D25" w:rsidTr="006A7328">
        <w:trPr>
          <w:jc w:val="center"/>
        </w:trPr>
        <w:tc>
          <w:tcPr>
            <w:tcW w:w="460" w:type="pct"/>
            <w:vMerge w:val="restart"/>
            <w:tcBorders>
              <w:right w:val="single" w:sz="18" w:space="0" w:color="auto"/>
              <w:tl2br w:val="single" w:sz="4" w:space="0" w:color="auto"/>
            </w:tcBorders>
            <w:vAlign w:val="center"/>
          </w:tcPr>
          <w:p w:rsidR="00C33C12" w:rsidRPr="006A7328" w:rsidRDefault="00AE421E" w:rsidP="006A7328">
            <w:pPr>
              <w:spacing w:line="240" w:lineRule="auto"/>
              <w:jc w:val="right"/>
              <w:rPr>
                <w:b/>
                <w:bCs/>
                <w:lang w:val="lt-LT"/>
              </w:rPr>
            </w:pPr>
            <w:r w:rsidRPr="006A7328">
              <w:rPr>
                <w:b/>
                <w:bCs/>
                <w:lang w:val="lt-LT"/>
              </w:rPr>
              <w:t>Rod.</w:t>
            </w:r>
          </w:p>
          <w:p w:rsidR="00AE421E" w:rsidRPr="006A7328" w:rsidRDefault="00AE421E" w:rsidP="006A7328">
            <w:pPr>
              <w:spacing w:line="240" w:lineRule="auto"/>
              <w:rPr>
                <w:b/>
                <w:bCs/>
                <w:lang w:val="lt-LT"/>
              </w:rPr>
            </w:pPr>
            <w:r w:rsidRPr="006A7328">
              <w:rPr>
                <w:b/>
                <w:bCs/>
                <w:lang w:val="lt-LT"/>
              </w:rPr>
              <w:t>Metai</w:t>
            </w:r>
          </w:p>
        </w:tc>
        <w:tc>
          <w:tcPr>
            <w:tcW w:w="1511" w:type="pct"/>
            <w:gridSpan w:val="3"/>
            <w:tcBorders>
              <w:left w:val="single" w:sz="18" w:space="0" w:color="auto"/>
              <w:right w:val="single" w:sz="18" w:space="0" w:color="auto"/>
            </w:tcBorders>
          </w:tcPr>
          <w:p w:rsidR="00AE421E" w:rsidRPr="006A7328" w:rsidRDefault="00AE421E" w:rsidP="006A7328">
            <w:pPr>
              <w:spacing w:line="240" w:lineRule="auto"/>
              <w:jc w:val="center"/>
              <w:rPr>
                <w:rFonts w:asciiTheme="majorBidi" w:hAnsiTheme="majorBidi" w:cstheme="majorBidi"/>
                <w:b/>
                <w:bCs/>
                <w:lang w:val="lt-LT"/>
              </w:rPr>
            </w:pPr>
            <w:r w:rsidRPr="006A7328">
              <w:rPr>
                <w:b/>
                <w:bCs/>
                <w:lang w:val="lt-LT"/>
              </w:rPr>
              <w:t>Einamasis likvidumas</w:t>
            </w:r>
          </w:p>
        </w:tc>
        <w:tc>
          <w:tcPr>
            <w:tcW w:w="1512" w:type="pct"/>
            <w:gridSpan w:val="3"/>
            <w:tcBorders>
              <w:left w:val="single" w:sz="18" w:space="0" w:color="auto"/>
              <w:right w:val="single" w:sz="18" w:space="0" w:color="auto"/>
            </w:tcBorders>
          </w:tcPr>
          <w:p w:rsidR="00AE421E" w:rsidRPr="006A7328" w:rsidRDefault="00AE421E" w:rsidP="006A7328">
            <w:pPr>
              <w:spacing w:line="240" w:lineRule="auto"/>
              <w:jc w:val="center"/>
              <w:rPr>
                <w:rFonts w:asciiTheme="majorBidi" w:hAnsiTheme="majorBidi" w:cstheme="majorBidi"/>
                <w:b/>
                <w:bCs/>
                <w:lang w:val="lt-LT"/>
              </w:rPr>
            </w:pPr>
            <w:r w:rsidRPr="006A7328">
              <w:rPr>
                <w:rFonts w:asciiTheme="majorBidi" w:hAnsiTheme="majorBidi" w:cstheme="majorBidi"/>
                <w:b/>
                <w:bCs/>
                <w:lang w:val="lt-LT"/>
              </w:rPr>
              <w:t>Įsiskolinimų koeficientas</w:t>
            </w:r>
          </w:p>
        </w:tc>
        <w:tc>
          <w:tcPr>
            <w:tcW w:w="1518" w:type="pct"/>
            <w:gridSpan w:val="3"/>
            <w:tcBorders>
              <w:left w:val="single" w:sz="18" w:space="0" w:color="auto"/>
              <w:right w:val="single" w:sz="18" w:space="0" w:color="auto"/>
            </w:tcBorders>
          </w:tcPr>
          <w:p w:rsidR="00AE421E" w:rsidRPr="006A7328" w:rsidRDefault="001F4EB1" w:rsidP="006A7328">
            <w:pPr>
              <w:spacing w:line="240" w:lineRule="auto"/>
              <w:jc w:val="center"/>
              <w:rPr>
                <w:rFonts w:asciiTheme="majorBidi" w:hAnsiTheme="majorBidi" w:cstheme="majorBidi"/>
                <w:b/>
                <w:bCs/>
                <w:lang w:val="lt-LT"/>
              </w:rPr>
            </w:pPr>
            <w:r>
              <w:rPr>
                <w:rFonts w:asciiTheme="majorBidi" w:hAnsiTheme="majorBidi" w:cstheme="majorBidi"/>
                <w:b/>
                <w:bCs/>
                <w:lang w:val="lt-LT"/>
              </w:rPr>
              <w:t>Turto apyvartumas</w:t>
            </w:r>
          </w:p>
        </w:tc>
      </w:tr>
      <w:tr w:rsidR="00AE421E" w:rsidRPr="00ED3D25" w:rsidTr="006A7328">
        <w:trPr>
          <w:jc w:val="center"/>
        </w:trPr>
        <w:tc>
          <w:tcPr>
            <w:tcW w:w="460" w:type="pct"/>
            <w:vMerge/>
            <w:tcBorders>
              <w:right w:val="single" w:sz="18" w:space="0" w:color="auto"/>
            </w:tcBorders>
            <w:vAlign w:val="bottom"/>
          </w:tcPr>
          <w:p w:rsidR="00AE421E" w:rsidRPr="006A7328" w:rsidRDefault="00AE421E" w:rsidP="006A7328">
            <w:pPr>
              <w:spacing w:line="240" w:lineRule="auto"/>
              <w:rPr>
                <w:b/>
                <w:bCs/>
                <w:lang w:val="lt-LT"/>
              </w:rPr>
            </w:pPr>
          </w:p>
        </w:tc>
        <w:tc>
          <w:tcPr>
            <w:tcW w:w="417" w:type="pct"/>
            <w:tcBorders>
              <w:left w:val="single" w:sz="18" w:space="0" w:color="auto"/>
              <w:bottom w:val="single" w:sz="18" w:space="0" w:color="auto"/>
            </w:tcBorders>
          </w:tcPr>
          <w:p w:rsidR="00AE421E" w:rsidRPr="006A7328" w:rsidRDefault="00AE421E" w:rsidP="006A7328">
            <w:pPr>
              <w:spacing w:line="240" w:lineRule="auto"/>
              <w:jc w:val="center"/>
              <w:rPr>
                <w:lang w:val="lt-LT"/>
              </w:rPr>
            </w:pPr>
            <w:r w:rsidRPr="006A7328">
              <w:rPr>
                <w:lang w:val="lt-LT"/>
              </w:rPr>
              <w:t>Įmonė</w:t>
            </w:r>
          </w:p>
        </w:tc>
        <w:tc>
          <w:tcPr>
            <w:tcW w:w="532" w:type="pct"/>
            <w:tcBorders>
              <w:bottom w:val="single" w:sz="18" w:space="0" w:color="auto"/>
            </w:tcBorders>
          </w:tcPr>
          <w:p w:rsidR="00AE421E" w:rsidRPr="006A7328" w:rsidRDefault="00AE421E" w:rsidP="006A7328">
            <w:pPr>
              <w:spacing w:line="240" w:lineRule="auto"/>
              <w:jc w:val="center"/>
              <w:rPr>
                <w:lang w:val="lt-LT"/>
              </w:rPr>
            </w:pPr>
            <w:r w:rsidRPr="006A7328">
              <w:rPr>
                <w:lang w:val="lt-LT"/>
              </w:rPr>
              <w:t>Sektorius</w:t>
            </w:r>
          </w:p>
        </w:tc>
        <w:tc>
          <w:tcPr>
            <w:tcW w:w="563" w:type="pct"/>
            <w:tcBorders>
              <w:bottom w:val="single" w:sz="18" w:space="0" w:color="auto"/>
              <w:right w:val="single" w:sz="18" w:space="0" w:color="auto"/>
            </w:tcBorders>
          </w:tcPr>
          <w:p w:rsidR="00AE421E" w:rsidRPr="006A7328" w:rsidRDefault="00AE421E" w:rsidP="006A7328">
            <w:pPr>
              <w:spacing w:line="240" w:lineRule="auto"/>
              <w:jc w:val="center"/>
              <w:rPr>
                <w:lang w:val="lt-LT"/>
              </w:rPr>
            </w:pPr>
            <w:r w:rsidRPr="006A7328">
              <w:rPr>
                <w:lang w:val="lt-LT"/>
              </w:rPr>
              <w:t>Skirtumas</w:t>
            </w:r>
          </w:p>
        </w:tc>
        <w:tc>
          <w:tcPr>
            <w:tcW w:w="417" w:type="pct"/>
            <w:tcBorders>
              <w:left w:val="single" w:sz="18" w:space="0" w:color="auto"/>
              <w:bottom w:val="single" w:sz="18" w:space="0" w:color="auto"/>
            </w:tcBorders>
          </w:tcPr>
          <w:p w:rsidR="00AE421E" w:rsidRPr="006A7328" w:rsidRDefault="00AE421E" w:rsidP="006A7328">
            <w:pPr>
              <w:spacing w:line="240" w:lineRule="auto"/>
              <w:jc w:val="center"/>
              <w:rPr>
                <w:lang w:val="lt-LT"/>
              </w:rPr>
            </w:pPr>
            <w:r w:rsidRPr="006A7328">
              <w:rPr>
                <w:lang w:val="lt-LT"/>
              </w:rPr>
              <w:t>Įmonė</w:t>
            </w:r>
          </w:p>
        </w:tc>
        <w:tc>
          <w:tcPr>
            <w:tcW w:w="532" w:type="pct"/>
            <w:tcBorders>
              <w:bottom w:val="single" w:sz="18" w:space="0" w:color="auto"/>
            </w:tcBorders>
          </w:tcPr>
          <w:p w:rsidR="00AE421E" w:rsidRPr="006A7328" w:rsidRDefault="00AE421E" w:rsidP="006A7328">
            <w:pPr>
              <w:spacing w:line="240" w:lineRule="auto"/>
              <w:jc w:val="center"/>
              <w:rPr>
                <w:lang w:val="lt-LT"/>
              </w:rPr>
            </w:pPr>
            <w:r w:rsidRPr="006A7328">
              <w:rPr>
                <w:lang w:val="lt-LT"/>
              </w:rPr>
              <w:t>Sektorius</w:t>
            </w:r>
          </w:p>
        </w:tc>
        <w:tc>
          <w:tcPr>
            <w:tcW w:w="563" w:type="pct"/>
            <w:tcBorders>
              <w:bottom w:val="single" w:sz="18" w:space="0" w:color="auto"/>
              <w:right w:val="single" w:sz="18" w:space="0" w:color="auto"/>
            </w:tcBorders>
          </w:tcPr>
          <w:p w:rsidR="00AE421E" w:rsidRPr="006A7328" w:rsidRDefault="00AE421E" w:rsidP="006A7328">
            <w:pPr>
              <w:spacing w:line="240" w:lineRule="auto"/>
              <w:jc w:val="center"/>
              <w:rPr>
                <w:lang w:val="lt-LT"/>
              </w:rPr>
            </w:pPr>
            <w:r w:rsidRPr="006A7328">
              <w:rPr>
                <w:lang w:val="lt-LT"/>
              </w:rPr>
              <w:t>Skirtumas</w:t>
            </w:r>
          </w:p>
        </w:tc>
        <w:tc>
          <w:tcPr>
            <w:tcW w:w="423" w:type="pct"/>
            <w:tcBorders>
              <w:left w:val="single" w:sz="18" w:space="0" w:color="auto"/>
              <w:bottom w:val="single" w:sz="18" w:space="0" w:color="auto"/>
            </w:tcBorders>
          </w:tcPr>
          <w:p w:rsidR="00AE421E" w:rsidRPr="006A7328" w:rsidRDefault="00AE421E" w:rsidP="006A7328">
            <w:pPr>
              <w:spacing w:line="240" w:lineRule="auto"/>
              <w:jc w:val="center"/>
              <w:rPr>
                <w:lang w:val="lt-LT"/>
              </w:rPr>
            </w:pPr>
            <w:r w:rsidRPr="006A7328">
              <w:rPr>
                <w:lang w:val="lt-LT"/>
              </w:rPr>
              <w:t>Įmonė</w:t>
            </w:r>
          </w:p>
        </w:tc>
        <w:tc>
          <w:tcPr>
            <w:tcW w:w="532" w:type="pct"/>
            <w:tcBorders>
              <w:bottom w:val="single" w:sz="18" w:space="0" w:color="auto"/>
            </w:tcBorders>
          </w:tcPr>
          <w:p w:rsidR="00AE421E" w:rsidRPr="006A7328" w:rsidRDefault="00AE421E" w:rsidP="006A7328">
            <w:pPr>
              <w:spacing w:line="240" w:lineRule="auto"/>
              <w:jc w:val="center"/>
              <w:rPr>
                <w:lang w:val="lt-LT"/>
              </w:rPr>
            </w:pPr>
            <w:r w:rsidRPr="006A7328">
              <w:rPr>
                <w:lang w:val="lt-LT"/>
              </w:rPr>
              <w:t>Sektorius</w:t>
            </w:r>
          </w:p>
        </w:tc>
        <w:tc>
          <w:tcPr>
            <w:tcW w:w="563" w:type="pct"/>
            <w:tcBorders>
              <w:bottom w:val="single" w:sz="18" w:space="0" w:color="auto"/>
              <w:right w:val="single" w:sz="18" w:space="0" w:color="auto"/>
            </w:tcBorders>
          </w:tcPr>
          <w:p w:rsidR="00AE421E" w:rsidRPr="006A7328" w:rsidRDefault="00AE421E" w:rsidP="006A7328">
            <w:pPr>
              <w:spacing w:line="240" w:lineRule="auto"/>
              <w:jc w:val="center"/>
              <w:rPr>
                <w:lang w:val="lt-LT"/>
              </w:rPr>
            </w:pPr>
            <w:r w:rsidRPr="006A7328">
              <w:rPr>
                <w:lang w:val="lt-LT"/>
              </w:rPr>
              <w:t>Skirtumas</w:t>
            </w:r>
          </w:p>
        </w:tc>
      </w:tr>
      <w:tr w:rsidR="001F4EB1" w:rsidRPr="00ED3D25" w:rsidTr="006A7328">
        <w:trPr>
          <w:jc w:val="center"/>
        </w:trPr>
        <w:tc>
          <w:tcPr>
            <w:tcW w:w="460" w:type="pct"/>
            <w:tcBorders>
              <w:right w:val="single" w:sz="18" w:space="0" w:color="auto"/>
            </w:tcBorders>
          </w:tcPr>
          <w:p w:rsidR="001F4EB1" w:rsidRPr="006A7328" w:rsidRDefault="001F4EB1" w:rsidP="006A7328">
            <w:pPr>
              <w:spacing w:line="240" w:lineRule="auto"/>
              <w:rPr>
                <w:b/>
                <w:bCs/>
                <w:lang w:val="lt-LT"/>
              </w:rPr>
            </w:pPr>
            <w:r w:rsidRPr="006A7328">
              <w:rPr>
                <w:b/>
                <w:bCs/>
                <w:lang w:val="lt-LT"/>
              </w:rPr>
              <w:t xml:space="preserve">2011 </w:t>
            </w:r>
          </w:p>
        </w:tc>
        <w:tc>
          <w:tcPr>
            <w:tcW w:w="417" w:type="pct"/>
            <w:tcBorders>
              <w:top w:val="single" w:sz="18" w:space="0" w:color="auto"/>
              <w:left w:val="single" w:sz="18" w:space="0" w:color="auto"/>
            </w:tcBorders>
            <w:vAlign w:val="center"/>
          </w:tcPr>
          <w:p w:rsidR="001F4EB1" w:rsidRPr="006A7328" w:rsidRDefault="001F4EB1" w:rsidP="006A7328">
            <w:pPr>
              <w:spacing w:line="240" w:lineRule="auto"/>
              <w:jc w:val="center"/>
              <w:rPr>
                <w:lang w:val="lt-LT"/>
              </w:rPr>
            </w:pPr>
            <w:r w:rsidRPr="006A7328">
              <w:rPr>
                <w:lang w:val="lt-LT"/>
              </w:rPr>
              <w:t>0,687</w:t>
            </w:r>
          </w:p>
        </w:tc>
        <w:tc>
          <w:tcPr>
            <w:tcW w:w="532" w:type="pct"/>
            <w:tcBorders>
              <w:top w:val="single" w:sz="18" w:space="0" w:color="auto"/>
            </w:tcBorders>
            <w:vAlign w:val="center"/>
          </w:tcPr>
          <w:p w:rsidR="001F4EB1" w:rsidRPr="006A7328" w:rsidRDefault="001F4EB1" w:rsidP="006A7328">
            <w:pPr>
              <w:spacing w:line="240" w:lineRule="auto"/>
              <w:jc w:val="center"/>
              <w:rPr>
                <w:lang w:val="lt-LT"/>
              </w:rPr>
            </w:pPr>
            <w:r w:rsidRPr="006A7328">
              <w:rPr>
                <w:lang w:val="lt-LT"/>
              </w:rPr>
              <w:t>1,39</w:t>
            </w:r>
          </w:p>
        </w:tc>
        <w:tc>
          <w:tcPr>
            <w:tcW w:w="563" w:type="pct"/>
            <w:tcBorders>
              <w:top w:val="single" w:sz="18" w:space="0" w:color="auto"/>
              <w:right w:val="single" w:sz="18" w:space="0" w:color="auto"/>
            </w:tcBorders>
            <w:vAlign w:val="center"/>
          </w:tcPr>
          <w:p w:rsidR="001F4EB1" w:rsidRPr="006A7328" w:rsidRDefault="001F4EB1" w:rsidP="006A7328">
            <w:pPr>
              <w:spacing w:line="240" w:lineRule="auto"/>
              <w:jc w:val="center"/>
              <w:rPr>
                <w:lang w:val="lt-LT"/>
              </w:rPr>
            </w:pPr>
            <w:r w:rsidRPr="006A7328">
              <w:rPr>
                <w:lang w:val="lt-LT"/>
              </w:rPr>
              <w:t>-0,703</w:t>
            </w:r>
          </w:p>
        </w:tc>
        <w:tc>
          <w:tcPr>
            <w:tcW w:w="417" w:type="pct"/>
            <w:tcBorders>
              <w:top w:val="single" w:sz="18" w:space="0" w:color="auto"/>
              <w:left w:val="single" w:sz="18" w:space="0" w:color="auto"/>
            </w:tcBorders>
            <w:vAlign w:val="center"/>
          </w:tcPr>
          <w:p w:rsidR="001F4EB1" w:rsidRPr="006A7328" w:rsidRDefault="001F4EB1" w:rsidP="006A7328">
            <w:pPr>
              <w:spacing w:line="240" w:lineRule="auto"/>
              <w:jc w:val="center"/>
              <w:rPr>
                <w:lang w:val="lt-LT"/>
              </w:rPr>
            </w:pPr>
            <w:r w:rsidRPr="006A7328">
              <w:rPr>
                <w:lang w:val="lt-LT"/>
              </w:rPr>
              <w:t>0,9238</w:t>
            </w:r>
          </w:p>
        </w:tc>
        <w:tc>
          <w:tcPr>
            <w:tcW w:w="532" w:type="pct"/>
            <w:tcBorders>
              <w:top w:val="single" w:sz="18" w:space="0" w:color="auto"/>
            </w:tcBorders>
            <w:vAlign w:val="center"/>
          </w:tcPr>
          <w:p w:rsidR="001F4EB1" w:rsidRPr="006A7328" w:rsidRDefault="001F4EB1" w:rsidP="006A7328">
            <w:pPr>
              <w:spacing w:line="240" w:lineRule="auto"/>
              <w:jc w:val="center"/>
              <w:rPr>
                <w:lang w:val="lt-LT"/>
              </w:rPr>
            </w:pPr>
            <w:r w:rsidRPr="006A7328">
              <w:rPr>
                <w:lang w:val="lt-LT"/>
              </w:rPr>
              <w:t>0,51</w:t>
            </w:r>
          </w:p>
        </w:tc>
        <w:tc>
          <w:tcPr>
            <w:tcW w:w="563" w:type="pct"/>
            <w:tcBorders>
              <w:top w:val="single" w:sz="18" w:space="0" w:color="auto"/>
              <w:right w:val="single" w:sz="18" w:space="0" w:color="auto"/>
            </w:tcBorders>
            <w:vAlign w:val="center"/>
          </w:tcPr>
          <w:p w:rsidR="001F4EB1" w:rsidRPr="006A7328" w:rsidRDefault="001F4EB1" w:rsidP="006A7328">
            <w:pPr>
              <w:spacing w:line="240" w:lineRule="auto"/>
              <w:jc w:val="center"/>
              <w:rPr>
                <w:lang w:val="lt-LT"/>
              </w:rPr>
            </w:pPr>
            <w:r w:rsidRPr="006A7328">
              <w:rPr>
                <w:lang w:val="lt-LT"/>
              </w:rPr>
              <w:t>0,4138</w:t>
            </w:r>
          </w:p>
        </w:tc>
        <w:tc>
          <w:tcPr>
            <w:tcW w:w="423" w:type="pct"/>
            <w:tcBorders>
              <w:top w:val="single" w:sz="18" w:space="0" w:color="auto"/>
              <w:left w:val="single" w:sz="18" w:space="0" w:color="auto"/>
            </w:tcBorders>
            <w:vAlign w:val="center"/>
          </w:tcPr>
          <w:p w:rsidR="001F4EB1" w:rsidRPr="006A7328" w:rsidRDefault="001F4EB1" w:rsidP="001F4EB1">
            <w:pPr>
              <w:spacing w:line="240" w:lineRule="auto"/>
              <w:jc w:val="center"/>
              <w:rPr>
                <w:lang w:val="lt-LT"/>
              </w:rPr>
            </w:pPr>
            <w:r w:rsidRPr="006A7328">
              <w:rPr>
                <w:lang w:val="lt-LT"/>
              </w:rPr>
              <w:t>0,5652</w:t>
            </w:r>
          </w:p>
        </w:tc>
        <w:tc>
          <w:tcPr>
            <w:tcW w:w="532" w:type="pct"/>
            <w:tcBorders>
              <w:top w:val="single" w:sz="18" w:space="0" w:color="auto"/>
            </w:tcBorders>
            <w:vAlign w:val="center"/>
          </w:tcPr>
          <w:p w:rsidR="001F4EB1" w:rsidRPr="006A7328" w:rsidRDefault="001F4EB1" w:rsidP="001F4EB1">
            <w:pPr>
              <w:spacing w:line="240" w:lineRule="auto"/>
              <w:jc w:val="center"/>
              <w:rPr>
                <w:lang w:val="lt-LT"/>
              </w:rPr>
            </w:pPr>
            <w:r w:rsidRPr="006A7328">
              <w:rPr>
                <w:lang w:val="lt-LT"/>
              </w:rPr>
              <w:t>1,40</w:t>
            </w:r>
          </w:p>
        </w:tc>
        <w:tc>
          <w:tcPr>
            <w:tcW w:w="563" w:type="pct"/>
            <w:tcBorders>
              <w:top w:val="single" w:sz="18" w:space="0" w:color="auto"/>
              <w:right w:val="single" w:sz="18" w:space="0" w:color="auto"/>
            </w:tcBorders>
            <w:vAlign w:val="center"/>
          </w:tcPr>
          <w:p w:rsidR="001F4EB1" w:rsidRPr="006A7328" w:rsidRDefault="001F4EB1" w:rsidP="001F4EB1">
            <w:pPr>
              <w:spacing w:line="240" w:lineRule="auto"/>
              <w:jc w:val="center"/>
              <w:rPr>
                <w:lang w:val="lt-LT"/>
              </w:rPr>
            </w:pPr>
            <w:r w:rsidRPr="006A7328">
              <w:rPr>
                <w:lang w:val="lt-LT"/>
              </w:rPr>
              <w:t>0,8348</w:t>
            </w:r>
          </w:p>
        </w:tc>
      </w:tr>
      <w:tr w:rsidR="001F4EB1" w:rsidRPr="00ED3D25" w:rsidTr="006A7328">
        <w:trPr>
          <w:jc w:val="center"/>
        </w:trPr>
        <w:tc>
          <w:tcPr>
            <w:tcW w:w="460" w:type="pct"/>
            <w:tcBorders>
              <w:right w:val="single" w:sz="18" w:space="0" w:color="auto"/>
            </w:tcBorders>
          </w:tcPr>
          <w:p w:rsidR="001F4EB1" w:rsidRPr="006A7328" w:rsidRDefault="001F4EB1" w:rsidP="006A7328">
            <w:pPr>
              <w:spacing w:line="240" w:lineRule="auto"/>
              <w:rPr>
                <w:rFonts w:asciiTheme="majorBidi" w:hAnsiTheme="majorBidi" w:cstheme="majorBidi"/>
                <w:b/>
                <w:bCs/>
                <w:lang w:val="lt-LT"/>
              </w:rPr>
            </w:pPr>
            <w:r w:rsidRPr="006A7328">
              <w:rPr>
                <w:rFonts w:asciiTheme="majorBidi" w:hAnsiTheme="majorBidi" w:cstheme="majorBidi"/>
                <w:b/>
                <w:bCs/>
                <w:lang w:val="lt-LT"/>
              </w:rPr>
              <w:t xml:space="preserve">2012 </w:t>
            </w:r>
          </w:p>
        </w:tc>
        <w:tc>
          <w:tcPr>
            <w:tcW w:w="417" w:type="pct"/>
            <w:tcBorders>
              <w:left w:val="single" w:sz="18" w:space="0" w:color="auto"/>
            </w:tcBorders>
            <w:vAlign w:val="center"/>
          </w:tcPr>
          <w:p w:rsidR="001F4EB1" w:rsidRPr="006A7328" w:rsidRDefault="001F4EB1" w:rsidP="006A7328">
            <w:pPr>
              <w:spacing w:line="240" w:lineRule="auto"/>
              <w:jc w:val="center"/>
              <w:rPr>
                <w:lang w:val="lt-LT"/>
              </w:rPr>
            </w:pPr>
            <w:r w:rsidRPr="006A7328">
              <w:rPr>
                <w:lang w:val="lt-LT"/>
              </w:rPr>
              <w:t>1,7464</w:t>
            </w:r>
          </w:p>
        </w:tc>
        <w:tc>
          <w:tcPr>
            <w:tcW w:w="532" w:type="pct"/>
            <w:vAlign w:val="center"/>
          </w:tcPr>
          <w:p w:rsidR="001F4EB1" w:rsidRPr="006A7328" w:rsidRDefault="001F4EB1" w:rsidP="006A7328">
            <w:pPr>
              <w:spacing w:line="240" w:lineRule="auto"/>
              <w:jc w:val="center"/>
              <w:rPr>
                <w:rFonts w:asciiTheme="majorBidi" w:hAnsiTheme="majorBidi" w:cstheme="majorBidi"/>
                <w:lang w:val="lt-LT"/>
              </w:rPr>
            </w:pPr>
            <w:r w:rsidRPr="006A7328">
              <w:rPr>
                <w:rFonts w:asciiTheme="majorBidi" w:hAnsiTheme="majorBidi" w:cstheme="majorBidi"/>
                <w:lang w:val="lt-LT"/>
              </w:rPr>
              <w:t>1,49</w:t>
            </w:r>
          </w:p>
        </w:tc>
        <w:tc>
          <w:tcPr>
            <w:tcW w:w="563" w:type="pct"/>
            <w:tcBorders>
              <w:right w:val="single" w:sz="18" w:space="0" w:color="auto"/>
            </w:tcBorders>
            <w:vAlign w:val="center"/>
          </w:tcPr>
          <w:p w:rsidR="001F4EB1" w:rsidRPr="006A7328" w:rsidRDefault="001F4EB1" w:rsidP="006A7328">
            <w:pPr>
              <w:spacing w:line="240" w:lineRule="auto"/>
              <w:jc w:val="center"/>
              <w:rPr>
                <w:rFonts w:asciiTheme="majorBidi" w:hAnsiTheme="majorBidi" w:cstheme="majorBidi"/>
                <w:lang w:val="lt-LT"/>
              </w:rPr>
            </w:pPr>
            <w:r w:rsidRPr="006A7328">
              <w:rPr>
                <w:rFonts w:asciiTheme="majorBidi" w:hAnsiTheme="majorBidi" w:cstheme="majorBidi"/>
                <w:lang w:val="lt-LT"/>
              </w:rPr>
              <w:t>0,2564</w:t>
            </w:r>
          </w:p>
        </w:tc>
        <w:tc>
          <w:tcPr>
            <w:tcW w:w="417" w:type="pct"/>
            <w:tcBorders>
              <w:left w:val="single" w:sz="18" w:space="0" w:color="auto"/>
            </w:tcBorders>
            <w:vAlign w:val="center"/>
          </w:tcPr>
          <w:p w:rsidR="001F4EB1" w:rsidRPr="006A7328" w:rsidRDefault="001F4EB1" w:rsidP="006A7328">
            <w:pPr>
              <w:spacing w:line="240" w:lineRule="auto"/>
              <w:jc w:val="center"/>
              <w:rPr>
                <w:lang w:val="lt-LT"/>
              </w:rPr>
            </w:pPr>
            <w:r w:rsidRPr="006A7328">
              <w:rPr>
                <w:lang w:val="lt-LT"/>
              </w:rPr>
              <w:t>0,4708</w:t>
            </w:r>
          </w:p>
        </w:tc>
        <w:tc>
          <w:tcPr>
            <w:tcW w:w="532" w:type="pct"/>
            <w:vAlign w:val="center"/>
          </w:tcPr>
          <w:p w:rsidR="001F4EB1" w:rsidRPr="006A7328" w:rsidRDefault="001F4EB1" w:rsidP="006A7328">
            <w:pPr>
              <w:spacing w:line="240" w:lineRule="auto"/>
              <w:jc w:val="center"/>
              <w:rPr>
                <w:rFonts w:asciiTheme="majorBidi" w:hAnsiTheme="majorBidi" w:cstheme="majorBidi"/>
                <w:lang w:val="lt-LT"/>
              </w:rPr>
            </w:pPr>
            <w:r w:rsidRPr="006A7328">
              <w:rPr>
                <w:rFonts w:asciiTheme="majorBidi" w:hAnsiTheme="majorBidi" w:cstheme="majorBidi"/>
                <w:lang w:val="lt-LT"/>
              </w:rPr>
              <w:t>0,48</w:t>
            </w:r>
          </w:p>
        </w:tc>
        <w:tc>
          <w:tcPr>
            <w:tcW w:w="563" w:type="pct"/>
            <w:tcBorders>
              <w:right w:val="single" w:sz="18" w:space="0" w:color="auto"/>
            </w:tcBorders>
            <w:vAlign w:val="center"/>
          </w:tcPr>
          <w:p w:rsidR="001F4EB1" w:rsidRPr="006A7328" w:rsidRDefault="001F4EB1" w:rsidP="006A7328">
            <w:pPr>
              <w:spacing w:line="240" w:lineRule="auto"/>
              <w:jc w:val="center"/>
              <w:rPr>
                <w:lang w:val="lt-LT"/>
              </w:rPr>
            </w:pPr>
            <w:r w:rsidRPr="006A7328">
              <w:rPr>
                <w:lang w:val="lt-LT"/>
              </w:rPr>
              <w:t>-0,0092</w:t>
            </w:r>
          </w:p>
        </w:tc>
        <w:tc>
          <w:tcPr>
            <w:tcW w:w="423" w:type="pct"/>
            <w:tcBorders>
              <w:left w:val="single" w:sz="18" w:space="0" w:color="auto"/>
            </w:tcBorders>
            <w:vAlign w:val="center"/>
          </w:tcPr>
          <w:p w:rsidR="001F4EB1" w:rsidRPr="006A7328" w:rsidRDefault="001F4EB1" w:rsidP="001F4EB1">
            <w:pPr>
              <w:spacing w:line="240" w:lineRule="auto"/>
              <w:jc w:val="center"/>
              <w:rPr>
                <w:lang w:val="lt-LT"/>
              </w:rPr>
            </w:pPr>
            <w:r w:rsidRPr="006A7328">
              <w:rPr>
                <w:lang w:val="lt-LT"/>
              </w:rPr>
              <w:t>1,4753</w:t>
            </w:r>
          </w:p>
        </w:tc>
        <w:tc>
          <w:tcPr>
            <w:tcW w:w="532" w:type="pct"/>
            <w:vAlign w:val="center"/>
          </w:tcPr>
          <w:p w:rsidR="001F4EB1" w:rsidRPr="006A7328" w:rsidRDefault="001F4EB1" w:rsidP="001F4EB1">
            <w:pPr>
              <w:spacing w:line="240" w:lineRule="auto"/>
              <w:jc w:val="center"/>
              <w:rPr>
                <w:rFonts w:asciiTheme="majorBidi" w:hAnsiTheme="majorBidi" w:cstheme="majorBidi"/>
                <w:lang w:val="lt-LT"/>
              </w:rPr>
            </w:pPr>
            <w:r w:rsidRPr="006A7328">
              <w:rPr>
                <w:rFonts w:asciiTheme="majorBidi" w:hAnsiTheme="majorBidi" w:cstheme="majorBidi"/>
                <w:lang w:val="lt-LT"/>
              </w:rPr>
              <w:t>1,20</w:t>
            </w:r>
          </w:p>
        </w:tc>
        <w:tc>
          <w:tcPr>
            <w:tcW w:w="563" w:type="pct"/>
            <w:tcBorders>
              <w:right w:val="single" w:sz="18" w:space="0" w:color="auto"/>
            </w:tcBorders>
            <w:vAlign w:val="center"/>
          </w:tcPr>
          <w:p w:rsidR="001F4EB1" w:rsidRPr="006A7328" w:rsidRDefault="001F4EB1" w:rsidP="001F4EB1">
            <w:pPr>
              <w:spacing w:line="240" w:lineRule="auto"/>
              <w:jc w:val="center"/>
              <w:rPr>
                <w:rFonts w:asciiTheme="majorBidi" w:hAnsiTheme="majorBidi" w:cstheme="majorBidi"/>
                <w:lang w:val="lt-LT"/>
              </w:rPr>
            </w:pPr>
            <w:r w:rsidRPr="006A7328">
              <w:rPr>
                <w:rFonts w:asciiTheme="majorBidi" w:hAnsiTheme="majorBidi" w:cstheme="majorBidi"/>
                <w:lang w:val="lt-LT"/>
              </w:rPr>
              <w:t>0,2753</w:t>
            </w:r>
          </w:p>
        </w:tc>
      </w:tr>
      <w:tr w:rsidR="001F4EB1" w:rsidRPr="00ED3D25" w:rsidTr="006A7328">
        <w:trPr>
          <w:jc w:val="center"/>
        </w:trPr>
        <w:tc>
          <w:tcPr>
            <w:tcW w:w="460" w:type="pct"/>
            <w:tcBorders>
              <w:right w:val="single" w:sz="18" w:space="0" w:color="auto"/>
            </w:tcBorders>
          </w:tcPr>
          <w:p w:rsidR="001F4EB1" w:rsidRPr="006A7328" w:rsidRDefault="001F4EB1" w:rsidP="006A7328">
            <w:pPr>
              <w:spacing w:line="240" w:lineRule="auto"/>
              <w:rPr>
                <w:b/>
                <w:bCs/>
                <w:lang w:val="lt-LT"/>
              </w:rPr>
            </w:pPr>
            <w:r w:rsidRPr="006A7328">
              <w:rPr>
                <w:b/>
                <w:bCs/>
                <w:lang w:val="lt-LT"/>
              </w:rPr>
              <w:t xml:space="preserve">2013 </w:t>
            </w:r>
          </w:p>
        </w:tc>
        <w:tc>
          <w:tcPr>
            <w:tcW w:w="417" w:type="pct"/>
            <w:tcBorders>
              <w:left w:val="single" w:sz="18" w:space="0" w:color="auto"/>
            </w:tcBorders>
            <w:vAlign w:val="center"/>
          </w:tcPr>
          <w:p w:rsidR="001F4EB1" w:rsidRPr="006A7328" w:rsidRDefault="001F4EB1" w:rsidP="006A7328">
            <w:pPr>
              <w:spacing w:line="240" w:lineRule="auto"/>
              <w:jc w:val="center"/>
              <w:rPr>
                <w:lang w:val="lt-LT"/>
              </w:rPr>
            </w:pPr>
            <w:r w:rsidRPr="006A7328">
              <w:rPr>
                <w:lang w:val="lt-LT"/>
              </w:rPr>
              <w:t>0,6394</w:t>
            </w:r>
          </w:p>
        </w:tc>
        <w:tc>
          <w:tcPr>
            <w:tcW w:w="532" w:type="pct"/>
            <w:vAlign w:val="center"/>
          </w:tcPr>
          <w:p w:rsidR="001F4EB1" w:rsidRPr="006A7328" w:rsidRDefault="001F4EB1" w:rsidP="006A7328">
            <w:pPr>
              <w:spacing w:line="240" w:lineRule="auto"/>
              <w:jc w:val="center"/>
              <w:rPr>
                <w:lang w:val="lt-LT"/>
              </w:rPr>
            </w:pPr>
            <w:r w:rsidRPr="006A7328">
              <w:rPr>
                <w:lang w:val="lt-LT"/>
              </w:rPr>
              <w:t>1,81</w:t>
            </w:r>
          </w:p>
        </w:tc>
        <w:tc>
          <w:tcPr>
            <w:tcW w:w="563" w:type="pct"/>
            <w:tcBorders>
              <w:right w:val="single" w:sz="18" w:space="0" w:color="auto"/>
            </w:tcBorders>
            <w:vAlign w:val="center"/>
          </w:tcPr>
          <w:p w:rsidR="001F4EB1" w:rsidRPr="006A7328" w:rsidRDefault="001F4EB1" w:rsidP="006A7328">
            <w:pPr>
              <w:spacing w:line="240" w:lineRule="auto"/>
              <w:jc w:val="center"/>
              <w:rPr>
                <w:lang w:val="lt-LT"/>
              </w:rPr>
            </w:pPr>
            <w:r w:rsidRPr="006A7328">
              <w:rPr>
                <w:lang w:val="lt-LT"/>
              </w:rPr>
              <w:t>-1,1706</w:t>
            </w:r>
          </w:p>
        </w:tc>
        <w:tc>
          <w:tcPr>
            <w:tcW w:w="417" w:type="pct"/>
            <w:tcBorders>
              <w:left w:val="single" w:sz="18" w:space="0" w:color="auto"/>
            </w:tcBorders>
            <w:vAlign w:val="center"/>
          </w:tcPr>
          <w:p w:rsidR="001F4EB1" w:rsidRPr="006A7328" w:rsidRDefault="001F4EB1" w:rsidP="006A7328">
            <w:pPr>
              <w:spacing w:line="240" w:lineRule="auto"/>
              <w:jc w:val="center"/>
              <w:rPr>
                <w:lang w:val="lt-LT"/>
              </w:rPr>
            </w:pPr>
            <w:r w:rsidRPr="006A7328">
              <w:rPr>
                <w:lang w:val="lt-LT"/>
              </w:rPr>
              <w:t>0,3245</w:t>
            </w:r>
          </w:p>
        </w:tc>
        <w:tc>
          <w:tcPr>
            <w:tcW w:w="532" w:type="pct"/>
            <w:vAlign w:val="center"/>
          </w:tcPr>
          <w:p w:rsidR="001F4EB1" w:rsidRPr="006A7328" w:rsidRDefault="001F4EB1" w:rsidP="006A7328">
            <w:pPr>
              <w:spacing w:line="240" w:lineRule="auto"/>
              <w:jc w:val="center"/>
              <w:rPr>
                <w:lang w:val="lt-LT"/>
              </w:rPr>
            </w:pPr>
            <w:r w:rsidRPr="006A7328">
              <w:rPr>
                <w:lang w:val="lt-LT"/>
              </w:rPr>
              <w:t>0,37</w:t>
            </w:r>
          </w:p>
        </w:tc>
        <w:tc>
          <w:tcPr>
            <w:tcW w:w="563" w:type="pct"/>
            <w:tcBorders>
              <w:right w:val="single" w:sz="18" w:space="0" w:color="auto"/>
            </w:tcBorders>
            <w:vAlign w:val="center"/>
          </w:tcPr>
          <w:p w:rsidR="001F4EB1" w:rsidRPr="006A7328" w:rsidRDefault="001F4EB1" w:rsidP="006A7328">
            <w:pPr>
              <w:spacing w:line="240" w:lineRule="auto"/>
              <w:jc w:val="center"/>
              <w:rPr>
                <w:lang w:val="lt-LT"/>
              </w:rPr>
            </w:pPr>
            <w:r w:rsidRPr="006A7328">
              <w:rPr>
                <w:lang w:val="lt-LT"/>
              </w:rPr>
              <w:t>-0,0455</w:t>
            </w:r>
          </w:p>
        </w:tc>
        <w:tc>
          <w:tcPr>
            <w:tcW w:w="423" w:type="pct"/>
            <w:tcBorders>
              <w:left w:val="single" w:sz="18" w:space="0" w:color="auto"/>
            </w:tcBorders>
            <w:vAlign w:val="center"/>
          </w:tcPr>
          <w:p w:rsidR="001F4EB1" w:rsidRPr="006A7328" w:rsidRDefault="001F4EB1" w:rsidP="001F4EB1">
            <w:pPr>
              <w:spacing w:line="240" w:lineRule="auto"/>
              <w:jc w:val="center"/>
              <w:rPr>
                <w:lang w:val="lt-LT"/>
              </w:rPr>
            </w:pPr>
            <w:r w:rsidRPr="006A7328">
              <w:rPr>
                <w:lang w:val="lt-LT"/>
              </w:rPr>
              <w:t>0,5219</w:t>
            </w:r>
          </w:p>
        </w:tc>
        <w:tc>
          <w:tcPr>
            <w:tcW w:w="532" w:type="pct"/>
            <w:vAlign w:val="center"/>
          </w:tcPr>
          <w:p w:rsidR="001F4EB1" w:rsidRPr="006A7328" w:rsidRDefault="001F4EB1" w:rsidP="001F4EB1">
            <w:pPr>
              <w:spacing w:line="240" w:lineRule="auto"/>
              <w:jc w:val="center"/>
              <w:rPr>
                <w:lang w:val="lt-LT"/>
              </w:rPr>
            </w:pPr>
            <w:r w:rsidRPr="006A7328">
              <w:rPr>
                <w:lang w:val="lt-LT"/>
              </w:rPr>
              <w:t>1,39</w:t>
            </w:r>
          </w:p>
        </w:tc>
        <w:tc>
          <w:tcPr>
            <w:tcW w:w="563" w:type="pct"/>
            <w:tcBorders>
              <w:right w:val="single" w:sz="18" w:space="0" w:color="auto"/>
            </w:tcBorders>
            <w:vAlign w:val="center"/>
          </w:tcPr>
          <w:p w:rsidR="001F4EB1" w:rsidRPr="006A7328" w:rsidRDefault="001F4EB1" w:rsidP="001F4EB1">
            <w:pPr>
              <w:spacing w:line="240" w:lineRule="auto"/>
              <w:jc w:val="center"/>
              <w:rPr>
                <w:lang w:val="lt-LT"/>
              </w:rPr>
            </w:pPr>
            <w:r w:rsidRPr="006A7328">
              <w:rPr>
                <w:lang w:val="lt-LT"/>
              </w:rPr>
              <w:t>-0,8681</w:t>
            </w:r>
          </w:p>
        </w:tc>
      </w:tr>
    </w:tbl>
    <w:p w:rsidR="001F4EB1" w:rsidRDefault="004A39CD" w:rsidP="001F4EB1">
      <w:pPr>
        <w:spacing w:after="0" w:line="240" w:lineRule="auto"/>
        <w:rPr>
          <w:sz w:val="20"/>
          <w:szCs w:val="20"/>
          <w:lang w:val="lt-LT"/>
        </w:rPr>
      </w:pPr>
      <w:r w:rsidRPr="00ED3D25">
        <w:rPr>
          <w:sz w:val="20"/>
          <w:szCs w:val="20"/>
          <w:lang w:val="lt-LT"/>
        </w:rPr>
        <w:t>Pastaba:</w:t>
      </w:r>
      <w:r w:rsidR="001F4EB1" w:rsidRPr="001F4EB1">
        <w:rPr>
          <w:sz w:val="20"/>
          <w:szCs w:val="20"/>
          <w:lang w:val="lt-LT"/>
        </w:rPr>
        <w:t xml:space="preserve"> </w:t>
      </w:r>
      <w:r w:rsidR="001F4EB1" w:rsidRPr="00ED3D25">
        <w:rPr>
          <w:sz w:val="20"/>
          <w:szCs w:val="20"/>
          <w:lang w:val="lt-LT"/>
        </w:rPr>
        <w:t>lentelė sudaryta au</w:t>
      </w:r>
      <w:r w:rsidR="001F4EB1">
        <w:rPr>
          <w:sz w:val="20"/>
          <w:szCs w:val="20"/>
          <w:lang w:val="lt-LT"/>
        </w:rPr>
        <w:t>torės, remiantis Lietuvos statistikos departamento</w:t>
      </w:r>
      <w:r w:rsidR="001F4EB1" w:rsidRPr="00ED3D25">
        <w:rPr>
          <w:sz w:val="20"/>
          <w:szCs w:val="20"/>
          <w:lang w:val="lt-LT"/>
        </w:rPr>
        <w:t xml:space="preserve"> duome</w:t>
      </w:r>
      <w:r w:rsidR="00AC2F95">
        <w:rPr>
          <w:sz w:val="20"/>
          <w:szCs w:val="20"/>
          <w:lang w:val="lt-LT"/>
        </w:rPr>
        <w:t>nimis</w:t>
      </w:r>
      <w:r w:rsidR="001F4EB1" w:rsidRPr="00C2492C">
        <w:rPr>
          <w:sz w:val="20"/>
          <w:szCs w:val="20"/>
          <w:lang w:val="lt-LT"/>
        </w:rPr>
        <w:t xml:space="preserve"> </w:t>
      </w:r>
      <w:r w:rsidR="001F4EB1">
        <w:rPr>
          <w:sz w:val="20"/>
          <w:szCs w:val="20"/>
          <w:lang w:val="lt-LT"/>
        </w:rPr>
        <w:t>ir įmonės B finansiniais duomenimis</w:t>
      </w:r>
      <w:r w:rsidR="001F4EB1" w:rsidRPr="00ED3D25">
        <w:rPr>
          <w:sz w:val="20"/>
          <w:szCs w:val="20"/>
          <w:lang w:val="lt-LT"/>
        </w:rPr>
        <w:t>.</w:t>
      </w:r>
    </w:p>
    <w:p w:rsidR="004A39CD" w:rsidRPr="001F4EB1" w:rsidRDefault="004A39CD" w:rsidP="001F4EB1">
      <w:pPr>
        <w:spacing w:after="0" w:line="240" w:lineRule="auto"/>
        <w:rPr>
          <w:sz w:val="14"/>
          <w:szCs w:val="14"/>
          <w:lang w:val="lt-LT"/>
        </w:rPr>
      </w:pPr>
    </w:p>
    <w:p w:rsidR="0011394E" w:rsidRPr="0011394E" w:rsidRDefault="0011394E" w:rsidP="001F4EB1">
      <w:pPr>
        <w:spacing w:after="0"/>
        <w:ind w:firstLine="851"/>
        <w:rPr>
          <w:lang w:val="lt-LT"/>
        </w:rPr>
      </w:pPr>
      <w:r>
        <w:rPr>
          <w:lang w:val="lt-LT"/>
        </w:rPr>
        <w:t>Analizuojant įmonės C ir medienos ruošos sektoriaus r</w:t>
      </w:r>
      <w:r w:rsidR="00746E75">
        <w:rPr>
          <w:lang w:val="lt-LT"/>
        </w:rPr>
        <w:t>odiklius (žr. 26</w:t>
      </w:r>
      <w:r w:rsidR="00C44C0F">
        <w:rPr>
          <w:lang w:val="lt-LT"/>
        </w:rPr>
        <w:t xml:space="preserve"> lentelę) matyti, kad įmonė C tik vienais metais buvo likvidesnė nei sektoriuje veikiančios kitos įmonės, tokį pokytį po metų nulėmė daugiau nei keliskart išaugę trumpalaikiai įsipareigojimai. Taip pat dar didesnį skirtumą tarp įmonės ir sektoriaus paskatino tai, kad sektoriaus einamasis likvidumas auga. Įmonė C veikia labai panašiai kaip ir kitos įmonės priklausančios šiam sektoriui pagal įsiskolinimų </w:t>
      </w:r>
      <w:r w:rsidR="00C44C0F">
        <w:rPr>
          <w:lang w:val="lt-LT"/>
        </w:rPr>
        <w:lastRenderedPageBreak/>
        <w:t>koeficientą, nes kaip matyti iš lentelės, 2013 m.</w:t>
      </w:r>
      <w:r w:rsidR="00452EB3">
        <w:rPr>
          <w:lang w:val="lt-LT"/>
        </w:rPr>
        <w:t xml:space="preserve"> </w:t>
      </w:r>
      <w:r w:rsidR="00C44C0F">
        <w:rPr>
          <w:lang w:val="lt-LT"/>
        </w:rPr>
        <w:t>rodiklio reikšmė tik šimtąja dalimi yra aukštesnė nei sektoriaus.</w:t>
      </w:r>
      <w:r w:rsidR="00CA3795">
        <w:rPr>
          <w:lang w:val="lt-LT"/>
        </w:rPr>
        <w:t xml:space="preserve"> </w:t>
      </w:r>
      <w:r w:rsidR="001F4EB1" w:rsidRPr="0025600F">
        <w:rPr>
          <w:lang w:val="lt-LT"/>
        </w:rPr>
        <w:t>Ir paskutinis turto apyvartumas atskleidžia, kad sektoriui būdinga vidutinė reikšmė apie 1,33, tuo metu įmonė C tokią reikšmę buvo pasiekusi tik 2012 m., kai</w:t>
      </w:r>
      <w:r w:rsidR="001F4EB1">
        <w:rPr>
          <w:lang w:val="lt-LT"/>
        </w:rPr>
        <w:t xml:space="preserve"> pardavimo pajamos išaugo iki 600 tūkst. litų, o turtas išaugo vos 100 tūkst. Lt. Sekančiais metais įmonė stipriai padidino turimą turtą, o pardavimo pajamos išaugo nežymiai.</w:t>
      </w:r>
    </w:p>
    <w:p w:rsidR="001F4EB1" w:rsidRDefault="001F4EB1">
      <w:pPr>
        <w:spacing w:line="276" w:lineRule="auto"/>
        <w:jc w:val="left"/>
        <w:rPr>
          <w:b/>
          <w:bCs/>
          <w:lang w:val="lt-LT"/>
        </w:rPr>
      </w:pPr>
      <w:r>
        <w:rPr>
          <w:b/>
          <w:bCs/>
          <w:lang w:val="lt-LT"/>
        </w:rPr>
        <w:br w:type="page"/>
      </w:r>
    </w:p>
    <w:p w:rsidR="0011394E" w:rsidRPr="0011394E" w:rsidRDefault="00746E75" w:rsidP="0011394E">
      <w:pPr>
        <w:spacing w:after="0"/>
        <w:jc w:val="right"/>
        <w:rPr>
          <w:b/>
          <w:bCs/>
          <w:lang w:val="lt-LT"/>
        </w:rPr>
      </w:pPr>
      <w:r>
        <w:rPr>
          <w:b/>
          <w:bCs/>
          <w:lang w:val="lt-LT"/>
        </w:rPr>
        <w:lastRenderedPageBreak/>
        <w:t>27</w:t>
      </w:r>
      <w:r w:rsidR="0011394E">
        <w:rPr>
          <w:b/>
          <w:bCs/>
          <w:lang w:val="lt-LT"/>
        </w:rPr>
        <w:t xml:space="preserve"> lentelė</w:t>
      </w:r>
    </w:p>
    <w:p w:rsidR="001F4EB1" w:rsidRPr="00ED3D25" w:rsidRDefault="001F4EB1" w:rsidP="001F4EB1">
      <w:pPr>
        <w:spacing w:after="0" w:line="240" w:lineRule="auto"/>
        <w:jc w:val="center"/>
        <w:rPr>
          <w:b/>
          <w:bCs/>
          <w:sz w:val="22"/>
          <w:szCs w:val="20"/>
          <w:lang w:val="lt-LT"/>
        </w:rPr>
      </w:pPr>
      <w:r>
        <w:rPr>
          <w:b/>
          <w:bCs/>
          <w:sz w:val="22"/>
          <w:szCs w:val="20"/>
          <w:lang w:val="lt-LT"/>
        </w:rPr>
        <w:t>Į</w:t>
      </w:r>
      <w:r w:rsidRPr="00ED3D25">
        <w:rPr>
          <w:b/>
          <w:bCs/>
          <w:sz w:val="22"/>
          <w:szCs w:val="20"/>
          <w:lang w:val="lt-LT"/>
        </w:rPr>
        <w:t>monė</w:t>
      </w:r>
      <w:r>
        <w:rPr>
          <w:b/>
          <w:bCs/>
          <w:sz w:val="22"/>
          <w:szCs w:val="20"/>
          <w:lang w:val="lt-LT"/>
        </w:rPr>
        <w:t>s</w:t>
      </w:r>
      <w:r w:rsidRPr="00ED3D25">
        <w:rPr>
          <w:b/>
          <w:bCs/>
          <w:sz w:val="22"/>
          <w:szCs w:val="20"/>
          <w:lang w:val="lt-LT"/>
        </w:rPr>
        <w:t xml:space="preserve"> C</w:t>
      </w:r>
      <w:r>
        <w:rPr>
          <w:b/>
          <w:bCs/>
          <w:sz w:val="22"/>
          <w:szCs w:val="20"/>
          <w:lang w:val="lt-LT"/>
        </w:rPr>
        <w:t xml:space="preserve"> </w:t>
      </w:r>
      <w:r w:rsidR="00633652">
        <w:rPr>
          <w:b/>
          <w:bCs/>
          <w:sz w:val="22"/>
          <w:szCs w:val="20"/>
          <w:lang w:val="lt-LT"/>
        </w:rPr>
        <w:t>pelningumo rodiklių palyginimas su</w:t>
      </w:r>
      <w:r>
        <w:rPr>
          <w:b/>
          <w:bCs/>
          <w:sz w:val="22"/>
          <w:szCs w:val="20"/>
          <w:lang w:val="lt-LT"/>
        </w:rPr>
        <w:t xml:space="preserve"> medienos ruošos s</w:t>
      </w:r>
      <w:r w:rsidRPr="00ED3D25">
        <w:rPr>
          <w:b/>
          <w:bCs/>
          <w:sz w:val="22"/>
          <w:szCs w:val="20"/>
          <w:lang w:val="lt-LT"/>
        </w:rPr>
        <w:t>ektoriaus</w:t>
      </w:r>
      <w:r w:rsidR="00633652">
        <w:rPr>
          <w:b/>
          <w:bCs/>
          <w:sz w:val="22"/>
          <w:szCs w:val="20"/>
          <w:lang w:val="lt-LT"/>
        </w:rPr>
        <w:t xml:space="preserve"> pelningumo rodikliais</w:t>
      </w:r>
    </w:p>
    <w:p w:rsidR="0011394E" w:rsidRPr="0011394E" w:rsidRDefault="0011394E" w:rsidP="0011394E">
      <w:pPr>
        <w:spacing w:after="0" w:line="240" w:lineRule="auto"/>
        <w:rPr>
          <w:sz w:val="20"/>
          <w:szCs w:val="18"/>
          <w:lang w:val="lt-LT"/>
        </w:rPr>
      </w:pPr>
    </w:p>
    <w:tbl>
      <w:tblPr>
        <w:tblStyle w:val="TableGrid"/>
        <w:tblW w:w="5000" w:type="pct"/>
        <w:jc w:val="center"/>
        <w:tblLook w:val="04A0" w:firstRow="1" w:lastRow="0" w:firstColumn="1" w:lastColumn="0" w:noHBand="0" w:noVBand="1"/>
      </w:tblPr>
      <w:tblGrid>
        <w:gridCol w:w="777"/>
        <w:gridCol w:w="834"/>
        <w:gridCol w:w="1065"/>
        <w:gridCol w:w="1127"/>
        <w:gridCol w:w="834"/>
        <w:gridCol w:w="1065"/>
        <w:gridCol w:w="1127"/>
        <w:gridCol w:w="834"/>
        <w:gridCol w:w="1065"/>
        <w:gridCol w:w="1127"/>
      </w:tblGrid>
      <w:tr w:rsidR="00AE421E" w:rsidRPr="00ED3D25" w:rsidTr="001F4EB1">
        <w:trPr>
          <w:jc w:val="center"/>
        </w:trPr>
        <w:tc>
          <w:tcPr>
            <w:tcW w:w="464" w:type="pct"/>
            <w:vMerge w:val="restart"/>
            <w:tcBorders>
              <w:right w:val="single" w:sz="18" w:space="0" w:color="auto"/>
              <w:tl2br w:val="single" w:sz="4" w:space="0" w:color="auto"/>
            </w:tcBorders>
            <w:vAlign w:val="center"/>
          </w:tcPr>
          <w:p w:rsidR="00AE421E" w:rsidRPr="006A7328" w:rsidRDefault="00AE421E" w:rsidP="006A7328">
            <w:pPr>
              <w:spacing w:line="240" w:lineRule="auto"/>
              <w:jc w:val="right"/>
              <w:rPr>
                <w:b/>
                <w:bCs/>
                <w:lang w:val="lt-LT"/>
              </w:rPr>
            </w:pPr>
            <w:r w:rsidRPr="006A7328">
              <w:rPr>
                <w:b/>
                <w:bCs/>
                <w:lang w:val="lt-LT"/>
              </w:rPr>
              <w:t>Rod.</w:t>
            </w:r>
          </w:p>
          <w:p w:rsidR="00AE421E" w:rsidRPr="006A7328" w:rsidRDefault="00AE421E" w:rsidP="006A7328">
            <w:pPr>
              <w:spacing w:line="240" w:lineRule="auto"/>
              <w:rPr>
                <w:b/>
                <w:bCs/>
                <w:lang w:val="lt-LT"/>
              </w:rPr>
            </w:pPr>
            <w:r w:rsidRPr="006A7328">
              <w:rPr>
                <w:b/>
                <w:bCs/>
                <w:lang w:val="lt-LT"/>
              </w:rPr>
              <w:t>Metai</w:t>
            </w:r>
          </w:p>
        </w:tc>
        <w:tc>
          <w:tcPr>
            <w:tcW w:w="1512" w:type="pct"/>
            <w:gridSpan w:val="3"/>
            <w:tcBorders>
              <w:left w:val="single" w:sz="18" w:space="0" w:color="auto"/>
              <w:right w:val="single" w:sz="18" w:space="0" w:color="auto"/>
            </w:tcBorders>
            <w:vAlign w:val="center"/>
          </w:tcPr>
          <w:p w:rsidR="00AE421E" w:rsidRDefault="00AE421E" w:rsidP="006A7328">
            <w:pPr>
              <w:spacing w:line="240" w:lineRule="auto"/>
              <w:jc w:val="center"/>
              <w:rPr>
                <w:rFonts w:asciiTheme="majorBidi" w:hAnsiTheme="majorBidi" w:cstheme="majorBidi"/>
                <w:b/>
                <w:bCs/>
                <w:lang w:val="lt-LT"/>
              </w:rPr>
            </w:pPr>
            <w:r>
              <w:rPr>
                <w:rFonts w:asciiTheme="majorBidi" w:hAnsiTheme="majorBidi" w:cstheme="majorBidi"/>
                <w:b/>
                <w:bCs/>
                <w:lang w:val="lt-LT"/>
              </w:rPr>
              <w:t>ROA</w:t>
            </w:r>
          </w:p>
        </w:tc>
        <w:tc>
          <w:tcPr>
            <w:tcW w:w="1512" w:type="pct"/>
            <w:gridSpan w:val="3"/>
            <w:tcBorders>
              <w:left w:val="single" w:sz="18" w:space="0" w:color="auto"/>
              <w:right w:val="single" w:sz="18" w:space="0" w:color="auto"/>
            </w:tcBorders>
            <w:vAlign w:val="center"/>
          </w:tcPr>
          <w:p w:rsidR="00AE421E" w:rsidRPr="00ED3D25" w:rsidRDefault="00AE421E" w:rsidP="006A7328">
            <w:pPr>
              <w:spacing w:line="240" w:lineRule="auto"/>
              <w:jc w:val="center"/>
              <w:rPr>
                <w:rFonts w:asciiTheme="majorBidi" w:hAnsiTheme="majorBidi" w:cstheme="majorBidi"/>
                <w:b/>
                <w:bCs/>
                <w:lang w:val="lt-LT"/>
              </w:rPr>
            </w:pPr>
            <w:r>
              <w:rPr>
                <w:rFonts w:asciiTheme="majorBidi" w:hAnsiTheme="majorBidi" w:cstheme="majorBidi"/>
                <w:b/>
                <w:bCs/>
                <w:lang w:val="lt-LT"/>
              </w:rPr>
              <w:t>ROE</w:t>
            </w:r>
          </w:p>
        </w:tc>
        <w:tc>
          <w:tcPr>
            <w:tcW w:w="1512" w:type="pct"/>
            <w:gridSpan w:val="3"/>
            <w:tcBorders>
              <w:left w:val="single" w:sz="18" w:space="0" w:color="auto"/>
              <w:right w:val="single" w:sz="18" w:space="0" w:color="auto"/>
            </w:tcBorders>
            <w:vAlign w:val="center"/>
          </w:tcPr>
          <w:p w:rsidR="00AE421E" w:rsidRDefault="001F4EB1" w:rsidP="006A7328">
            <w:pPr>
              <w:spacing w:line="240" w:lineRule="auto"/>
              <w:jc w:val="center"/>
              <w:rPr>
                <w:rFonts w:asciiTheme="majorBidi" w:hAnsiTheme="majorBidi" w:cstheme="majorBidi"/>
                <w:b/>
                <w:bCs/>
                <w:lang w:val="lt-LT"/>
              </w:rPr>
            </w:pPr>
            <w:r>
              <w:rPr>
                <w:rFonts w:asciiTheme="majorBidi" w:hAnsiTheme="majorBidi" w:cstheme="majorBidi"/>
                <w:b/>
                <w:bCs/>
                <w:lang w:val="lt-LT"/>
              </w:rPr>
              <w:t>Grynasis pelningumas</w:t>
            </w:r>
          </w:p>
        </w:tc>
      </w:tr>
      <w:tr w:rsidR="00AE421E" w:rsidRPr="00F93BAF" w:rsidTr="001F4EB1">
        <w:trPr>
          <w:jc w:val="center"/>
        </w:trPr>
        <w:tc>
          <w:tcPr>
            <w:tcW w:w="464" w:type="pct"/>
            <w:vMerge/>
            <w:tcBorders>
              <w:right w:val="single" w:sz="18" w:space="0" w:color="auto"/>
              <w:tl2br w:val="nil"/>
            </w:tcBorders>
            <w:vAlign w:val="bottom"/>
          </w:tcPr>
          <w:p w:rsidR="00AE421E" w:rsidRPr="006A7328" w:rsidRDefault="00AE421E" w:rsidP="006A7328">
            <w:pPr>
              <w:spacing w:line="240" w:lineRule="auto"/>
              <w:rPr>
                <w:b/>
                <w:bCs/>
                <w:lang w:val="lt-LT"/>
              </w:rPr>
            </w:pPr>
          </w:p>
        </w:tc>
        <w:tc>
          <w:tcPr>
            <w:tcW w:w="417" w:type="pct"/>
            <w:tcBorders>
              <w:left w:val="single" w:sz="18" w:space="0" w:color="auto"/>
              <w:bottom w:val="single" w:sz="18" w:space="0" w:color="auto"/>
            </w:tcBorders>
            <w:vAlign w:val="center"/>
          </w:tcPr>
          <w:p w:rsidR="00AE421E" w:rsidRPr="006A7328" w:rsidRDefault="00AE421E" w:rsidP="006A7328">
            <w:pPr>
              <w:spacing w:line="240" w:lineRule="auto"/>
              <w:jc w:val="center"/>
              <w:rPr>
                <w:lang w:val="lt-LT"/>
              </w:rPr>
            </w:pPr>
            <w:r w:rsidRPr="006A7328">
              <w:rPr>
                <w:lang w:val="lt-LT"/>
              </w:rPr>
              <w:t>Įmonė</w:t>
            </w:r>
          </w:p>
        </w:tc>
        <w:tc>
          <w:tcPr>
            <w:tcW w:w="532" w:type="pct"/>
            <w:tcBorders>
              <w:bottom w:val="single" w:sz="18" w:space="0" w:color="auto"/>
            </w:tcBorders>
            <w:vAlign w:val="center"/>
          </w:tcPr>
          <w:p w:rsidR="00AE421E" w:rsidRPr="006A7328" w:rsidRDefault="00AE421E" w:rsidP="006A7328">
            <w:pPr>
              <w:spacing w:line="240" w:lineRule="auto"/>
              <w:jc w:val="center"/>
              <w:rPr>
                <w:lang w:val="lt-LT"/>
              </w:rPr>
            </w:pPr>
            <w:r w:rsidRPr="006A7328">
              <w:rPr>
                <w:lang w:val="lt-LT"/>
              </w:rPr>
              <w:t>Sektorius</w:t>
            </w:r>
          </w:p>
        </w:tc>
        <w:tc>
          <w:tcPr>
            <w:tcW w:w="563" w:type="pct"/>
            <w:tcBorders>
              <w:bottom w:val="single" w:sz="18" w:space="0" w:color="auto"/>
              <w:right w:val="single" w:sz="18" w:space="0" w:color="auto"/>
            </w:tcBorders>
            <w:vAlign w:val="center"/>
          </w:tcPr>
          <w:p w:rsidR="00AE421E" w:rsidRPr="006A7328" w:rsidRDefault="00AE421E" w:rsidP="006A7328">
            <w:pPr>
              <w:spacing w:line="240" w:lineRule="auto"/>
              <w:jc w:val="center"/>
              <w:rPr>
                <w:lang w:val="lt-LT"/>
              </w:rPr>
            </w:pPr>
            <w:r w:rsidRPr="006A7328">
              <w:rPr>
                <w:lang w:val="lt-LT"/>
              </w:rPr>
              <w:t>Skirtumas</w:t>
            </w:r>
          </w:p>
        </w:tc>
        <w:tc>
          <w:tcPr>
            <w:tcW w:w="417" w:type="pct"/>
            <w:tcBorders>
              <w:left w:val="single" w:sz="18" w:space="0" w:color="auto"/>
              <w:bottom w:val="single" w:sz="18" w:space="0" w:color="auto"/>
            </w:tcBorders>
            <w:vAlign w:val="center"/>
          </w:tcPr>
          <w:p w:rsidR="00AE421E" w:rsidRPr="006A7328" w:rsidRDefault="00AE421E" w:rsidP="006A7328">
            <w:pPr>
              <w:spacing w:line="240" w:lineRule="auto"/>
              <w:jc w:val="center"/>
              <w:rPr>
                <w:lang w:val="lt-LT"/>
              </w:rPr>
            </w:pPr>
            <w:r w:rsidRPr="006A7328">
              <w:rPr>
                <w:lang w:val="lt-LT"/>
              </w:rPr>
              <w:t>Įmonė</w:t>
            </w:r>
          </w:p>
        </w:tc>
        <w:tc>
          <w:tcPr>
            <w:tcW w:w="532" w:type="pct"/>
            <w:tcBorders>
              <w:bottom w:val="single" w:sz="18" w:space="0" w:color="auto"/>
            </w:tcBorders>
            <w:vAlign w:val="center"/>
          </w:tcPr>
          <w:p w:rsidR="00AE421E" w:rsidRPr="006A7328" w:rsidRDefault="00AE421E" w:rsidP="006A7328">
            <w:pPr>
              <w:spacing w:line="240" w:lineRule="auto"/>
              <w:jc w:val="center"/>
              <w:rPr>
                <w:lang w:val="lt-LT"/>
              </w:rPr>
            </w:pPr>
            <w:r w:rsidRPr="006A7328">
              <w:rPr>
                <w:lang w:val="lt-LT"/>
              </w:rPr>
              <w:t>Sektorius</w:t>
            </w:r>
          </w:p>
        </w:tc>
        <w:tc>
          <w:tcPr>
            <w:tcW w:w="563" w:type="pct"/>
            <w:tcBorders>
              <w:bottom w:val="single" w:sz="18" w:space="0" w:color="auto"/>
              <w:right w:val="single" w:sz="18" w:space="0" w:color="auto"/>
            </w:tcBorders>
            <w:vAlign w:val="center"/>
          </w:tcPr>
          <w:p w:rsidR="00AE421E" w:rsidRPr="006A7328" w:rsidRDefault="00AE421E" w:rsidP="006A7328">
            <w:pPr>
              <w:spacing w:line="240" w:lineRule="auto"/>
              <w:jc w:val="center"/>
              <w:rPr>
                <w:lang w:val="lt-LT"/>
              </w:rPr>
            </w:pPr>
            <w:r w:rsidRPr="006A7328">
              <w:rPr>
                <w:lang w:val="lt-LT"/>
              </w:rPr>
              <w:t>Skirtumas</w:t>
            </w:r>
          </w:p>
        </w:tc>
        <w:tc>
          <w:tcPr>
            <w:tcW w:w="417" w:type="pct"/>
            <w:tcBorders>
              <w:left w:val="single" w:sz="18" w:space="0" w:color="auto"/>
              <w:bottom w:val="single" w:sz="18" w:space="0" w:color="auto"/>
            </w:tcBorders>
            <w:vAlign w:val="center"/>
          </w:tcPr>
          <w:p w:rsidR="00AE421E" w:rsidRPr="006A7328" w:rsidRDefault="00AE421E" w:rsidP="006A7328">
            <w:pPr>
              <w:spacing w:line="240" w:lineRule="auto"/>
              <w:jc w:val="center"/>
              <w:rPr>
                <w:lang w:val="lt-LT"/>
              </w:rPr>
            </w:pPr>
            <w:r w:rsidRPr="006A7328">
              <w:rPr>
                <w:lang w:val="lt-LT"/>
              </w:rPr>
              <w:t>Įmonė</w:t>
            </w:r>
          </w:p>
        </w:tc>
        <w:tc>
          <w:tcPr>
            <w:tcW w:w="532" w:type="pct"/>
            <w:tcBorders>
              <w:bottom w:val="single" w:sz="18" w:space="0" w:color="auto"/>
            </w:tcBorders>
            <w:vAlign w:val="center"/>
          </w:tcPr>
          <w:p w:rsidR="00AE421E" w:rsidRPr="006A7328" w:rsidRDefault="00AE421E" w:rsidP="006A7328">
            <w:pPr>
              <w:spacing w:line="240" w:lineRule="auto"/>
              <w:jc w:val="center"/>
              <w:rPr>
                <w:lang w:val="lt-LT"/>
              </w:rPr>
            </w:pPr>
            <w:r w:rsidRPr="006A7328">
              <w:rPr>
                <w:lang w:val="lt-LT"/>
              </w:rPr>
              <w:t>Sektorius</w:t>
            </w:r>
          </w:p>
        </w:tc>
        <w:tc>
          <w:tcPr>
            <w:tcW w:w="563" w:type="pct"/>
            <w:tcBorders>
              <w:bottom w:val="single" w:sz="18" w:space="0" w:color="auto"/>
              <w:right w:val="single" w:sz="18" w:space="0" w:color="auto"/>
            </w:tcBorders>
            <w:vAlign w:val="center"/>
          </w:tcPr>
          <w:p w:rsidR="00AE421E" w:rsidRPr="006A7328" w:rsidRDefault="00AE421E" w:rsidP="006A7328">
            <w:pPr>
              <w:spacing w:line="240" w:lineRule="auto"/>
              <w:jc w:val="center"/>
              <w:rPr>
                <w:lang w:val="lt-LT"/>
              </w:rPr>
            </w:pPr>
            <w:r w:rsidRPr="006A7328">
              <w:rPr>
                <w:lang w:val="lt-LT"/>
              </w:rPr>
              <w:t>Skirtumas</w:t>
            </w:r>
          </w:p>
        </w:tc>
      </w:tr>
      <w:tr w:rsidR="001F4EB1" w:rsidRPr="00ED3D25" w:rsidTr="001F4EB1">
        <w:trPr>
          <w:jc w:val="center"/>
        </w:trPr>
        <w:tc>
          <w:tcPr>
            <w:tcW w:w="464" w:type="pct"/>
            <w:tcBorders>
              <w:right w:val="single" w:sz="18" w:space="0" w:color="auto"/>
            </w:tcBorders>
          </w:tcPr>
          <w:p w:rsidR="001F4EB1" w:rsidRPr="006A7328" w:rsidRDefault="001F4EB1" w:rsidP="006A7328">
            <w:pPr>
              <w:spacing w:line="240" w:lineRule="auto"/>
              <w:rPr>
                <w:b/>
                <w:bCs/>
                <w:lang w:val="lt-LT"/>
              </w:rPr>
            </w:pPr>
            <w:r w:rsidRPr="006A7328">
              <w:rPr>
                <w:b/>
                <w:bCs/>
                <w:lang w:val="lt-LT"/>
              </w:rPr>
              <w:t>2011</w:t>
            </w:r>
          </w:p>
        </w:tc>
        <w:tc>
          <w:tcPr>
            <w:tcW w:w="417" w:type="pct"/>
            <w:tcBorders>
              <w:top w:val="single" w:sz="18" w:space="0" w:color="auto"/>
              <w:left w:val="single" w:sz="18" w:space="0" w:color="auto"/>
            </w:tcBorders>
            <w:vAlign w:val="center"/>
          </w:tcPr>
          <w:p w:rsidR="001F4EB1" w:rsidRPr="006A7328" w:rsidRDefault="001F4EB1" w:rsidP="006A7328">
            <w:pPr>
              <w:spacing w:line="240" w:lineRule="auto"/>
              <w:jc w:val="center"/>
              <w:rPr>
                <w:lang w:val="lt-LT"/>
              </w:rPr>
            </w:pPr>
            <w:r w:rsidRPr="006A7328">
              <w:rPr>
                <w:lang w:val="lt-LT"/>
              </w:rPr>
              <w:t>0,046</w:t>
            </w:r>
          </w:p>
        </w:tc>
        <w:tc>
          <w:tcPr>
            <w:tcW w:w="532" w:type="pct"/>
            <w:tcBorders>
              <w:top w:val="single" w:sz="18" w:space="0" w:color="auto"/>
            </w:tcBorders>
            <w:vAlign w:val="center"/>
          </w:tcPr>
          <w:p w:rsidR="001F4EB1" w:rsidRPr="006A7328" w:rsidRDefault="001F4EB1" w:rsidP="006A7328">
            <w:pPr>
              <w:spacing w:line="240" w:lineRule="auto"/>
              <w:jc w:val="center"/>
              <w:rPr>
                <w:lang w:val="lt-LT"/>
              </w:rPr>
            </w:pPr>
            <w:r w:rsidRPr="006A7328">
              <w:rPr>
                <w:lang w:val="lt-LT"/>
              </w:rPr>
              <w:t>0,1135</w:t>
            </w:r>
          </w:p>
        </w:tc>
        <w:tc>
          <w:tcPr>
            <w:tcW w:w="563" w:type="pct"/>
            <w:tcBorders>
              <w:top w:val="single" w:sz="18" w:space="0" w:color="auto"/>
              <w:right w:val="single" w:sz="18" w:space="0" w:color="auto"/>
            </w:tcBorders>
            <w:vAlign w:val="center"/>
          </w:tcPr>
          <w:p w:rsidR="001F4EB1" w:rsidRPr="006A7328" w:rsidRDefault="001F4EB1" w:rsidP="006A7328">
            <w:pPr>
              <w:spacing w:line="240" w:lineRule="auto"/>
              <w:jc w:val="center"/>
              <w:rPr>
                <w:lang w:val="lt-LT"/>
              </w:rPr>
            </w:pPr>
            <w:r w:rsidRPr="006A7328">
              <w:rPr>
                <w:lang w:val="lt-LT"/>
              </w:rPr>
              <w:t>-0,0675</w:t>
            </w:r>
          </w:p>
        </w:tc>
        <w:tc>
          <w:tcPr>
            <w:tcW w:w="417" w:type="pct"/>
            <w:tcBorders>
              <w:top w:val="single" w:sz="18" w:space="0" w:color="auto"/>
              <w:left w:val="single" w:sz="18" w:space="0" w:color="auto"/>
            </w:tcBorders>
            <w:vAlign w:val="center"/>
          </w:tcPr>
          <w:p w:rsidR="001F4EB1" w:rsidRPr="006A7328" w:rsidRDefault="001F4EB1" w:rsidP="006A7328">
            <w:pPr>
              <w:spacing w:line="240" w:lineRule="auto"/>
              <w:jc w:val="center"/>
              <w:rPr>
                <w:lang w:val="lt-LT"/>
              </w:rPr>
            </w:pPr>
            <w:r w:rsidRPr="006A7328">
              <w:rPr>
                <w:lang w:val="lt-LT"/>
              </w:rPr>
              <w:t>0,6037</w:t>
            </w:r>
          </w:p>
        </w:tc>
        <w:tc>
          <w:tcPr>
            <w:tcW w:w="532" w:type="pct"/>
            <w:tcBorders>
              <w:top w:val="single" w:sz="18" w:space="0" w:color="auto"/>
            </w:tcBorders>
            <w:vAlign w:val="center"/>
          </w:tcPr>
          <w:p w:rsidR="001F4EB1" w:rsidRPr="006A7328" w:rsidRDefault="001F4EB1" w:rsidP="006A7328">
            <w:pPr>
              <w:spacing w:line="240" w:lineRule="auto"/>
              <w:jc w:val="center"/>
              <w:rPr>
                <w:lang w:val="lt-LT"/>
              </w:rPr>
            </w:pPr>
            <w:r w:rsidRPr="006A7328">
              <w:rPr>
                <w:lang w:val="lt-LT"/>
              </w:rPr>
              <w:t>0,2425</w:t>
            </w:r>
          </w:p>
        </w:tc>
        <w:tc>
          <w:tcPr>
            <w:tcW w:w="563" w:type="pct"/>
            <w:tcBorders>
              <w:top w:val="single" w:sz="18" w:space="0" w:color="auto"/>
              <w:right w:val="single" w:sz="18" w:space="0" w:color="auto"/>
            </w:tcBorders>
            <w:vAlign w:val="center"/>
          </w:tcPr>
          <w:p w:rsidR="001F4EB1" w:rsidRPr="006A7328" w:rsidRDefault="001F4EB1" w:rsidP="006A7328">
            <w:pPr>
              <w:spacing w:line="240" w:lineRule="auto"/>
              <w:jc w:val="center"/>
              <w:rPr>
                <w:lang w:val="lt-LT"/>
              </w:rPr>
            </w:pPr>
            <w:r w:rsidRPr="006A7328">
              <w:rPr>
                <w:lang w:val="lt-LT"/>
              </w:rPr>
              <w:t>0,3612</w:t>
            </w:r>
          </w:p>
        </w:tc>
        <w:tc>
          <w:tcPr>
            <w:tcW w:w="417" w:type="pct"/>
            <w:tcBorders>
              <w:top w:val="single" w:sz="18" w:space="0" w:color="auto"/>
              <w:left w:val="single" w:sz="18" w:space="0" w:color="auto"/>
            </w:tcBorders>
            <w:vAlign w:val="center"/>
          </w:tcPr>
          <w:p w:rsidR="001F4EB1" w:rsidRPr="006A7328" w:rsidRDefault="001F4EB1" w:rsidP="001F4EB1">
            <w:pPr>
              <w:spacing w:line="240" w:lineRule="auto"/>
              <w:jc w:val="center"/>
              <w:rPr>
                <w:lang w:val="lt-LT"/>
              </w:rPr>
            </w:pPr>
            <w:r w:rsidRPr="006A7328">
              <w:rPr>
                <w:lang w:val="lt-LT"/>
              </w:rPr>
              <w:t>0,0813</w:t>
            </w:r>
          </w:p>
        </w:tc>
        <w:tc>
          <w:tcPr>
            <w:tcW w:w="532" w:type="pct"/>
            <w:tcBorders>
              <w:top w:val="single" w:sz="18" w:space="0" w:color="auto"/>
            </w:tcBorders>
            <w:vAlign w:val="center"/>
          </w:tcPr>
          <w:p w:rsidR="001F4EB1" w:rsidRPr="006A7328" w:rsidRDefault="001F4EB1" w:rsidP="001F4EB1">
            <w:pPr>
              <w:spacing w:line="240" w:lineRule="auto"/>
              <w:jc w:val="center"/>
              <w:rPr>
                <w:lang w:val="lt-LT"/>
              </w:rPr>
            </w:pPr>
            <w:r w:rsidRPr="006A7328">
              <w:rPr>
                <w:lang w:val="lt-LT"/>
              </w:rPr>
              <w:t>0,0812</w:t>
            </w:r>
          </w:p>
        </w:tc>
        <w:tc>
          <w:tcPr>
            <w:tcW w:w="563" w:type="pct"/>
            <w:tcBorders>
              <w:top w:val="single" w:sz="18" w:space="0" w:color="auto"/>
              <w:right w:val="single" w:sz="18" w:space="0" w:color="auto"/>
            </w:tcBorders>
            <w:vAlign w:val="center"/>
          </w:tcPr>
          <w:p w:rsidR="001F4EB1" w:rsidRPr="006A7328" w:rsidRDefault="001F4EB1" w:rsidP="001F4EB1">
            <w:pPr>
              <w:spacing w:line="240" w:lineRule="auto"/>
              <w:jc w:val="center"/>
              <w:rPr>
                <w:lang w:val="lt-LT"/>
              </w:rPr>
            </w:pPr>
            <w:r w:rsidRPr="006A7328">
              <w:rPr>
                <w:lang w:val="lt-LT"/>
              </w:rPr>
              <w:t>0,0001</w:t>
            </w:r>
          </w:p>
        </w:tc>
      </w:tr>
      <w:tr w:rsidR="001F4EB1" w:rsidRPr="00ED3D25" w:rsidTr="001F4EB1">
        <w:trPr>
          <w:jc w:val="center"/>
        </w:trPr>
        <w:tc>
          <w:tcPr>
            <w:tcW w:w="464" w:type="pct"/>
            <w:tcBorders>
              <w:right w:val="single" w:sz="18" w:space="0" w:color="auto"/>
            </w:tcBorders>
          </w:tcPr>
          <w:p w:rsidR="001F4EB1" w:rsidRPr="006A7328" w:rsidRDefault="001F4EB1" w:rsidP="006A7328">
            <w:pPr>
              <w:spacing w:line="240" w:lineRule="auto"/>
              <w:rPr>
                <w:rFonts w:asciiTheme="majorBidi" w:hAnsiTheme="majorBidi" w:cstheme="majorBidi"/>
                <w:b/>
                <w:bCs/>
                <w:lang w:val="lt-LT"/>
              </w:rPr>
            </w:pPr>
            <w:r w:rsidRPr="006A7328">
              <w:rPr>
                <w:rFonts w:asciiTheme="majorBidi" w:hAnsiTheme="majorBidi" w:cstheme="majorBidi"/>
                <w:b/>
                <w:bCs/>
                <w:lang w:val="lt-LT"/>
              </w:rPr>
              <w:t>2012</w:t>
            </w:r>
          </w:p>
        </w:tc>
        <w:tc>
          <w:tcPr>
            <w:tcW w:w="417" w:type="pct"/>
            <w:tcBorders>
              <w:left w:val="single" w:sz="18" w:space="0" w:color="auto"/>
            </w:tcBorders>
            <w:vAlign w:val="center"/>
          </w:tcPr>
          <w:p w:rsidR="001F4EB1" w:rsidRPr="006A7328" w:rsidRDefault="001F4EB1" w:rsidP="006A7328">
            <w:pPr>
              <w:spacing w:line="240" w:lineRule="auto"/>
              <w:jc w:val="center"/>
              <w:rPr>
                <w:lang w:val="lt-LT"/>
              </w:rPr>
            </w:pPr>
            <w:r w:rsidRPr="006A7328">
              <w:rPr>
                <w:lang w:val="lt-LT"/>
              </w:rPr>
              <w:t>0,1138</w:t>
            </w:r>
          </w:p>
        </w:tc>
        <w:tc>
          <w:tcPr>
            <w:tcW w:w="532" w:type="pct"/>
            <w:vAlign w:val="center"/>
          </w:tcPr>
          <w:p w:rsidR="001F4EB1" w:rsidRPr="006A7328" w:rsidRDefault="001F4EB1" w:rsidP="006A7328">
            <w:pPr>
              <w:spacing w:line="240" w:lineRule="auto"/>
              <w:jc w:val="center"/>
              <w:rPr>
                <w:rFonts w:asciiTheme="majorBidi" w:hAnsiTheme="majorBidi" w:cstheme="majorBidi"/>
                <w:lang w:val="lt-LT"/>
              </w:rPr>
            </w:pPr>
            <w:r w:rsidRPr="006A7328">
              <w:rPr>
                <w:rFonts w:asciiTheme="majorBidi" w:hAnsiTheme="majorBidi" w:cstheme="majorBidi"/>
                <w:lang w:val="lt-LT"/>
              </w:rPr>
              <w:t>0,0841</w:t>
            </w:r>
          </w:p>
        </w:tc>
        <w:tc>
          <w:tcPr>
            <w:tcW w:w="563" w:type="pct"/>
            <w:tcBorders>
              <w:right w:val="single" w:sz="18" w:space="0" w:color="auto"/>
            </w:tcBorders>
            <w:vAlign w:val="center"/>
          </w:tcPr>
          <w:p w:rsidR="001F4EB1" w:rsidRPr="006A7328" w:rsidRDefault="001F4EB1" w:rsidP="006A7328">
            <w:pPr>
              <w:spacing w:line="240" w:lineRule="auto"/>
              <w:jc w:val="center"/>
              <w:rPr>
                <w:rFonts w:asciiTheme="majorBidi" w:hAnsiTheme="majorBidi" w:cstheme="majorBidi"/>
                <w:lang w:val="lt-LT"/>
              </w:rPr>
            </w:pPr>
            <w:r w:rsidRPr="006A7328">
              <w:rPr>
                <w:rFonts w:asciiTheme="majorBidi" w:hAnsiTheme="majorBidi" w:cstheme="majorBidi"/>
                <w:lang w:val="lt-LT"/>
              </w:rPr>
              <w:t>0,0297</w:t>
            </w:r>
          </w:p>
        </w:tc>
        <w:tc>
          <w:tcPr>
            <w:tcW w:w="417" w:type="pct"/>
            <w:tcBorders>
              <w:left w:val="single" w:sz="18" w:space="0" w:color="auto"/>
            </w:tcBorders>
            <w:vAlign w:val="center"/>
          </w:tcPr>
          <w:p w:rsidR="001F4EB1" w:rsidRPr="006A7328" w:rsidRDefault="001F4EB1" w:rsidP="006A7328">
            <w:pPr>
              <w:spacing w:line="240" w:lineRule="auto"/>
              <w:jc w:val="center"/>
              <w:rPr>
                <w:lang w:val="lt-LT"/>
              </w:rPr>
            </w:pPr>
            <w:r w:rsidRPr="006A7328">
              <w:rPr>
                <w:lang w:val="lt-LT"/>
              </w:rPr>
              <w:t>0,3479</w:t>
            </w:r>
          </w:p>
        </w:tc>
        <w:tc>
          <w:tcPr>
            <w:tcW w:w="532" w:type="pct"/>
            <w:vAlign w:val="center"/>
          </w:tcPr>
          <w:p w:rsidR="001F4EB1" w:rsidRPr="006A7328" w:rsidRDefault="001F4EB1" w:rsidP="006A7328">
            <w:pPr>
              <w:spacing w:line="240" w:lineRule="auto"/>
              <w:jc w:val="center"/>
              <w:rPr>
                <w:rFonts w:asciiTheme="majorBidi" w:hAnsiTheme="majorBidi" w:cstheme="majorBidi"/>
                <w:lang w:val="lt-LT"/>
              </w:rPr>
            </w:pPr>
            <w:r>
              <w:rPr>
                <w:rFonts w:asciiTheme="majorBidi" w:hAnsiTheme="majorBidi" w:cstheme="majorBidi"/>
                <w:lang w:val="lt-LT"/>
              </w:rPr>
              <w:t>0,</w:t>
            </w:r>
            <w:r w:rsidRPr="006A7328">
              <w:rPr>
                <w:rFonts w:asciiTheme="majorBidi" w:hAnsiTheme="majorBidi" w:cstheme="majorBidi"/>
                <w:lang w:val="lt-LT"/>
              </w:rPr>
              <w:t>1742</w:t>
            </w:r>
          </w:p>
        </w:tc>
        <w:tc>
          <w:tcPr>
            <w:tcW w:w="563" w:type="pct"/>
            <w:tcBorders>
              <w:right w:val="single" w:sz="18" w:space="0" w:color="auto"/>
            </w:tcBorders>
            <w:vAlign w:val="center"/>
          </w:tcPr>
          <w:p w:rsidR="001F4EB1" w:rsidRPr="006A7328" w:rsidRDefault="001F4EB1" w:rsidP="006A7328">
            <w:pPr>
              <w:spacing w:line="240" w:lineRule="auto"/>
              <w:jc w:val="center"/>
              <w:rPr>
                <w:rFonts w:asciiTheme="majorBidi" w:hAnsiTheme="majorBidi" w:cstheme="majorBidi"/>
                <w:lang w:val="lt-LT"/>
              </w:rPr>
            </w:pPr>
            <w:r w:rsidRPr="006A7328">
              <w:rPr>
                <w:rFonts w:asciiTheme="majorBidi" w:hAnsiTheme="majorBidi" w:cstheme="majorBidi"/>
                <w:lang w:val="lt-LT"/>
              </w:rPr>
              <w:t>0,1737</w:t>
            </w:r>
          </w:p>
        </w:tc>
        <w:tc>
          <w:tcPr>
            <w:tcW w:w="417" w:type="pct"/>
            <w:tcBorders>
              <w:left w:val="single" w:sz="18" w:space="0" w:color="auto"/>
            </w:tcBorders>
            <w:vAlign w:val="center"/>
          </w:tcPr>
          <w:p w:rsidR="001F4EB1" w:rsidRPr="006A7328" w:rsidRDefault="001F4EB1" w:rsidP="001F4EB1">
            <w:pPr>
              <w:spacing w:line="240" w:lineRule="auto"/>
              <w:jc w:val="center"/>
              <w:rPr>
                <w:lang w:val="lt-LT"/>
              </w:rPr>
            </w:pPr>
            <w:r w:rsidRPr="006A7328">
              <w:rPr>
                <w:lang w:val="lt-LT"/>
              </w:rPr>
              <w:t>0,0696</w:t>
            </w:r>
          </w:p>
        </w:tc>
        <w:tc>
          <w:tcPr>
            <w:tcW w:w="532" w:type="pct"/>
            <w:vAlign w:val="center"/>
          </w:tcPr>
          <w:p w:rsidR="001F4EB1" w:rsidRPr="006A7328" w:rsidRDefault="001F4EB1" w:rsidP="001F4EB1">
            <w:pPr>
              <w:spacing w:line="240" w:lineRule="auto"/>
              <w:jc w:val="center"/>
              <w:rPr>
                <w:lang w:val="lt-LT"/>
              </w:rPr>
            </w:pPr>
            <w:r w:rsidRPr="006A7328">
              <w:rPr>
                <w:lang w:val="lt-LT"/>
              </w:rPr>
              <w:t>0,0698</w:t>
            </w:r>
          </w:p>
        </w:tc>
        <w:tc>
          <w:tcPr>
            <w:tcW w:w="563" w:type="pct"/>
            <w:tcBorders>
              <w:right w:val="single" w:sz="18" w:space="0" w:color="auto"/>
            </w:tcBorders>
            <w:vAlign w:val="center"/>
          </w:tcPr>
          <w:p w:rsidR="001F4EB1" w:rsidRPr="006A7328" w:rsidRDefault="001F4EB1" w:rsidP="001F4EB1">
            <w:pPr>
              <w:spacing w:line="240" w:lineRule="auto"/>
              <w:jc w:val="center"/>
              <w:rPr>
                <w:lang w:val="lt-LT"/>
              </w:rPr>
            </w:pPr>
            <w:r w:rsidRPr="006A7328">
              <w:rPr>
                <w:lang w:val="lt-LT"/>
              </w:rPr>
              <w:t>0,0002</w:t>
            </w:r>
          </w:p>
        </w:tc>
      </w:tr>
      <w:tr w:rsidR="001F4EB1" w:rsidRPr="00ED3D25" w:rsidTr="001F4EB1">
        <w:trPr>
          <w:jc w:val="center"/>
        </w:trPr>
        <w:tc>
          <w:tcPr>
            <w:tcW w:w="464" w:type="pct"/>
            <w:tcBorders>
              <w:right w:val="single" w:sz="18" w:space="0" w:color="auto"/>
            </w:tcBorders>
          </w:tcPr>
          <w:p w:rsidR="001F4EB1" w:rsidRPr="006A7328" w:rsidRDefault="001F4EB1" w:rsidP="006A7328">
            <w:pPr>
              <w:spacing w:line="240" w:lineRule="auto"/>
              <w:rPr>
                <w:b/>
                <w:bCs/>
                <w:lang w:val="lt-LT"/>
              </w:rPr>
            </w:pPr>
            <w:r w:rsidRPr="006A7328">
              <w:rPr>
                <w:b/>
                <w:bCs/>
                <w:lang w:val="lt-LT"/>
              </w:rPr>
              <w:t>2013</w:t>
            </w:r>
          </w:p>
        </w:tc>
        <w:tc>
          <w:tcPr>
            <w:tcW w:w="417" w:type="pct"/>
            <w:tcBorders>
              <w:left w:val="single" w:sz="18" w:space="0" w:color="auto"/>
            </w:tcBorders>
            <w:vAlign w:val="center"/>
          </w:tcPr>
          <w:p w:rsidR="001F4EB1" w:rsidRPr="006A7328" w:rsidRDefault="001F4EB1" w:rsidP="006A7328">
            <w:pPr>
              <w:spacing w:line="240" w:lineRule="auto"/>
              <w:jc w:val="center"/>
              <w:rPr>
                <w:lang w:val="lt-LT"/>
              </w:rPr>
            </w:pPr>
            <w:r w:rsidRPr="006A7328">
              <w:rPr>
                <w:lang w:val="lt-LT"/>
              </w:rPr>
              <w:t>0,0048</w:t>
            </w:r>
          </w:p>
        </w:tc>
        <w:tc>
          <w:tcPr>
            <w:tcW w:w="532" w:type="pct"/>
            <w:vAlign w:val="center"/>
          </w:tcPr>
          <w:p w:rsidR="001F4EB1" w:rsidRPr="006A7328" w:rsidRDefault="001F4EB1" w:rsidP="006A7328">
            <w:pPr>
              <w:spacing w:line="240" w:lineRule="auto"/>
              <w:jc w:val="center"/>
              <w:rPr>
                <w:lang w:val="lt-LT"/>
              </w:rPr>
            </w:pPr>
            <w:r w:rsidRPr="006A7328">
              <w:rPr>
                <w:lang w:val="lt-LT"/>
              </w:rPr>
              <w:t>0,1126</w:t>
            </w:r>
          </w:p>
        </w:tc>
        <w:tc>
          <w:tcPr>
            <w:tcW w:w="563" w:type="pct"/>
            <w:tcBorders>
              <w:right w:val="single" w:sz="18" w:space="0" w:color="auto"/>
            </w:tcBorders>
            <w:vAlign w:val="center"/>
          </w:tcPr>
          <w:p w:rsidR="001F4EB1" w:rsidRPr="006A7328" w:rsidRDefault="001F4EB1" w:rsidP="006A7328">
            <w:pPr>
              <w:spacing w:line="240" w:lineRule="auto"/>
              <w:jc w:val="center"/>
              <w:rPr>
                <w:lang w:val="lt-LT"/>
              </w:rPr>
            </w:pPr>
            <w:r w:rsidRPr="006A7328">
              <w:rPr>
                <w:lang w:val="lt-LT"/>
              </w:rPr>
              <w:t>-0,1078</w:t>
            </w:r>
          </w:p>
        </w:tc>
        <w:tc>
          <w:tcPr>
            <w:tcW w:w="417" w:type="pct"/>
            <w:tcBorders>
              <w:left w:val="single" w:sz="18" w:space="0" w:color="auto"/>
            </w:tcBorders>
            <w:vAlign w:val="center"/>
          </w:tcPr>
          <w:p w:rsidR="001F4EB1" w:rsidRPr="006A7328" w:rsidRDefault="001F4EB1" w:rsidP="006A7328">
            <w:pPr>
              <w:spacing w:line="240" w:lineRule="auto"/>
              <w:jc w:val="center"/>
              <w:rPr>
                <w:lang w:val="lt-LT"/>
              </w:rPr>
            </w:pPr>
            <w:r w:rsidRPr="006A7328">
              <w:rPr>
                <w:lang w:val="lt-LT"/>
              </w:rPr>
              <w:t>0,0192</w:t>
            </w:r>
          </w:p>
        </w:tc>
        <w:tc>
          <w:tcPr>
            <w:tcW w:w="532" w:type="pct"/>
            <w:vAlign w:val="center"/>
          </w:tcPr>
          <w:p w:rsidR="001F4EB1" w:rsidRPr="006A7328" w:rsidRDefault="001F4EB1" w:rsidP="006A7328">
            <w:pPr>
              <w:spacing w:line="240" w:lineRule="auto"/>
              <w:jc w:val="center"/>
              <w:rPr>
                <w:lang w:val="lt-LT"/>
              </w:rPr>
            </w:pPr>
            <w:r w:rsidRPr="006A7328">
              <w:rPr>
                <w:lang w:val="lt-LT"/>
              </w:rPr>
              <w:t>0,1885</w:t>
            </w:r>
          </w:p>
        </w:tc>
        <w:tc>
          <w:tcPr>
            <w:tcW w:w="563" w:type="pct"/>
            <w:tcBorders>
              <w:right w:val="single" w:sz="18" w:space="0" w:color="auto"/>
            </w:tcBorders>
            <w:vAlign w:val="center"/>
          </w:tcPr>
          <w:p w:rsidR="001F4EB1" w:rsidRPr="006A7328" w:rsidRDefault="001F4EB1" w:rsidP="006A7328">
            <w:pPr>
              <w:spacing w:line="240" w:lineRule="auto"/>
              <w:jc w:val="center"/>
              <w:rPr>
                <w:lang w:val="lt-LT"/>
              </w:rPr>
            </w:pPr>
            <w:r w:rsidRPr="006A7328">
              <w:rPr>
                <w:lang w:val="lt-LT"/>
              </w:rPr>
              <w:t>-0,1693</w:t>
            </w:r>
          </w:p>
        </w:tc>
        <w:tc>
          <w:tcPr>
            <w:tcW w:w="417" w:type="pct"/>
            <w:tcBorders>
              <w:left w:val="single" w:sz="18" w:space="0" w:color="auto"/>
            </w:tcBorders>
            <w:vAlign w:val="center"/>
          </w:tcPr>
          <w:p w:rsidR="001F4EB1" w:rsidRPr="006A7328" w:rsidRDefault="001F4EB1" w:rsidP="001F4EB1">
            <w:pPr>
              <w:spacing w:line="240" w:lineRule="auto"/>
              <w:jc w:val="center"/>
              <w:rPr>
                <w:lang w:val="lt-LT"/>
              </w:rPr>
            </w:pPr>
            <w:r w:rsidRPr="006A7328">
              <w:rPr>
                <w:lang w:val="lt-LT"/>
              </w:rPr>
              <w:t>0,0061</w:t>
            </w:r>
          </w:p>
        </w:tc>
        <w:tc>
          <w:tcPr>
            <w:tcW w:w="532" w:type="pct"/>
            <w:vAlign w:val="center"/>
          </w:tcPr>
          <w:p w:rsidR="001F4EB1" w:rsidRPr="006A7328" w:rsidRDefault="001F4EB1" w:rsidP="001F4EB1">
            <w:pPr>
              <w:spacing w:line="240" w:lineRule="auto"/>
              <w:jc w:val="center"/>
              <w:rPr>
                <w:lang w:val="lt-LT"/>
              </w:rPr>
            </w:pPr>
            <w:r w:rsidRPr="006A7328">
              <w:rPr>
                <w:lang w:val="lt-LT"/>
              </w:rPr>
              <w:t>0,0812</w:t>
            </w:r>
          </w:p>
        </w:tc>
        <w:tc>
          <w:tcPr>
            <w:tcW w:w="563" w:type="pct"/>
            <w:tcBorders>
              <w:right w:val="single" w:sz="18" w:space="0" w:color="auto"/>
            </w:tcBorders>
            <w:vAlign w:val="center"/>
          </w:tcPr>
          <w:p w:rsidR="001F4EB1" w:rsidRPr="006A7328" w:rsidRDefault="001F4EB1" w:rsidP="001F4EB1">
            <w:pPr>
              <w:spacing w:line="240" w:lineRule="auto"/>
              <w:jc w:val="center"/>
              <w:rPr>
                <w:lang w:val="lt-LT"/>
              </w:rPr>
            </w:pPr>
            <w:r w:rsidRPr="006A7328">
              <w:rPr>
                <w:lang w:val="lt-LT"/>
              </w:rPr>
              <w:t>-0,0751</w:t>
            </w:r>
          </w:p>
        </w:tc>
      </w:tr>
    </w:tbl>
    <w:p w:rsidR="001F4EB1" w:rsidRDefault="00633DE6" w:rsidP="001F4EB1">
      <w:pPr>
        <w:spacing w:after="0" w:line="240" w:lineRule="auto"/>
        <w:rPr>
          <w:sz w:val="20"/>
          <w:szCs w:val="20"/>
          <w:lang w:val="lt-LT"/>
        </w:rPr>
      </w:pPr>
      <w:r w:rsidRPr="00ED3D25">
        <w:rPr>
          <w:sz w:val="20"/>
          <w:szCs w:val="20"/>
          <w:lang w:val="lt-LT"/>
        </w:rPr>
        <w:t xml:space="preserve">Pastaba: </w:t>
      </w:r>
      <w:r w:rsidR="001F4EB1" w:rsidRPr="00ED3D25">
        <w:rPr>
          <w:sz w:val="20"/>
          <w:szCs w:val="20"/>
          <w:lang w:val="lt-LT"/>
        </w:rPr>
        <w:t>lentelė sudaryta au</w:t>
      </w:r>
      <w:r w:rsidR="001F4EB1">
        <w:rPr>
          <w:sz w:val="20"/>
          <w:szCs w:val="20"/>
          <w:lang w:val="lt-LT"/>
        </w:rPr>
        <w:t>torės, remiantis Lietuvos statistikos departamento</w:t>
      </w:r>
      <w:r w:rsidR="001F4EB1" w:rsidRPr="00ED3D25">
        <w:rPr>
          <w:sz w:val="20"/>
          <w:szCs w:val="20"/>
          <w:lang w:val="lt-LT"/>
        </w:rPr>
        <w:t xml:space="preserve"> duome</w:t>
      </w:r>
      <w:r w:rsidR="001F4EB1">
        <w:rPr>
          <w:sz w:val="20"/>
          <w:szCs w:val="20"/>
          <w:lang w:val="lt-LT"/>
        </w:rPr>
        <w:t>nimis ir įmonės C finansiniais duomenimis</w:t>
      </w:r>
      <w:r w:rsidR="001F4EB1" w:rsidRPr="00ED3D25">
        <w:rPr>
          <w:sz w:val="20"/>
          <w:szCs w:val="20"/>
          <w:lang w:val="lt-LT"/>
        </w:rPr>
        <w:t>.</w:t>
      </w:r>
    </w:p>
    <w:p w:rsidR="001F4EB1" w:rsidRPr="00C2492C" w:rsidRDefault="001F4EB1" w:rsidP="001F4EB1">
      <w:pPr>
        <w:spacing w:after="0" w:line="240" w:lineRule="auto"/>
        <w:rPr>
          <w:sz w:val="14"/>
          <w:szCs w:val="14"/>
          <w:lang w:val="lt-LT"/>
        </w:rPr>
      </w:pPr>
    </w:p>
    <w:p w:rsidR="001D46AA" w:rsidRPr="001F4EB1" w:rsidRDefault="00A408F6" w:rsidP="001F4EB1">
      <w:pPr>
        <w:spacing w:after="0"/>
        <w:ind w:firstLine="851"/>
        <w:rPr>
          <w:lang w:val="lt-LT"/>
        </w:rPr>
      </w:pPr>
      <w:r>
        <w:rPr>
          <w:lang w:val="lt-LT"/>
        </w:rPr>
        <w:t>L</w:t>
      </w:r>
      <w:r w:rsidR="00746E75">
        <w:rPr>
          <w:lang w:val="lt-LT"/>
        </w:rPr>
        <w:t>yginant turto pelningumą (žr. 27</w:t>
      </w:r>
      <w:r>
        <w:rPr>
          <w:lang w:val="lt-LT"/>
        </w:rPr>
        <w:t xml:space="preserve"> lentelę) matyti</w:t>
      </w:r>
      <w:r w:rsidR="001F4EB1">
        <w:rPr>
          <w:lang w:val="lt-LT"/>
        </w:rPr>
        <w:t xml:space="preserve">, kad geriausiai įmonei sekėsi </w:t>
      </w:r>
      <w:r>
        <w:rPr>
          <w:lang w:val="lt-LT"/>
        </w:rPr>
        <w:t xml:space="preserve">šiame laikotarpyje 2012 m., nes įmonė C buvo apie 3 proc. pelningesnė. Tačiau sekančiais metais turto pelningumas tapo neigiamas dėl jau anksčiau minėtų priežasčių. Vertinant ROE reikšmes pastebima kita tendencija – šiuo atveju 2011 m. nuosavo kapitalo pelningumas didžiausias, o vėliau tik mažėjo, beveik tas pats vyko ir visame sektoriuje, tik paskutiniais metais sektoriaus ROE padidėjo 1 proc. lyginant su 2012 m. </w:t>
      </w:r>
      <w:r w:rsidR="001F4EB1">
        <w:rPr>
          <w:lang w:val="lt-LT"/>
        </w:rPr>
        <w:t xml:space="preserve">Vertinant grynojo pelningumo skirtumą matyti, kad du pirmuosius analizuojamus metus įmonės rodiklis buvo beveik ideliai toks pat, kaip sektoriaus. Tik paskutiniaisiais metais įmonės grynasis pelningumas tapo nulinis, o </w:t>
      </w:r>
      <w:r w:rsidR="00452EB3">
        <w:rPr>
          <w:lang w:val="lt-LT"/>
        </w:rPr>
        <w:t xml:space="preserve">visų </w:t>
      </w:r>
      <w:r w:rsidR="001F4EB1">
        <w:rPr>
          <w:lang w:val="lt-LT"/>
        </w:rPr>
        <w:t>sektoriaus įmonių didėjo. Tokį kontrastą lėmė aukšta įmonės C pardavimų savikaina.</w:t>
      </w:r>
    </w:p>
    <w:p w:rsidR="004A39CD" w:rsidRPr="00ED3D25" w:rsidRDefault="00746E75" w:rsidP="004A39CD">
      <w:pPr>
        <w:spacing w:after="0"/>
        <w:ind w:firstLine="851"/>
        <w:jc w:val="right"/>
        <w:rPr>
          <w:b/>
          <w:bCs/>
          <w:lang w:val="lt-LT"/>
        </w:rPr>
      </w:pPr>
      <w:r>
        <w:rPr>
          <w:b/>
          <w:bCs/>
          <w:lang w:val="lt-LT"/>
        </w:rPr>
        <w:t>28</w:t>
      </w:r>
      <w:r w:rsidR="004A39CD" w:rsidRPr="00ED3D25">
        <w:rPr>
          <w:b/>
          <w:bCs/>
          <w:lang w:val="lt-LT"/>
        </w:rPr>
        <w:t xml:space="preserve"> lentelė</w:t>
      </w:r>
    </w:p>
    <w:p w:rsidR="004A39CD" w:rsidRDefault="001F4EB1" w:rsidP="001F4EB1">
      <w:pPr>
        <w:spacing w:after="0" w:line="240" w:lineRule="auto"/>
        <w:jc w:val="center"/>
        <w:rPr>
          <w:b/>
          <w:bCs/>
          <w:sz w:val="22"/>
          <w:szCs w:val="20"/>
          <w:lang w:val="lt-LT"/>
        </w:rPr>
      </w:pPr>
      <w:r>
        <w:rPr>
          <w:b/>
          <w:bCs/>
          <w:sz w:val="22"/>
          <w:szCs w:val="20"/>
          <w:lang w:val="lt-LT"/>
        </w:rPr>
        <w:t>Į</w:t>
      </w:r>
      <w:r w:rsidRPr="00ED3D25">
        <w:rPr>
          <w:b/>
          <w:bCs/>
          <w:sz w:val="22"/>
          <w:szCs w:val="20"/>
          <w:lang w:val="lt-LT"/>
        </w:rPr>
        <w:t>monė</w:t>
      </w:r>
      <w:r>
        <w:rPr>
          <w:b/>
          <w:bCs/>
          <w:sz w:val="22"/>
          <w:szCs w:val="20"/>
          <w:lang w:val="lt-LT"/>
        </w:rPr>
        <w:t>s</w:t>
      </w:r>
      <w:r w:rsidRPr="00ED3D25">
        <w:rPr>
          <w:b/>
          <w:bCs/>
          <w:sz w:val="22"/>
          <w:szCs w:val="20"/>
          <w:lang w:val="lt-LT"/>
        </w:rPr>
        <w:t xml:space="preserve"> D</w:t>
      </w:r>
      <w:r w:rsidR="00633652">
        <w:rPr>
          <w:b/>
          <w:bCs/>
          <w:sz w:val="22"/>
          <w:szCs w:val="20"/>
          <w:lang w:val="lt-LT"/>
        </w:rPr>
        <w:t xml:space="preserve"> finansinių rodiklių palyginimas su</w:t>
      </w:r>
      <w:r>
        <w:rPr>
          <w:b/>
          <w:bCs/>
          <w:sz w:val="22"/>
          <w:szCs w:val="20"/>
          <w:lang w:val="lt-LT"/>
        </w:rPr>
        <w:t xml:space="preserve"> n</w:t>
      </w:r>
      <w:r w:rsidR="0031764D">
        <w:rPr>
          <w:b/>
          <w:bCs/>
          <w:sz w:val="22"/>
          <w:szCs w:val="20"/>
          <w:lang w:val="lt-LT"/>
        </w:rPr>
        <w:t>iekur kitur neišskirtų statybos darbų sektoriaus</w:t>
      </w:r>
      <w:r>
        <w:rPr>
          <w:b/>
          <w:bCs/>
          <w:sz w:val="22"/>
          <w:szCs w:val="20"/>
          <w:lang w:val="lt-LT"/>
        </w:rPr>
        <w:t xml:space="preserve"> </w:t>
      </w:r>
      <w:r w:rsidR="00431FE8">
        <w:rPr>
          <w:b/>
          <w:bCs/>
          <w:sz w:val="22"/>
          <w:szCs w:val="20"/>
          <w:lang w:val="lt-LT"/>
        </w:rPr>
        <w:t>finan</w:t>
      </w:r>
      <w:r w:rsidR="00633652">
        <w:rPr>
          <w:b/>
          <w:bCs/>
          <w:sz w:val="22"/>
          <w:szCs w:val="20"/>
          <w:lang w:val="lt-LT"/>
        </w:rPr>
        <w:t>siniais rodikliais</w:t>
      </w:r>
    </w:p>
    <w:p w:rsidR="00431FE8" w:rsidRPr="00431FE8" w:rsidRDefault="00431FE8" w:rsidP="00431FE8">
      <w:pPr>
        <w:spacing w:after="0" w:line="240" w:lineRule="auto"/>
        <w:ind w:firstLine="851"/>
        <w:jc w:val="center"/>
        <w:rPr>
          <w:b/>
          <w:bCs/>
          <w:sz w:val="20"/>
          <w:szCs w:val="18"/>
          <w:lang w:val="lt-LT"/>
        </w:rPr>
      </w:pPr>
    </w:p>
    <w:tbl>
      <w:tblPr>
        <w:tblStyle w:val="TableGrid"/>
        <w:tblW w:w="5000" w:type="pct"/>
        <w:jc w:val="center"/>
        <w:tblLook w:val="04A0" w:firstRow="1" w:lastRow="0" w:firstColumn="1" w:lastColumn="0" w:noHBand="0" w:noVBand="1"/>
      </w:tblPr>
      <w:tblGrid>
        <w:gridCol w:w="769"/>
        <w:gridCol w:w="935"/>
        <w:gridCol w:w="1053"/>
        <w:gridCol w:w="1114"/>
        <w:gridCol w:w="825"/>
        <w:gridCol w:w="1053"/>
        <w:gridCol w:w="1114"/>
        <w:gridCol w:w="825"/>
        <w:gridCol w:w="1053"/>
        <w:gridCol w:w="1114"/>
      </w:tblGrid>
      <w:tr w:rsidR="002261A4" w:rsidRPr="00ED3D25" w:rsidTr="00673CAB">
        <w:trPr>
          <w:jc w:val="center"/>
        </w:trPr>
        <w:tc>
          <w:tcPr>
            <w:tcW w:w="408" w:type="pct"/>
            <w:vMerge w:val="restart"/>
            <w:tcBorders>
              <w:right w:val="single" w:sz="18" w:space="0" w:color="auto"/>
              <w:tl2br w:val="single" w:sz="4" w:space="0" w:color="auto"/>
            </w:tcBorders>
            <w:vAlign w:val="center"/>
          </w:tcPr>
          <w:p w:rsidR="0031764D" w:rsidRPr="006A7328" w:rsidRDefault="00D05C72" w:rsidP="006A7328">
            <w:pPr>
              <w:spacing w:line="240" w:lineRule="auto"/>
              <w:jc w:val="right"/>
              <w:rPr>
                <w:b/>
                <w:bCs/>
                <w:lang w:val="lt-LT"/>
              </w:rPr>
            </w:pPr>
            <w:r w:rsidRPr="006A7328">
              <w:rPr>
                <w:b/>
                <w:bCs/>
                <w:lang w:val="lt-LT"/>
              </w:rPr>
              <w:t>Rod</w:t>
            </w:r>
            <w:r w:rsidR="006A7328">
              <w:rPr>
                <w:b/>
                <w:bCs/>
                <w:lang w:val="lt-LT"/>
              </w:rPr>
              <w:t>.</w:t>
            </w:r>
          </w:p>
          <w:p w:rsidR="002261A4" w:rsidRPr="006A7328" w:rsidRDefault="002261A4" w:rsidP="006A7328">
            <w:pPr>
              <w:spacing w:line="240" w:lineRule="auto"/>
              <w:rPr>
                <w:b/>
                <w:bCs/>
                <w:lang w:val="lt-LT"/>
              </w:rPr>
            </w:pPr>
            <w:r w:rsidRPr="006A7328">
              <w:rPr>
                <w:b/>
                <w:bCs/>
                <w:lang w:val="lt-LT"/>
              </w:rPr>
              <w:t>Metai</w:t>
            </w:r>
          </w:p>
        </w:tc>
        <w:tc>
          <w:tcPr>
            <w:tcW w:w="1567" w:type="pct"/>
            <w:gridSpan w:val="3"/>
            <w:tcBorders>
              <w:top w:val="single" w:sz="4" w:space="0" w:color="auto"/>
              <w:left w:val="single" w:sz="18" w:space="0" w:color="auto"/>
              <w:bottom w:val="single" w:sz="4" w:space="0" w:color="auto"/>
              <w:right w:val="single" w:sz="18" w:space="0" w:color="auto"/>
            </w:tcBorders>
            <w:vAlign w:val="center"/>
          </w:tcPr>
          <w:p w:rsidR="002261A4" w:rsidRPr="006A7328" w:rsidRDefault="002261A4" w:rsidP="006A7328">
            <w:pPr>
              <w:spacing w:line="240" w:lineRule="auto"/>
              <w:jc w:val="center"/>
              <w:rPr>
                <w:rFonts w:asciiTheme="majorBidi" w:hAnsiTheme="majorBidi" w:cstheme="majorBidi"/>
                <w:b/>
                <w:bCs/>
                <w:lang w:val="lt-LT"/>
              </w:rPr>
            </w:pPr>
            <w:r w:rsidRPr="006A7328">
              <w:rPr>
                <w:b/>
                <w:bCs/>
                <w:lang w:val="lt-LT"/>
              </w:rPr>
              <w:t>Einamasis likvidumas</w:t>
            </w:r>
          </w:p>
        </w:tc>
        <w:tc>
          <w:tcPr>
            <w:tcW w:w="1512" w:type="pct"/>
            <w:gridSpan w:val="3"/>
            <w:tcBorders>
              <w:left w:val="single" w:sz="18" w:space="0" w:color="auto"/>
              <w:bottom w:val="single" w:sz="4" w:space="0" w:color="auto"/>
              <w:right w:val="single" w:sz="18" w:space="0" w:color="auto"/>
            </w:tcBorders>
            <w:vAlign w:val="center"/>
          </w:tcPr>
          <w:p w:rsidR="002261A4" w:rsidRPr="006A7328" w:rsidRDefault="002261A4" w:rsidP="006A7328">
            <w:pPr>
              <w:spacing w:line="240" w:lineRule="auto"/>
              <w:jc w:val="center"/>
              <w:rPr>
                <w:rFonts w:asciiTheme="majorBidi" w:hAnsiTheme="majorBidi" w:cstheme="majorBidi"/>
                <w:b/>
                <w:bCs/>
                <w:lang w:val="lt-LT"/>
              </w:rPr>
            </w:pPr>
            <w:r w:rsidRPr="006A7328">
              <w:rPr>
                <w:rFonts w:asciiTheme="majorBidi" w:hAnsiTheme="majorBidi" w:cstheme="majorBidi"/>
                <w:b/>
                <w:bCs/>
                <w:lang w:val="lt-LT"/>
              </w:rPr>
              <w:t>Įsiskolinimų koeficientas</w:t>
            </w:r>
          </w:p>
        </w:tc>
        <w:tc>
          <w:tcPr>
            <w:tcW w:w="1512" w:type="pct"/>
            <w:gridSpan w:val="3"/>
            <w:tcBorders>
              <w:left w:val="single" w:sz="18" w:space="0" w:color="auto"/>
              <w:bottom w:val="single" w:sz="4" w:space="0" w:color="auto"/>
              <w:right w:val="single" w:sz="18" w:space="0" w:color="auto"/>
            </w:tcBorders>
            <w:vAlign w:val="center"/>
          </w:tcPr>
          <w:p w:rsidR="002261A4" w:rsidRPr="006A7328" w:rsidRDefault="00AC2F95" w:rsidP="006A7328">
            <w:pPr>
              <w:spacing w:line="240" w:lineRule="auto"/>
              <w:jc w:val="center"/>
              <w:rPr>
                <w:rFonts w:asciiTheme="majorBidi" w:hAnsiTheme="majorBidi" w:cstheme="majorBidi"/>
                <w:b/>
                <w:bCs/>
                <w:lang w:val="lt-LT"/>
              </w:rPr>
            </w:pPr>
            <w:r>
              <w:rPr>
                <w:rFonts w:asciiTheme="majorBidi" w:hAnsiTheme="majorBidi" w:cstheme="majorBidi"/>
                <w:b/>
                <w:bCs/>
                <w:lang w:val="lt-LT"/>
              </w:rPr>
              <w:t>Turto apyvartumas</w:t>
            </w:r>
          </w:p>
        </w:tc>
      </w:tr>
      <w:tr w:rsidR="00D05C72" w:rsidRPr="00ED3D25" w:rsidTr="00673CAB">
        <w:trPr>
          <w:jc w:val="center"/>
        </w:trPr>
        <w:tc>
          <w:tcPr>
            <w:tcW w:w="408" w:type="pct"/>
            <w:vMerge/>
            <w:tcBorders>
              <w:right w:val="single" w:sz="18" w:space="0" w:color="auto"/>
            </w:tcBorders>
            <w:vAlign w:val="center"/>
          </w:tcPr>
          <w:p w:rsidR="002261A4" w:rsidRPr="006A7328" w:rsidRDefault="002261A4" w:rsidP="006A7328">
            <w:pPr>
              <w:spacing w:line="240" w:lineRule="auto"/>
              <w:rPr>
                <w:b/>
                <w:bCs/>
                <w:lang w:val="lt-LT"/>
              </w:rPr>
            </w:pPr>
          </w:p>
        </w:tc>
        <w:tc>
          <w:tcPr>
            <w:tcW w:w="472" w:type="pct"/>
            <w:tcBorders>
              <w:left w:val="single" w:sz="18" w:space="0" w:color="auto"/>
              <w:bottom w:val="single" w:sz="18" w:space="0" w:color="auto"/>
            </w:tcBorders>
            <w:vAlign w:val="center"/>
          </w:tcPr>
          <w:p w:rsidR="002261A4" w:rsidRPr="006A7328" w:rsidRDefault="002261A4" w:rsidP="006A7328">
            <w:pPr>
              <w:spacing w:line="240" w:lineRule="auto"/>
              <w:jc w:val="center"/>
              <w:rPr>
                <w:lang w:val="lt-LT"/>
              </w:rPr>
            </w:pPr>
            <w:r w:rsidRPr="006A7328">
              <w:rPr>
                <w:lang w:val="lt-LT"/>
              </w:rPr>
              <w:t>Įmonė</w:t>
            </w:r>
          </w:p>
        </w:tc>
        <w:tc>
          <w:tcPr>
            <w:tcW w:w="532" w:type="pct"/>
            <w:tcBorders>
              <w:bottom w:val="single" w:sz="18" w:space="0" w:color="auto"/>
            </w:tcBorders>
            <w:vAlign w:val="center"/>
          </w:tcPr>
          <w:p w:rsidR="002261A4" w:rsidRPr="006A7328" w:rsidRDefault="002261A4" w:rsidP="006A7328">
            <w:pPr>
              <w:spacing w:line="240" w:lineRule="auto"/>
              <w:jc w:val="center"/>
              <w:rPr>
                <w:lang w:val="lt-LT"/>
              </w:rPr>
            </w:pPr>
            <w:r w:rsidRPr="006A7328">
              <w:rPr>
                <w:lang w:val="lt-LT"/>
              </w:rPr>
              <w:t>Sektorius</w:t>
            </w:r>
          </w:p>
        </w:tc>
        <w:tc>
          <w:tcPr>
            <w:tcW w:w="563" w:type="pct"/>
            <w:tcBorders>
              <w:bottom w:val="single" w:sz="18" w:space="0" w:color="auto"/>
              <w:right w:val="single" w:sz="18" w:space="0" w:color="auto"/>
            </w:tcBorders>
            <w:vAlign w:val="center"/>
          </w:tcPr>
          <w:p w:rsidR="002261A4" w:rsidRPr="006A7328" w:rsidRDefault="002261A4" w:rsidP="006A7328">
            <w:pPr>
              <w:spacing w:line="240" w:lineRule="auto"/>
              <w:jc w:val="center"/>
              <w:rPr>
                <w:lang w:val="lt-LT"/>
              </w:rPr>
            </w:pPr>
            <w:r w:rsidRPr="006A7328">
              <w:rPr>
                <w:lang w:val="lt-LT"/>
              </w:rPr>
              <w:t>Skirtumas</w:t>
            </w:r>
          </w:p>
        </w:tc>
        <w:tc>
          <w:tcPr>
            <w:tcW w:w="417" w:type="pct"/>
            <w:tcBorders>
              <w:left w:val="single" w:sz="18" w:space="0" w:color="auto"/>
              <w:bottom w:val="single" w:sz="18" w:space="0" w:color="auto"/>
            </w:tcBorders>
            <w:vAlign w:val="center"/>
          </w:tcPr>
          <w:p w:rsidR="002261A4" w:rsidRPr="006A7328" w:rsidRDefault="002261A4" w:rsidP="006A7328">
            <w:pPr>
              <w:spacing w:line="240" w:lineRule="auto"/>
              <w:jc w:val="center"/>
              <w:rPr>
                <w:lang w:val="lt-LT"/>
              </w:rPr>
            </w:pPr>
            <w:r w:rsidRPr="006A7328">
              <w:rPr>
                <w:lang w:val="lt-LT"/>
              </w:rPr>
              <w:t>Įmonė</w:t>
            </w:r>
          </w:p>
        </w:tc>
        <w:tc>
          <w:tcPr>
            <w:tcW w:w="532" w:type="pct"/>
            <w:tcBorders>
              <w:bottom w:val="single" w:sz="18" w:space="0" w:color="auto"/>
            </w:tcBorders>
            <w:vAlign w:val="center"/>
          </w:tcPr>
          <w:p w:rsidR="002261A4" w:rsidRPr="006A7328" w:rsidRDefault="002261A4" w:rsidP="006A7328">
            <w:pPr>
              <w:spacing w:line="240" w:lineRule="auto"/>
              <w:jc w:val="center"/>
              <w:rPr>
                <w:lang w:val="lt-LT"/>
              </w:rPr>
            </w:pPr>
            <w:r w:rsidRPr="006A7328">
              <w:rPr>
                <w:lang w:val="lt-LT"/>
              </w:rPr>
              <w:t>Sektorius</w:t>
            </w:r>
          </w:p>
        </w:tc>
        <w:tc>
          <w:tcPr>
            <w:tcW w:w="563" w:type="pct"/>
            <w:tcBorders>
              <w:bottom w:val="single" w:sz="18" w:space="0" w:color="auto"/>
              <w:right w:val="single" w:sz="18" w:space="0" w:color="auto"/>
            </w:tcBorders>
            <w:vAlign w:val="center"/>
          </w:tcPr>
          <w:p w:rsidR="002261A4" w:rsidRPr="006A7328" w:rsidRDefault="002261A4" w:rsidP="006A7328">
            <w:pPr>
              <w:spacing w:line="240" w:lineRule="auto"/>
              <w:jc w:val="center"/>
              <w:rPr>
                <w:lang w:val="lt-LT"/>
              </w:rPr>
            </w:pPr>
            <w:r w:rsidRPr="006A7328">
              <w:rPr>
                <w:lang w:val="lt-LT"/>
              </w:rPr>
              <w:t>Skirtumas</w:t>
            </w:r>
          </w:p>
        </w:tc>
        <w:tc>
          <w:tcPr>
            <w:tcW w:w="417" w:type="pct"/>
            <w:tcBorders>
              <w:left w:val="single" w:sz="18" w:space="0" w:color="auto"/>
              <w:bottom w:val="single" w:sz="18" w:space="0" w:color="auto"/>
            </w:tcBorders>
            <w:vAlign w:val="center"/>
          </w:tcPr>
          <w:p w:rsidR="002261A4" w:rsidRPr="006A7328" w:rsidRDefault="002261A4" w:rsidP="006A7328">
            <w:pPr>
              <w:spacing w:line="240" w:lineRule="auto"/>
              <w:jc w:val="center"/>
              <w:rPr>
                <w:lang w:val="lt-LT"/>
              </w:rPr>
            </w:pPr>
            <w:r w:rsidRPr="006A7328">
              <w:rPr>
                <w:lang w:val="lt-LT"/>
              </w:rPr>
              <w:t>Įmonė</w:t>
            </w:r>
          </w:p>
        </w:tc>
        <w:tc>
          <w:tcPr>
            <w:tcW w:w="532" w:type="pct"/>
            <w:tcBorders>
              <w:bottom w:val="single" w:sz="18" w:space="0" w:color="auto"/>
            </w:tcBorders>
            <w:vAlign w:val="center"/>
          </w:tcPr>
          <w:p w:rsidR="002261A4" w:rsidRPr="006A7328" w:rsidRDefault="002261A4" w:rsidP="006A7328">
            <w:pPr>
              <w:spacing w:line="240" w:lineRule="auto"/>
              <w:jc w:val="center"/>
              <w:rPr>
                <w:lang w:val="lt-LT"/>
              </w:rPr>
            </w:pPr>
            <w:r w:rsidRPr="006A7328">
              <w:rPr>
                <w:lang w:val="lt-LT"/>
              </w:rPr>
              <w:t>Sektorius</w:t>
            </w:r>
          </w:p>
        </w:tc>
        <w:tc>
          <w:tcPr>
            <w:tcW w:w="563" w:type="pct"/>
            <w:tcBorders>
              <w:bottom w:val="single" w:sz="18" w:space="0" w:color="auto"/>
              <w:right w:val="single" w:sz="18" w:space="0" w:color="auto"/>
            </w:tcBorders>
            <w:vAlign w:val="center"/>
          </w:tcPr>
          <w:p w:rsidR="002261A4" w:rsidRPr="006A7328" w:rsidRDefault="002261A4" w:rsidP="006A7328">
            <w:pPr>
              <w:spacing w:line="240" w:lineRule="auto"/>
              <w:jc w:val="center"/>
              <w:rPr>
                <w:lang w:val="lt-LT"/>
              </w:rPr>
            </w:pPr>
            <w:r w:rsidRPr="006A7328">
              <w:rPr>
                <w:lang w:val="lt-LT"/>
              </w:rPr>
              <w:t>Skirtumas</w:t>
            </w:r>
          </w:p>
        </w:tc>
      </w:tr>
      <w:tr w:rsidR="00AC2F95" w:rsidRPr="00ED3D25" w:rsidTr="00673CAB">
        <w:trPr>
          <w:jc w:val="center"/>
        </w:trPr>
        <w:tc>
          <w:tcPr>
            <w:tcW w:w="408" w:type="pct"/>
            <w:tcBorders>
              <w:right w:val="single" w:sz="18" w:space="0" w:color="auto"/>
            </w:tcBorders>
            <w:vAlign w:val="center"/>
          </w:tcPr>
          <w:p w:rsidR="00AC2F95" w:rsidRPr="006A7328" w:rsidRDefault="00AC2F95" w:rsidP="006A7328">
            <w:pPr>
              <w:spacing w:line="240" w:lineRule="auto"/>
              <w:rPr>
                <w:b/>
                <w:bCs/>
                <w:lang w:val="lt-LT"/>
              </w:rPr>
            </w:pPr>
            <w:r w:rsidRPr="006A7328">
              <w:rPr>
                <w:b/>
                <w:bCs/>
                <w:lang w:val="lt-LT"/>
              </w:rPr>
              <w:t>2011</w:t>
            </w:r>
          </w:p>
        </w:tc>
        <w:tc>
          <w:tcPr>
            <w:tcW w:w="472" w:type="pct"/>
            <w:tcBorders>
              <w:left w:val="single" w:sz="18" w:space="0" w:color="auto"/>
            </w:tcBorders>
            <w:vAlign w:val="center"/>
          </w:tcPr>
          <w:p w:rsidR="00AC2F95" w:rsidRPr="006A7328" w:rsidRDefault="00AC2F95" w:rsidP="006A7328">
            <w:pPr>
              <w:spacing w:line="240" w:lineRule="auto"/>
              <w:jc w:val="center"/>
              <w:rPr>
                <w:lang w:val="lt-LT"/>
              </w:rPr>
            </w:pPr>
            <w:r w:rsidRPr="006A7328">
              <w:rPr>
                <w:lang w:val="lt-LT"/>
              </w:rPr>
              <w:t>10,9637</w:t>
            </w:r>
          </w:p>
        </w:tc>
        <w:tc>
          <w:tcPr>
            <w:tcW w:w="532" w:type="pct"/>
            <w:vAlign w:val="center"/>
          </w:tcPr>
          <w:p w:rsidR="00AC2F95" w:rsidRPr="006A7328" w:rsidRDefault="00AC2F95" w:rsidP="006A7328">
            <w:pPr>
              <w:spacing w:line="240" w:lineRule="auto"/>
              <w:jc w:val="center"/>
              <w:rPr>
                <w:rFonts w:ascii="SegoeUI" w:hAnsi="SegoeUI" w:cs="Arial"/>
                <w:color w:val="000000"/>
                <w:sz w:val="20"/>
                <w:szCs w:val="20"/>
              </w:rPr>
            </w:pPr>
            <w:r w:rsidRPr="006A7328">
              <w:rPr>
                <w:rFonts w:ascii="SegoeUI" w:hAnsi="SegoeUI" w:cs="Arial"/>
                <w:color w:val="000000"/>
                <w:sz w:val="20"/>
                <w:szCs w:val="20"/>
              </w:rPr>
              <w:t>1,43</w:t>
            </w:r>
          </w:p>
        </w:tc>
        <w:tc>
          <w:tcPr>
            <w:tcW w:w="563" w:type="pct"/>
            <w:tcBorders>
              <w:right w:val="single" w:sz="18" w:space="0" w:color="auto"/>
            </w:tcBorders>
            <w:vAlign w:val="center"/>
          </w:tcPr>
          <w:p w:rsidR="00AC2F95" w:rsidRPr="006A7328" w:rsidRDefault="00AC2F95" w:rsidP="006A7328">
            <w:pPr>
              <w:spacing w:line="240" w:lineRule="auto"/>
              <w:jc w:val="center"/>
            </w:pPr>
            <w:r w:rsidRPr="006A7328">
              <w:rPr>
                <w:lang w:val="lt-LT"/>
              </w:rPr>
              <w:t>9,5337</w:t>
            </w:r>
          </w:p>
        </w:tc>
        <w:tc>
          <w:tcPr>
            <w:tcW w:w="417" w:type="pct"/>
            <w:tcBorders>
              <w:left w:val="single" w:sz="18" w:space="0" w:color="auto"/>
            </w:tcBorders>
            <w:vAlign w:val="center"/>
          </w:tcPr>
          <w:p w:rsidR="00AC2F95" w:rsidRPr="006A7328" w:rsidRDefault="00AC2F95" w:rsidP="006A7328">
            <w:pPr>
              <w:spacing w:line="240" w:lineRule="auto"/>
              <w:jc w:val="center"/>
              <w:rPr>
                <w:lang w:val="lt-LT"/>
              </w:rPr>
            </w:pPr>
            <w:r w:rsidRPr="006A7328">
              <w:rPr>
                <w:lang w:val="lt-LT"/>
              </w:rPr>
              <w:t>0,0696</w:t>
            </w:r>
          </w:p>
        </w:tc>
        <w:tc>
          <w:tcPr>
            <w:tcW w:w="532" w:type="pct"/>
            <w:vAlign w:val="center"/>
          </w:tcPr>
          <w:p w:rsidR="00AC2F95" w:rsidRPr="006A7328" w:rsidRDefault="00AC2F95" w:rsidP="006A7328">
            <w:pPr>
              <w:spacing w:line="240" w:lineRule="auto"/>
              <w:jc w:val="center"/>
              <w:rPr>
                <w:rFonts w:ascii="SegoeUI" w:hAnsi="SegoeUI" w:cs="Arial"/>
                <w:color w:val="000000"/>
                <w:sz w:val="20"/>
                <w:szCs w:val="20"/>
              </w:rPr>
            </w:pPr>
            <w:r w:rsidRPr="006A7328">
              <w:rPr>
                <w:rFonts w:ascii="SegoeUI" w:hAnsi="SegoeUI" w:cs="Arial"/>
                <w:color w:val="000000"/>
                <w:sz w:val="20"/>
                <w:szCs w:val="20"/>
              </w:rPr>
              <w:t>0,59</w:t>
            </w:r>
          </w:p>
        </w:tc>
        <w:tc>
          <w:tcPr>
            <w:tcW w:w="563" w:type="pct"/>
            <w:tcBorders>
              <w:right w:val="single" w:sz="18" w:space="0" w:color="auto"/>
            </w:tcBorders>
            <w:vAlign w:val="center"/>
          </w:tcPr>
          <w:p w:rsidR="00AC2F95" w:rsidRPr="006A7328" w:rsidRDefault="00AC2F95" w:rsidP="006A7328">
            <w:pPr>
              <w:spacing w:line="240" w:lineRule="auto"/>
              <w:jc w:val="center"/>
            </w:pPr>
            <w:r w:rsidRPr="006A7328">
              <w:rPr>
                <w:lang w:val="lt-LT"/>
              </w:rPr>
              <w:t>-0,5204</w:t>
            </w:r>
          </w:p>
        </w:tc>
        <w:tc>
          <w:tcPr>
            <w:tcW w:w="417" w:type="pct"/>
            <w:tcBorders>
              <w:left w:val="single" w:sz="18" w:space="0" w:color="auto"/>
            </w:tcBorders>
            <w:vAlign w:val="center"/>
          </w:tcPr>
          <w:p w:rsidR="00AC2F95" w:rsidRPr="006A7328" w:rsidRDefault="00AC2F95" w:rsidP="007E6E7D">
            <w:pPr>
              <w:spacing w:line="240" w:lineRule="auto"/>
              <w:jc w:val="center"/>
              <w:rPr>
                <w:lang w:val="lt-LT"/>
              </w:rPr>
            </w:pPr>
            <w:r w:rsidRPr="006A7328">
              <w:rPr>
                <w:lang w:val="lt-LT"/>
              </w:rPr>
              <w:t>1,7049</w:t>
            </w:r>
          </w:p>
        </w:tc>
        <w:tc>
          <w:tcPr>
            <w:tcW w:w="532" w:type="pct"/>
            <w:vAlign w:val="center"/>
          </w:tcPr>
          <w:p w:rsidR="00AC2F95" w:rsidRPr="006A7328" w:rsidRDefault="00AC2F95" w:rsidP="007E6E7D">
            <w:pPr>
              <w:spacing w:line="240" w:lineRule="auto"/>
              <w:jc w:val="center"/>
              <w:rPr>
                <w:color w:val="000000"/>
              </w:rPr>
            </w:pPr>
            <w:r w:rsidRPr="006A7328">
              <w:rPr>
                <w:color w:val="000000"/>
              </w:rPr>
              <w:t>1,13</w:t>
            </w:r>
          </w:p>
        </w:tc>
        <w:tc>
          <w:tcPr>
            <w:tcW w:w="563" w:type="pct"/>
            <w:tcBorders>
              <w:right w:val="single" w:sz="18" w:space="0" w:color="auto"/>
            </w:tcBorders>
            <w:vAlign w:val="center"/>
          </w:tcPr>
          <w:p w:rsidR="00AC2F95" w:rsidRPr="006A7328" w:rsidRDefault="00AC2F95" w:rsidP="007E6E7D">
            <w:pPr>
              <w:spacing w:line="240" w:lineRule="auto"/>
              <w:jc w:val="center"/>
            </w:pPr>
            <w:r w:rsidRPr="006A7328">
              <w:rPr>
                <w:lang w:val="lt-LT"/>
              </w:rPr>
              <w:t>0,5749</w:t>
            </w:r>
          </w:p>
        </w:tc>
      </w:tr>
      <w:tr w:rsidR="00AC2F95" w:rsidRPr="00ED3D25" w:rsidTr="00673CAB">
        <w:trPr>
          <w:jc w:val="center"/>
        </w:trPr>
        <w:tc>
          <w:tcPr>
            <w:tcW w:w="408" w:type="pct"/>
            <w:tcBorders>
              <w:right w:val="single" w:sz="18" w:space="0" w:color="auto"/>
            </w:tcBorders>
            <w:vAlign w:val="center"/>
          </w:tcPr>
          <w:p w:rsidR="00AC2F95" w:rsidRPr="006A7328" w:rsidRDefault="00AC2F95" w:rsidP="006A7328">
            <w:pPr>
              <w:spacing w:line="240" w:lineRule="auto"/>
              <w:rPr>
                <w:rFonts w:asciiTheme="majorBidi" w:hAnsiTheme="majorBidi" w:cstheme="majorBidi"/>
                <w:b/>
                <w:bCs/>
                <w:lang w:val="lt-LT"/>
              </w:rPr>
            </w:pPr>
            <w:r w:rsidRPr="006A7328">
              <w:rPr>
                <w:rFonts w:asciiTheme="majorBidi" w:hAnsiTheme="majorBidi" w:cstheme="majorBidi"/>
                <w:b/>
                <w:bCs/>
                <w:lang w:val="lt-LT"/>
              </w:rPr>
              <w:t>2012</w:t>
            </w:r>
          </w:p>
        </w:tc>
        <w:tc>
          <w:tcPr>
            <w:tcW w:w="472" w:type="pct"/>
            <w:tcBorders>
              <w:left w:val="single" w:sz="18" w:space="0" w:color="auto"/>
            </w:tcBorders>
            <w:vAlign w:val="center"/>
          </w:tcPr>
          <w:p w:rsidR="00AC2F95" w:rsidRPr="006A7328" w:rsidRDefault="00AC2F95" w:rsidP="006A7328">
            <w:pPr>
              <w:spacing w:line="240" w:lineRule="auto"/>
              <w:jc w:val="center"/>
              <w:rPr>
                <w:lang w:val="lt-LT"/>
              </w:rPr>
            </w:pPr>
            <w:r w:rsidRPr="006A7328">
              <w:rPr>
                <w:lang w:val="lt-LT"/>
              </w:rPr>
              <w:t>0,8083</w:t>
            </w:r>
          </w:p>
        </w:tc>
        <w:tc>
          <w:tcPr>
            <w:tcW w:w="532" w:type="pct"/>
            <w:vAlign w:val="center"/>
          </w:tcPr>
          <w:p w:rsidR="00AC2F95" w:rsidRPr="006A7328" w:rsidRDefault="00AC2F95" w:rsidP="006A7328">
            <w:pPr>
              <w:spacing w:line="240" w:lineRule="auto"/>
              <w:jc w:val="center"/>
              <w:rPr>
                <w:rFonts w:ascii="SegoeUI" w:hAnsi="SegoeUI" w:cs="Arial"/>
                <w:color w:val="000000"/>
                <w:sz w:val="20"/>
                <w:szCs w:val="20"/>
              </w:rPr>
            </w:pPr>
            <w:r w:rsidRPr="006A7328">
              <w:rPr>
                <w:rFonts w:ascii="SegoeUI" w:hAnsi="SegoeUI" w:cs="Arial"/>
                <w:color w:val="000000"/>
                <w:sz w:val="20"/>
                <w:szCs w:val="20"/>
              </w:rPr>
              <w:t>1,56</w:t>
            </w:r>
          </w:p>
        </w:tc>
        <w:tc>
          <w:tcPr>
            <w:tcW w:w="563" w:type="pct"/>
            <w:tcBorders>
              <w:right w:val="single" w:sz="18" w:space="0" w:color="auto"/>
            </w:tcBorders>
            <w:vAlign w:val="center"/>
          </w:tcPr>
          <w:p w:rsidR="00AC2F95" w:rsidRPr="006A7328" w:rsidRDefault="00AC2F95" w:rsidP="006A7328">
            <w:pPr>
              <w:spacing w:line="240" w:lineRule="auto"/>
              <w:jc w:val="center"/>
            </w:pPr>
            <w:r w:rsidRPr="006A7328">
              <w:rPr>
                <w:lang w:val="lt-LT"/>
              </w:rPr>
              <w:t>-0,7517</w:t>
            </w:r>
          </w:p>
        </w:tc>
        <w:tc>
          <w:tcPr>
            <w:tcW w:w="417" w:type="pct"/>
            <w:tcBorders>
              <w:left w:val="single" w:sz="18" w:space="0" w:color="auto"/>
            </w:tcBorders>
            <w:vAlign w:val="center"/>
          </w:tcPr>
          <w:p w:rsidR="00AC2F95" w:rsidRPr="006A7328" w:rsidRDefault="00AC2F95" w:rsidP="006A7328">
            <w:pPr>
              <w:spacing w:line="240" w:lineRule="auto"/>
              <w:jc w:val="center"/>
              <w:rPr>
                <w:lang w:val="lt-LT"/>
              </w:rPr>
            </w:pPr>
            <w:r w:rsidRPr="006A7328">
              <w:rPr>
                <w:lang w:val="lt-LT"/>
              </w:rPr>
              <w:t>0,5245</w:t>
            </w:r>
          </w:p>
        </w:tc>
        <w:tc>
          <w:tcPr>
            <w:tcW w:w="532" w:type="pct"/>
            <w:vAlign w:val="center"/>
          </w:tcPr>
          <w:p w:rsidR="00AC2F95" w:rsidRPr="006A7328" w:rsidRDefault="00AC2F95" w:rsidP="006A7328">
            <w:pPr>
              <w:spacing w:line="240" w:lineRule="auto"/>
              <w:jc w:val="center"/>
              <w:rPr>
                <w:rFonts w:ascii="SegoeUI" w:hAnsi="SegoeUI" w:cs="Arial"/>
                <w:color w:val="000000"/>
                <w:sz w:val="20"/>
                <w:szCs w:val="20"/>
              </w:rPr>
            </w:pPr>
            <w:r w:rsidRPr="006A7328">
              <w:rPr>
                <w:rFonts w:ascii="SegoeUI" w:hAnsi="SegoeUI" w:cs="Arial"/>
                <w:color w:val="000000"/>
                <w:sz w:val="20"/>
                <w:szCs w:val="20"/>
              </w:rPr>
              <w:t>0,5</w:t>
            </w:r>
          </w:p>
        </w:tc>
        <w:tc>
          <w:tcPr>
            <w:tcW w:w="563" w:type="pct"/>
            <w:tcBorders>
              <w:right w:val="single" w:sz="18" w:space="0" w:color="auto"/>
            </w:tcBorders>
            <w:vAlign w:val="center"/>
          </w:tcPr>
          <w:p w:rsidR="00AC2F95" w:rsidRPr="006A7328" w:rsidRDefault="00AC2F95" w:rsidP="006A7328">
            <w:pPr>
              <w:spacing w:line="240" w:lineRule="auto"/>
              <w:jc w:val="center"/>
            </w:pPr>
            <w:r w:rsidRPr="006A7328">
              <w:rPr>
                <w:lang w:val="lt-LT"/>
              </w:rPr>
              <w:t>0,0245</w:t>
            </w:r>
          </w:p>
        </w:tc>
        <w:tc>
          <w:tcPr>
            <w:tcW w:w="417" w:type="pct"/>
            <w:tcBorders>
              <w:left w:val="single" w:sz="18" w:space="0" w:color="auto"/>
            </w:tcBorders>
            <w:vAlign w:val="center"/>
          </w:tcPr>
          <w:p w:rsidR="00AC2F95" w:rsidRPr="006A7328" w:rsidRDefault="00AC2F95" w:rsidP="007E6E7D">
            <w:pPr>
              <w:spacing w:line="240" w:lineRule="auto"/>
              <w:jc w:val="center"/>
              <w:rPr>
                <w:lang w:val="lt-LT"/>
              </w:rPr>
            </w:pPr>
            <w:r w:rsidRPr="006A7328">
              <w:rPr>
                <w:lang w:val="lt-LT"/>
              </w:rPr>
              <w:t>0,8334</w:t>
            </w:r>
          </w:p>
        </w:tc>
        <w:tc>
          <w:tcPr>
            <w:tcW w:w="532" w:type="pct"/>
            <w:vAlign w:val="center"/>
          </w:tcPr>
          <w:p w:rsidR="00AC2F95" w:rsidRPr="006A7328" w:rsidRDefault="00AC2F95" w:rsidP="007E6E7D">
            <w:pPr>
              <w:spacing w:line="240" w:lineRule="auto"/>
              <w:jc w:val="center"/>
              <w:rPr>
                <w:color w:val="000000"/>
              </w:rPr>
            </w:pPr>
            <w:r w:rsidRPr="006A7328">
              <w:rPr>
                <w:color w:val="000000"/>
              </w:rPr>
              <w:t>1,05</w:t>
            </w:r>
          </w:p>
        </w:tc>
        <w:tc>
          <w:tcPr>
            <w:tcW w:w="563" w:type="pct"/>
            <w:tcBorders>
              <w:right w:val="single" w:sz="18" w:space="0" w:color="auto"/>
            </w:tcBorders>
            <w:vAlign w:val="center"/>
          </w:tcPr>
          <w:p w:rsidR="00AC2F95" w:rsidRPr="006A7328" w:rsidRDefault="00AC2F95" w:rsidP="007E6E7D">
            <w:pPr>
              <w:spacing w:line="240" w:lineRule="auto"/>
              <w:jc w:val="center"/>
            </w:pPr>
            <w:r w:rsidRPr="006A7328">
              <w:rPr>
                <w:lang w:val="lt-LT"/>
              </w:rPr>
              <w:t>-0,2166</w:t>
            </w:r>
          </w:p>
        </w:tc>
      </w:tr>
      <w:tr w:rsidR="00AC2F95" w:rsidRPr="00ED3D25" w:rsidTr="00673CAB">
        <w:trPr>
          <w:jc w:val="center"/>
        </w:trPr>
        <w:tc>
          <w:tcPr>
            <w:tcW w:w="408" w:type="pct"/>
            <w:tcBorders>
              <w:right w:val="single" w:sz="18" w:space="0" w:color="auto"/>
            </w:tcBorders>
            <w:vAlign w:val="center"/>
          </w:tcPr>
          <w:p w:rsidR="00AC2F95" w:rsidRPr="006A7328" w:rsidRDefault="00AC2F95" w:rsidP="006A7328">
            <w:pPr>
              <w:spacing w:line="240" w:lineRule="auto"/>
              <w:rPr>
                <w:b/>
                <w:bCs/>
                <w:lang w:val="lt-LT"/>
              </w:rPr>
            </w:pPr>
            <w:r w:rsidRPr="006A7328">
              <w:rPr>
                <w:b/>
                <w:bCs/>
                <w:lang w:val="lt-LT"/>
              </w:rPr>
              <w:t>2013</w:t>
            </w:r>
          </w:p>
        </w:tc>
        <w:tc>
          <w:tcPr>
            <w:tcW w:w="472" w:type="pct"/>
            <w:tcBorders>
              <w:left w:val="single" w:sz="18" w:space="0" w:color="auto"/>
            </w:tcBorders>
            <w:vAlign w:val="center"/>
          </w:tcPr>
          <w:p w:rsidR="00AC2F95" w:rsidRPr="006A7328" w:rsidRDefault="00AC2F95" w:rsidP="006A7328">
            <w:pPr>
              <w:spacing w:line="240" w:lineRule="auto"/>
              <w:jc w:val="center"/>
              <w:rPr>
                <w:lang w:val="lt-LT"/>
              </w:rPr>
            </w:pPr>
            <w:r w:rsidRPr="006A7328">
              <w:rPr>
                <w:lang w:val="lt-LT"/>
              </w:rPr>
              <w:t>0,8188</w:t>
            </w:r>
          </w:p>
        </w:tc>
        <w:tc>
          <w:tcPr>
            <w:tcW w:w="532" w:type="pct"/>
            <w:vAlign w:val="center"/>
          </w:tcPr>
          <w:p w:rsidR="00AC2F95" w:rsidRPr="006A7328" w:rsidRDefault="00AC2F95" w:rsidP="006A7328">
            <w:pPr>
              <w:spacing w:line="240" w:lineRule="auto"/>
              <w:jc w:val="center"/>
              <w:rPr>
                <w:rFonts w:ascii="SegoeUI" w:hAnsi="SegoeUI" w:cs="Arial"/>
                <w:color w:val="000000"/>
                <w:sz w:val="20"/>
                <w:szCs w:val="20"/>
              </w:rPr>
            </w:pPr>
            <w:r w:rsidRPr="006A7328">
              <w:rPr>
                <w:rFonts w:ascii="SegoeUI" w:hAnsi="SegoeUI" w:cs="Arial"/>
                <w:color w:val="000000"/>
                <w:sz w:val="20"/>
                <w:szCs w:val="20"/>
              </w:rPr>
              <w:t>1,81</w:t>
            </w:r>
          </w:p>
        </w:tc>
        <w:tc>
          <w:tcPr>
            <w:tcW w:w="563" w:type="pct"/>
            <w:tcBorders>
              <w:right w:val="single" w:sz="18" w:space="0" w:color="auto"/>
            </w:tcBorders>
            <w:vAlign w:val="center"/>
          </w:tcPr>
          <w:p w:rsidR="00AC2F95" w:rsidRPr="006A7328" w:rsidRDefault="00AC2F95" w:rsidP="006A7328">
            <w:pPr>
              <w:spacing w:line="240" w:lineRule="auto"/>
              <w:jc w:val="center"/>
            </w:pPr>
            <w:r w:rsidRPr="006A7328">
              <w:rPr>
                <w:lang w:val="lt-LT"/>
              </w:rPr>
              <w:t>-0,9912</w:t>
            </w:r>
          </w:p>
        </w:tc>
        <w:tc>
          <w:tcPr>
            <w:tcW w:w="417" w:type="pct"/>
            <w:tcBorders>
              <w:left w:val="single" w:sz="18" w:space="0" w:color="auto"/>
            </w:tcBorders>
            <w:vAlign w:val="center"/>
          </w:tcPr>
          <w:p w:rsidR="00AC2F95" w:rsidRPr="006A7328" w:rsidRDefault="00AC2F95" w:rsidP="006A7328">
            <w:pPr>
              <w:spacing w:line="240" w:lineRule="auto"/>
              <w:jc w:val="center"/>
              <w:rPr>
                <w:lang w:val="lt-LT"/>
              </w:rPr>
            </w:pPr>
            <w:r w:rsidRPr="006A7328">
              <w:rPr>
                <w:lang w:val="lt-LT"/>
              </w:rPr>
              <w:t>0,4663</w:t>
            </w:r>
          </w:p>
        </w:tc>
        <w:tc>
          <w:tcPr>
            <w:tcW w:w="532" w:type="pct"/>
            <w:vAlign w:val="center"/>
          </w:tcPr>
          <w:p w:rsidR="00AC2F95" w:rsidRPr="006A7328" w:rsidRDefault="00AC2F95" w:rsidP="006A7328">
            <w:pPr>
              <w:spacing w:line="240" w:lineRule="auto"/>
              <w:jc w:val="center"/>
              <w:rPr>
                <w:rFonts w:ascii="SegoeUI" w:hAnsi="SegoeUI" w:cs="Arial"/>
                <w:color w:val="000000"/>
                <w:sz w:val="20"/>
                <w:szCs w:val="20"/>
              </w:rPr>
            </w:pPr>
            <w:r w:rsidRPr="006A7328">
              <w:rPr>
                <w:rFonts w:ascii="SegoeUI" w:hAnsi="SegoeUI" w:cs="Arial"/>
                <w:color w:val="000000"/>
                <w:sz w:val="20"/>
                <w:szCs w:val="20"/>
              </w:rPr>
              <w:t>0,43</w:t>
            </w:r>
          </w:p>
        </w:tc>
        <w:tc>
          <w:tcPr>
            <w:tcW w:w="563" w:type="pct"/>
            <w:tcBorders>
              <w:right w:val="single" w:sz="18" w:space="0" w:color="auto"/>
            </w:tcBorders>
            <w:vAlign w:val="center"/>
          </w:tcPr>
          <w:p w:rsidR="00AC2F95" w:rsidRPr="006A7328" w:rsidRDefault="00AC2F95" w:rsidP="006A7328">
            <w:pPr>
              <w:spacing w:line="240" w:lineRule="auto"/>
              <w:jc w:val="center"/>
            </w:pPr>
            <w:r w:rsidRPr="006A7328">
              <w:rPr>
                <w:lang w:val="lt-LT"/>
              </w:rPr>
              <w:t>0,0363</w:t>
            </w:r>
          </w:p>
        </w:tc>
        <w:tc>
          <w:tcPr>
            <w:tcW w:w="417" w:type="pct"/>
            <w:tcBorders>
              <w:left w:val="single" w:sz="18" w:space="0" w:color="auto"/>
            </w:tcBorders>
            <w:vAlign w:val="center"/>
          </w:tcPr>
          <w:p w:rsidR="00AC2F95" w:rsidRPr="006A7328" w:rsidRDefault="00AC2F95" w:rsidP="007E6E7D">
            <w:pPr>
              <w:spacing w:line="240" w:lineRule="auto"/>
              <w:jc w:val="center"/>
              <w:rPr>
                <w:lang w:val="lt-LT"/>
              </w:rPr>
            </w:pPr>
            <w:r w:rsidRPr="006A7328">
              <w:rPr>
                <w:lang w:val="lt-LT"/>
              </w:rPr>
              <w:t>1,3014</w:t>
            </w:r>
          </w:p>
        </w:tc>
        <w:tc>
          <w:tcPr>
            <w:tcW w:w="532" w:type="pct"/>
            <w:vAlign w:val="center"/>
          </w:tcPr>
          <w:p w:rsidR="00AC2F95" w:rsidRPr="006A7328" w:rsidRDefault="00AC2F95" w:rsidP="007E6E7D">
            <w:pPr>
              <w:spacing w:line="240" w:lineRule="auto"/>
              <w:jc w:val="center"/>
              <w:rPr>
                <w:color w:val="000000"/>
              </w:rPr>
            </w:pPr>
            <w:r w:rsidRPr="006A7328">
              <w:rPr>
                <w:color w:val="000000"/>
              </w:rPr>
              <w:t>1,4</w:t>
            </w:r>
          </w:p>
        </w:tc>
        <w:tc>
          <w:tcPr>
            <w:tcW w:w="563" w:type="pct"/>
            <w:tcBorders>
              <w:right w:val="single" w:sz="18" w:space="0" w:color="auto"/>
            </w:tcBorders>
            <w:vAlign w:val="center"/>
          </w:tcPr>
          <w:p w:rsidR="00AC2F95" w:rsidRPr="006A7328" w:rsidRDefault="00AC2F95" w:rsidP="007E6E7D">
            <w:pPr>
              <w:spacing w:line="240" w:lineRule="auto"/>
              <w:jc w:val="center"/>
            </w:pPr>
            <w:r w:rsidRPr="006A7328">
              <w:rPr>
                <w:lang w:val="lt-LT"/>
              </w:rPr>
              <w:t>-0,0986</w:t>
            </w:r>
          </w:p>
        </w:tc>
      </w:tr>
    </w:tbl>
    <w:p w:rsidR="00B3426A" w:rsidRDefault="00B3426A" w:rsidP="00AC2F95">
      <w:pPr>
        <w:spacing w:after="0" w:line="240" w:lineRule="auto"/>
        <w:rPr>
          <w:sz w:val="20"/>
          <w:szCs w:val="20"/>
          <w:lang w:val="lt-LT"/>
        </w:rPr>
      </w:pPr>
      <w:r w:rsidRPr="00ED3D25">
        <w:rPr>
          <w:sz w:val="20"/>
          <w:szCs w:val="20"/>
          <w:lang w:val="lt-LT"/>
        </w:rPr>
        <w:t xml:space="preserve">Pastaba: lentelė sudaryta autorės, remiantis </w:t>
      </w:r>
      <w:r>
        <w:rPr>
          <w:sz w:val="20"/>
          <w:szCs w:val="20"/>
          <w:lang w:val="lt-LT"/>
        </w:rPr>
        <w:t>Lietuvos statistikos departamento</w:t>
      </w:r>
      <w:r w:rsidR="00AC2F95">
        <w:rPr>
          <w:sz w:val="20"/>
          <w:szCs w:val="20"/>
          <w:lang w:val="lt-LT"/>
        </w:rPr>
        <w:t xml:space="preserve"> duomenimis ir įmonės D finansiniais duomenimis.</w:t>
      </w:r>
    </w:p>
    <w:p w:rsidR="00AC2F95" w:rsidRPr="00AC2F95" w:rsidRDefault="00AC2F95" w:rsidP="00AC2F95">
      <w:pPr>
        <w:spacing w:after="0" w:line="240" w:lineRule="auto"/>
        <w:rPr>
          <w:sz w:val="14"/>
          <w:szCs w:val="14"/>
          <w:lang w:val="lt-LT"/>
        </w:rPr>
      </w:pPr>
    </w:p>
    <w:p w:rsidR="004D6B04" w:rsidRPr="00431FE8" w:rsidRDefault="00431FE8" w:rsidP="00AC2F95">
      <w:pPr>
        <w:spacing w:after="0"/>
        <w:ind w:firstLine="851"/>
        <w:rPr>
          <w:lang w:val="lt-LT"/>
        </w:rPr>
      </w:pPr>
      <w:r>
        <w:rPr>
          <w:lang w:val="lt-LT"/>
        </w:rPr>
        <w:t xml:space="preserve">Ketvirtosios tyrime dalyvaujančios įmonės D </w:t>
      </w:r>
      <w:r w:rsidR="00687650">
        <w:rPr>
          <w:lang w:val="lt-LT"/>
        </w:rPr>
        <w:t>rodikliu</w:t>
      </w:r>
      <w:r w:rsidR="00746E75">
        <w:rPr>
          <w:lang w:val="lt-LT"/>
        </w:rPr>
        <w:t>s lyginant su sektoriaus (žr. 28</w:t>
      </w:r>
      <w:r w:rsidR="00687650">
        <w:rPr>
          <w:lang w:val="lt-LT"/>
        </w:rPr>
        <w:t xml:space="preserve"> lentelę) matyti, kad įmonė</w:t>
      </w:r>
      <w:r w:rsidR="00167144">
        <w:rPr>
          <w:lang w:val="lt-LT"/>
        </w:rPr>
        <w:t>s D</w:t>
      </w:r>
      <w:r w:rsidR="00687650">
        <w:rPr>
          <w:lang w:val="lt-LT"/>
        </w:rPr>
        <w:t xml:space="preserve"> </w:t>
      </w:r>
      <w:r w:rsidR="00167144">
        <w:rPr>
          <w:lang w:val="lt-LT"/>
        </w:rPr>
        <w:t>likvidumui būdingas 2011-2012 m. staigus sumažėjimas, siekiantis net 10 kartų. O</w:t>
      </w:r>
      <w:r w:rsidR="00687650">
        <w:rPr>
          <w:lang w:val="lt-LT"/>
        </w:rPr>
        <w:t xml:space="preserve"> sektro</w:t>
      </w:r>
      <w:r w:rsidR="00D367D2">
        <w:rPr>
          <w:lang w:val="lt-LT"/>
        </w:rPr>
        <w:t>r</w:t>
      </w:r>
      <w:r w:rsidR="00687650">
        <w:rPr>
          <w:lang w:val="lt-LT"/>
        </w:rPr>
        <w:t>iui būdingas</w:t>
      </w:r>
      <w:r w:rsidR="00167144">
        <w:rPr>
          <w:lang w:val="lt-LT"/>
        </w:rPr>
        <w:t xml:space="preserve"> einamojo</w:t>
      </w:r>
      <w:r w:rsidR="00687650">
        <w:rPr>
          <w:lang w:val="lt-LT"/>
        </w:rPr>
        <w:t xml:space="preserve"> likvidumo augimas. </w:t>
      </w:r>
      <w:r w:rsidR="00167144">
        <w:rPr>
          <w:lang w:val="lt-LT"/>
        </w:rPr>
        <w:t>Tad skirtumas tarp įmonės ir sektoria</w:t>
      </w:r>
      <w:r w:rsidR="00452EB3">
        <w:rPr>
          <w:lang w:val="lt-LT"/>
        </w:rPr>
        <w:t>us einamojo likvidumo tik didėjo</w:t>
      </w:r>
      <w:r w:rsidR="00167144">
        <w:rPr>
          <w:lang w:val="lt-LT"/>
        </w:rPr>
        <w:t xml:space="preserve">. Vertinant įsiskolinimų koeficientą matyti, kad sektoriuje </w:t>
      </w:r>
      <w:r w:rsidR="00167144">
        <w:rPr>
          <w:lang w:val="lt-LT"/>
        </w:rPr>
        <w:lastRenderedPageBreak/>
        <w:t xml:space="preserve">jis palaipsniui mažėja, kaip ir įmonės, nors tiek sektoriaus, tiek įmonės reikšmės panašios, bet įmonei būdingas apie </w:t>
      </w:r>
      <w:r w:rsidR="00AC2F95">
        <w:rPr>
          <w:lang w:val="lt-LT"/>
        </w:rPr>
        <w:t xml:space="preserve">3 proc. didesnis koeficientas. </w:t>
      </w:r>
      <w:r w:rsidR="00AC2F95">
        <w:rPr>
          <w:szCs w:val="24"/>
          <w:lang w:val="lt-LT"/>
        </w:rPr>
        <w:t>Įmonės turto apyvartumas artimiausias sektoriui buvo po ES finansinės paramos gautų lėšų įsisavinimo, t. y. 2013 m., taip pat stebimas turto apyvartumo didėjimas visame sektoriuje.</w:t>
      </w:r>
    </w:p>
    <w:p w:rsidR="00AC2F95" w:rsidRDefault="00AC2F95">
      <w:pPr>
        <w:spacing w:line="276" w:lineRule="auto"/>
        <w:jc w:val="left"/>
        <w:rPr>
          <w:b/>
          <w:bCs/>
          <w:lang w:val="lt-LT"/>
        </w:rPr>
      </w:pPr>
      <w:r>
        <w:rPr>
          <w:b/>
          <w:bCs/>
          <w:lang w:val="lt-LT"/>
        </w:rPr>
        <w:br w:type="page"/>
      </w:r>
    </w:p>
    <w:p w:rsidR="00431FE8" w:rsidRPr="00ED3D25" w:rsidRDefault="00746E75" w:rsidP="00431FE8">
      <w:pPr>
        <w:spacing w:after="0"/>
        <w:ind w:firstLine="851"/>
        <w:jc w:val="right"/>
        <w:rPr>
          <w:b/>
          <w:bCs/>
          <w:lang w:val="lt-LT"/>
        </w:rPr>
      </w:pPr>
      <w:r>
        <w:rPr>
          <w:b/>
          <w:bCs/>
          <w:lang w:val="lt-LT"/>
        </w:rPr>
        <w:lastRenderedPageBreak/>
        <w:t>29</w:t>
      </w:r>
      <w:r w:rsidR="00431FE8" w:rsidRPr="00ED3D25">
        <w:rPr>
          <w:b/>
          <w:bCs/>
          <w:lang w:val="lt-LT"/>
        </w:rPr>
        <w:t xml:space="preserve"> lentelė</w:t>
      </w:r>
    </w:p>
    <w:p w:rsidR="00AC2F95" w:rsidRDefault="00AC2F95" w:rsidP="00AC2F95">
      <w:pPr>
        <w:spacing w:after="0" w:line="240" w:lineRule="auto"/>
        <w:jc w:val="center"/>
        <w:rPr>
          <w:b/>
          <w:bCs/>
          <w:sz w:val="22"/>
          <w:szCs w:val="20"/>
          <w:lang w:val="lt-LT"/>
        </w:rPr>
      </w:pPr>
      <w:r>
        <w:rPr>
          <w:b/>
          <w:bCs/>
          <w:sz w:val="22"/>
          <w:szCs w:val="20"/>
          <w:lang w:val="lt-LT"/>
        </w:rPr>
        <w:t>Į</w:t>
      </w:r>
      <w:r w:rsidRPr="00ED3D25">
        <w:rPr>
          <w:b/>
          <w:bCs/>
          <w:sz w:val="22"/>
          <w:szCs w:val="20"/>
          <w:lang w:val="lt-LT"/>
        </w:rPr>
        <w:t>monė</w:t>
      </w:r>
      <w:r>
        <w:rPr>
          <w:b/>
          <w:bCs/>
          <w:sz w:val="22"/>
          <w:szCs w:val="20"/>
          <w:lang w:val="lt-LT"/>
        </w:rPr>
        <w:t>s</w:t>
      </w:r>
      <w:r w:rsidRPr="00ED3D25">
        <w:rPr>
          <w:b/>
          <w:bCs/>
          <w:sz w:val="22"/>
          <w:szCs w:val="20"/>
          <w:lang w:val="lt-LT"/>
        </w:rPr>
        <w:t xml:space="preserve"> D</w:t>
      </w:r>
      <w:r>
        <w:rPr>
          <w:b/>
          <w:bCs/>
          <w:sz w:val="22"/>
          <w:szCs w:val="20"/>
          <w:lang w:val="lt-LT"/>
        </w:rPr>
        <w:t xml:space="preserve"> </w:t>
      </w:r>
      <w:r w:rsidR="00633652">
        <w:rPr>
          <w:b/>
          <w:bCs/>
          <w:sz w:val="22"/>
          <w:szCs w:val="20"/>
          <w:lang w:val="lt-LT"/>
        </w:rPr>
        <w:t>pelningumo rodiklių palyginimas su</w:t>
      </w:r>
      <w:r>
        <w:rPr>
          <w:b/>
          <w:bCs/>
          <w:sz w:val="22"/>
          <w:szCs w:val="20"/>
          <w:lang w:val="lt-LT"/>
        </w:rPr>
        <w:t xml:space="preserve"> niekur kitur neišskirtų statybos darbų sektoriaus pelningumo</w:t>
      </w:r>
      <w:r w:rsidR="00633652">
        <w:rPr>
          <w:b/>
          <w:bCs/>
          <w:sz w:val="22"/>
          <w:szCs w:val="20"/>
          <w:lang w:val="lt-LT"/>
        </w:rPr>
        <w:t xml:space="preserve"> rodikliais</w:t>
      </w:r>
    </w:p>
    <w:p w:rsidR="00431FE8" w:rsidRPr="00ED3D25" w:rsidRDefault="00431FE8" w:rsidP="00431FE8">
      <w:pPr>
        <w:spacing w:after="0" w:line="240" w:lineRule="auto"/>
        <w:rPr>
          <w:lang w:val="lt-LT"/>
        </w:rPr>
      </w:pPr>
    </w:p>
    <w:tbl>
      <w:tblPr>
        <w:tblStyle w:val="TableGrid"/>
        <w:tblW w:w="5000" w:type="pct"/>
        <w:tblLook w:val="04A0" w:firstRow="1" w:lastRow="0" w:firstColumn="1" w:lastColumn="0" w:noHBand="0" w:noVBand="1"/>
      </w:tblPr>
      <w:tblGrid>
        <w:gridCol w:w="780"/>
        <w:gridCol w:w="836"/>
        <w:gridCol w:w="1069"/>
        <w:gridCol w:w="1133"/>
        <w:gridCol w:w="837"/>
        <w:gridCol w:w="1070"/>
        <w:gridCol w:w="1133"/>
        <w:gridCol w:w="794"/>
        <w:gridCol w:w="1070"/>
        <w:gridCol w:w="1133"/>
      </w:tblGrid>
      <w:tr w:rsidR="002261A4" w:rsidRPr="00D05C72" w:rsidTr="006A7328">
        <w:tc>
          <w:tcPr>
            <w:tcW w:w="464" w:type="pct"/>
            <w:vMerge w:val="restart"/>
            <w:tcBorders>
              <w:right w:val="single" w:sz="18" w:space="0" w:color="auto"/>
              <w:tl2br w:val="single" w:sz="4" w:space="0" w:color="auto"/>
            </w:tcBorders>
            <w:vAlign w:val="center"/>
          </w:tcPr>
          <w:p w:rsidR="00D05C72" w:rsidRPr="006A7328" w:rsidRDefault="002261A4" w:rsidP="006A7328">
            <w:pPr>
              <w:spacing w:line="240" w:lineRule="auto"/>
              <w:jc w:val="right"/>
              <w:rPr>
                <w:b/>
                <w:bCs/>
                <w:lang w:val="lt-LT"/>
              </w:rPr>
            </w:pPr>
            <w:r w:rsidRPr="006A7328">
              <w:rPr>
                <w:b/>
                <w:bCs/>
                <w:lang w:val="lt-LT"/>
              </w:rPr>
              <w:t>Rod.</w:t>
            </w:r>
          </w:p>
          <w:p w:rsidR="002261A4" w:rsidRPr="006A7328" w:rsidRDefault="002261A4" w:rsidP="006A7328">
            <w:pPr>
              <w:spacing w:line="240" w:lineRule="auto"/>
              <w:jc w:val="left"/>
              <w:rPr>
                <w:b/>
                <w:bCs/>
                <w:lang w:val="lt-LT"/>
              </w:rPr>
            </w:pPr>
            <w:r w:rsidRPr="006A7328">
              <w:rPr>
                <w:b/>
                <w:bCs/>
                <w:lang w:val="lt-LT"/>
              </w:rPr>
              <w:t>Metai</w:t>
            </w:r>
          </w:p>
        </w:tc>
        <w:tc>
          <w:tcPr>
            <w:tcW w:w="1512" w:type="pct"/>
            <w:gridSpan w:val="3"/>
            <w:tcBorders>
              <w:left w:val="single" w:sz="18" w:space="0" w:color="auto"/>
              <w:bottom w:val="single" w:sz="4" w:space="0" w:color="auto"/>
              <w:right w:val="single" w:sz="18" w:space="0" w:color="auto"/>
            </w:tcBorders>
            <w:vAlign w:val="center"/>
          </w:tcPr>
          <w:p w:rsidR="002261A4" w:rsidRPr="006A7328" w:rsidRDefault="002261A4" w:rsidP="006A7328">
            <w:pPr>
              <w:spacing w:line="240" w:lineRule="auto"/>
              <w:jc w:val="center"/>
              <w:rPr>
                <w:b/>
                <w:bCs/>
                <w:lang w:val="lt-LT"/>
              </w:rPr>
            </w:pPr>
            <w:r w:rsidRPr="006A7328">
              <w:rPr>
                <w:b/>
                <w:bCs/>
                <w:lang w:val="lt-LT"/>
              </w:rPr>
              <w:t>ROA</w:t>
            </w:r>
          </w:p>
        </w:tc>
        <w:tc>
          <w:tcPr>
            <w:tcW w:w="1512" w:type="pct"/>
            <w:gridSpan w:val="3"/>
            <w:tcBorders>
              <w:left w:val="single" w:sz="18" w:space="0" w:color="auto"/>
              <w:bottom w:val="single" w:sz="4" w:space="0" w:color="auto"/>
              <w:right w:val="single" w:sz="18" w:space="0" w:color="auto"/>
            </w:tcBorders>
            <w:vAlign w:val="center"/>
          </w:tcPr>
          <w:p w:rsidR="002261A4" w:rsidRPr="006A7328" w:rsidRDefault="002261A4" w:rsidP="006A7328">
            <w:pPr>
              <w:spacing w:line="240" w:lineRule="auto"/>
              <w:jc w:val="center"/>
              <w:rPr>
                <w:b/>
                <w:bCs/>
                <w:lang w:val="lt-LT"/>
              </w:rPr>
            </w:pPr>
            <w:r w:rsidRPr="006A7328">
              <w:rPr>
                <w:b/>
                <w:bCs/>
                <w:lang w:val="lt-LT"/>
              </w:rPr>
              <w:t>ROE</w:t>
            </w:r>
          </w:p>
        </w:tc>
        <w:tc>
          <w:tcPr>
            <w:tcW w:w="1512" w:type="pct"/>
            <w:gridSpan w:val="3"/>
            <w:tcBorders>
              <w:left w:val="single" w:sz="18" w:space="0" w:color="auto"/>
              <w:bottom w:val="single" w:sz="4" w:space="0" w:color="auto"/>
              <w:right w:val="single" w:sz="18" w:space="0" w:color="auto"/>
            </w:tcBorders>
            <w:vAlign w:val="center"/>
          </w:tcPr>
          <w:p w:rsidR="002261A4" w:rsidRPr="006A7328" w:rsidRDefault="00AC2F95" w:rsidP="006A7328">
            <w:pPr>
              <w:spacing w:line="240" w:lineRule="auto"/>
              <w:jc w:val="center"/>
              <w:rPr>
                <w:b/>
                <w:bCs/>
                <w:lang w:val="lt-LT"/>
              </w:rPr>
            </w:pPr>
            <w:r>
              <w:rPr>
                <w:b/>
                <w:bCs/>
                <w:lang w:val="lt-LT"/>
              </w:rPr>
              <w:t>Grynasis pelningumas</w:t>
            </w:r>
          </w:p>
        </w:tc>
      </w:tr>
      <w:tr w:rsidR="002261A4" w:rsidRPr="00D05C72" w:rsidTr="006A7328">
        <w:tc>
          <w:tcPr>
            <w:tcW w:w="464" w:type="pct"/>
            <w:vMerge/>
            <w:tcBorders>
              <w:right w:val="single" w:sz="18" w:space="0" w:color="auto"/>
              <w:tl2br w:val="nil"/>
            </w:tcBorders>
            <w:vAlign w:val="bottom"/>
          </w:tcPr>
          <w:p w:rsidR="002261A4" w:rsidRPr="006A7328" w:rsidRDefault="002261A4" w:rsidP="006A7328">
            <w:pPr>
              <w:spacing w:line="240" w:lineRule="auto"/>
              <w:jc w:val="left"/>
              <w:rPr>
                <w:b/>
                <w:bCs/>
                <w:lang w:val="lt-LT"/>
              </w:rPr>
            </w:pPr>
          </w:p>
        </w:tc>
        <w:tc>
          <w:tcPr>
            <w:tcW w:w="417" w:type="pct"/>
            <w:tcBorders>
              <w:left w:val="single" w:sz="18" w:space="0" w:color="auto"/>
              <w:bottom w:val="single" w:sz="18" w:space="0" w:color="auto"/>
            </w:tcBorders>
            <w:vAlign w:val="center"/>
          </w:tcPr>
          <w:p w:rsidR="002261A4" w:rsidRPr="006A7328" w:rsidRDefault="002261A4" w:rsidP="006A7328">
            <w:pPr>
              <w:spacing w:line="240" w:lineRule="auto"/>
              <w:jc w:val="center"/>
              <w:rPr>
                <w:lang w:val="lt-LT"/>
              </w:rPr>
            </w:pPr>
            <w:r w:rsidRPr="006A7328">
              <w:rPr>
                <w:lang w:val="lt-LT"/>
              </w:rPr>
              <w:t>Įmonė</w:t>
            </w:r>
          </w:p>
        </w:tc>
        <w:tc>
          <w:tcPr>
            <w:tcW w:w="532" w:type="pct"/>
            <w:tcBorders>
              <w:bottom w:val="single" w:sz="18" w:space="0" w:color="auto"/>
            </w:tcBorders>
            <w:vAlign w:val="center"/>
          </w:tcPr>
          <w:p w:rsidR="002261A4" w:rsidRPr="006A7328" w:rsidRDefault="002261A4" w:rsidP="006A7328">
            <w:pPr>
              <w:spacing w:line="240" w:lineRule="auto"/>
              <w:jc w:val="center"/>
              <w:rPr>
                <w:lang w:val="lt-LT"/>
              </w:rPr>
            </w:pPr>
            <w:r w:rsidRPr="006A7328">
              <w:rPr>
                <w:lang w:val="lt-LT"/>
              </w:rPr>
              <w:t>Sektorius</w:t>
            </w:r>
          </w:p>
        </w:tc>
        <w:tc>
          <w:tcPr>
            <w:tcW w:w="563" w:type="pct"/>
            <w:tcBorders>
              <w:bottom w:val="single" w:sz="18" w:space="0" w:color="auto"/>
              <w:right w:val="single" w:sz="18" w:space="0" w:color="auto"/>
            </w:tcBorders>
            <w:vAlign w:val="center"/>
          </w:tcPr>
          <w:p w:rsidR="002261A4" w:rsidRPr="006A7328" w:rsidRDefault="002261A4" w:rsidP="006A7328">
            <w:pPr>
              <w:spacing w:line="240" w:lineRule="auto"/>
              <w:jc w:val="center"/>
              <w:rPr>
                <w:lang w:val="lt-LT"/>
              </w:rPr>
            </w:pPr>
            <w:r w:rsidRPr="006A7328">
              <w:rPr>
                <w:lang w:val="lt-LT"/>
              </w:rPr>
              <w:t>Skirtumas</w:t>
            </w:r>
          </w:p>
        </w:tc>
        <w:tc>
          <w:tcPr>
            <w:tcW w:w="417" w:type="pct"/>
            <w:tcBorders>
              <w:left w:val="single" w:sz="18" w:space="0" w:color="auto"/>
              <w:bottom w:val="single" w:sz="18" w:space="0" w:color="auto"/>
            </w:tcBorders>
            <w:vAlign w:val="center"/>
          </w:tcPr>
          <w:p w:rsidR="002261A4" w:rsidRPr="006A7328" w:rsidRDefault="002261A4" w:rsidP="006A7328">
            <w:pPr>
              <w:spacing w:line="240" w:lineRule="auto"/>
              <w:jc w:val="center"/>
              <w:rPr>
                <w:lang w:val="lt-LT"/>
              </w:rPr>
            </w:pPr>
            <w:r w:rsidRPr="006A7328">
              <w:rPr>
                <w:lang w:val="lt-LT"/>
              </w:rPr>
              <w:t>Įmonė</w:t>
            </w:r>
          </w:p>
        </w:tc>
        <w:tc>
          <w:tcPr>
            <w:tcW w:w="532" w:type="pct"/>
            <w:tcBorders>
              <w:bottom w:val="single" w:sz="18" w:space="0" w:color="auto"/>
            </w:tcBorders>
            <w:vAlign w:val="center"/>
          </w:tcPr>
          <w:p w:rsidR="002261A4" w:rsidRPr="006A7328" w:rsidRDefault="002261A4" w:rsidP="006A7328">
            <w:pPr>
              <w:spacing w:line="240" w:lineRule="auto"/>
              <w:jc w:val="center"/>
              <w:rPr>
                <w:lang w:val="lt-LT"/>
              </w:rPr>
            </w:pPr>
            <w:r w:rsidRPr="006A7328">
              <w:rPr>
                <w:lang w:val="lt-LT"/>
              </w:rPr>
              <w:t>Sektorius</w:t>
            </w:r>
          </w:p>
        </w:tc>
        <w:tc>
          <w:tcPr>
            <w:tcW w:w="563" w:type="pct"/>
            <w:tcBorders>
              <w:bottom w:val="single" w:sz="18" w:space="0" w:color="auto"/>
              <w:right w:val="single" w:sz="18" w:space="0" w:color="auto"/>
            </w:tcBorders>
            <w:vAlign w:val="center"/>
          </w:tcPr>
          <w:p w:rsidR="002261A4" w:rsidRPr="006A7328" w:rsidRDefault="002261A4" w:rsidP="006A7328">
            <w:pPr>
              <w:spacing w:line="240" w:lineRule="auto"/>
              <w:jc w:val="center"/>
              <w:rPr>
                <w:lang w:val="lt-LT"/>
              </w:rPr>
            </w:pPr>
            <w:r w:rsidRPr="006A7328">
              <w:rPr>
                <w:lang w:val="lt-LT"/>
              </w:rPr>
              <w:t>Skirtumas</w:t>
            </w:r>
          </w:p>
        </w:tc>
        <w:tc>
          <w:tcPr>
            <w:tcW w:w="417" w:type="pct"/>
            <w:tcBorders>
              <w:left w:val="single" w:sz="18" w:space="0" w:color="auto"/>
              <w:bottom w:val="single" w:sz="18" w:space="0" w:color="auto"/>
            </w:tcBorders>
            <w:vAlign w:val="center"/>
          </w:tcPr>
          <w:p w:rsidR="002261A4" w:rsidRPr="006A7328" w:rsidRDefault="002261A4" w:rsidP="006A7328">
            <w:pPr>
              <w:spacing w:line="240" w:lineRule="auto"/>
              <w:jc w:val="center"/>
              <w:rPr>
                <w:lang w:val="lt-LT"/>
              </w:rPr>
            </w:pPr>
            <w:r w:rsidRPr="006A7328">
              <w:rPr>
                <w:lang w:val="lt-LT"/>
              </w:rPr>
              <w:t>Įmonė</w:t>
            </w:r>
          </w:p>
        </w:tc>
        <w:tc>
          <w:tcPr>
            <w:tcW w:w="532" w:type="pct"/>
            <w:tcBorders>
              <w:bottom w:val="single" w:sz="18" w:space="0" w:color="auto"/>
            </w:tcBorders>
            <w:vAlign w:val="center"/>
          </w:tcPr>
          <w:p w:rsidR="002261A4" w:rsidRPr="006A7328" w:rsidRDefault="002261A4" w:rsidP="006A7328">
            <w:pPr>
              <w:spacing w:line="240" w:lineRule="auto"/>
              <w:jc w:val="center"/>
              <w:rPr>
                <w:lang w:val="lt-LT"/>
              </w:rPr>
            </w:pPr>
            <w:r w:rsidRPr="006A7328">
              <w:rPr>
                <w:lang w:val="lt-LT"/>
              </w:rPr>
              <w:t>Sektorius</w:t>
            </w:r>
          </w:p>
        </w:tc>
        <w:tc>
          <w:tcPr>
            <w:tcW w:w="563" w:type="pct"/>
            <w:tcBorders>
              <w:bottom w:val="single" w:sz="18" w:space="0" w:color="auto"/>
              <w:right w:val="single" w:sz="18" w:space="0" w:color="auto"/>
            </w:tcBorders>
            <w:vAlign w:val="center"/>
          </w:tcPr>
          <w:p w:rsidR="002261A4" w:rsidRPr="006A7328" w:rsidRDefault="002261A4" w:rsidP="006A7328">
            <w:pPr>
              <w:spacing w:line="240" w:lineRule="auto"/>
              <w:jc w:val="center"/>
              <w:rPr>
                <w:lang w:val="lt-LT"/>
              </w:rPr>
            </w:pPr>
            <w:r w:rsidRPr="006A7328">
              <w:rPr>
                <w:lang w:val="lt-LT"/>
              </w:rPr>
              <w:t>Skirtumas</w:t>
            </w:r>
          </w:p>
        </w:tc>
      </w:tr>
      <w:tr w:rsidR="00AC2F95" w:rsidRPr="00D05C72" w:rsidTr="006A7328">
        <w:tc>
          <w:tcPr>
            <w:tcW w:w="464" w:type="pct"/>
            <w:tcBorders>
              <w:right w:val="single" w:sz="18" w:space="0" w:color="auto"/>
            </w:tcBorders>
            <w:vAlign w:val="center"/>
          </w:tcPr>
          <w:p w:rsidR="00AC2F95" w:rsidRPr="006A7328" w:rsidRDefault="00AC2F95" w:rsidP="006A7328">
            <w:pPr>
              <w:spacing w:line="240" w:lineRule="auto"/>
              <w:jc w:val="left"/>
              <w:rPr>
                <w:b/>
                <w:bCs/>
                <w:lang w:val="lt-LT"/>
              </w:rPr>
            </w:pPr>
            <w:r w:rsidRPr="006A7328">
              <w:rPr>
                <w:b/>
                <w:bCs/>
                <w:lang w:val="lt-LT"/>
              </w:rPr>
              <w:t>2011</w:t>
            </w:r>
          </w:p>
        </w:tc>
        <w:tc>
          <w:tcPr>
            <w:tcW w:w="417" w:type="pct"/>
            <w:tcBorders>
              <w:left w:val="single" w:sz="18" w:space="0" w:color="auto"/>
            </w:tcBorders>
            <w:vAlign w:val="center"/>
          </w:tcPr>
          <w:p w:rsidR="00AC2F95" w:rsidRPr="006A7328" w:rsidRDefault="00AC2F95" w:rsidP="00153298">
            <w:pPr>
              <w:spacing w:line="240" w:lineRule="auto"/>
              <w:jc w:val="center"/>
              <w:rPr>
                <w:lang w:val="lt-LT"/>
              </w:rPr>
            </w:pPr>
            <w:r w:rsidRPr="006A7328">
              <w:rPr>
                <w:lang w:val="lt-LT"/>
              </w:rPr>
              <w:t>1,1998</w:t>
            </w:r>
          </w:p>
        </w:tc>
        <w:tc>
          <w:tcPr>
            <w:tcW w:w="532" w:type="pct"/>
            <w:vAlign w:val="center"/>
          </w:tcPr>
          <w:p w:rsidR="00AC2F95" w:rsidRPr="006A7328" w:rsidRDefault="00AC2F95" w:rsidP="00153298">
            <w:pPr>
              <w:spacing w:line="240" w:lineRule="auto"/>
              <w:jc w:val="center"/>
              <w:rPr>
                <w:color w:val="000000"/>
              </w:rPr>
            </w:pPr>
            <w:r w:rsidRPr="006A7328">
              <w:rPr>
                <w:color w:val="000000"/>
              </w:rPr>
              <w:t>-0,</w:t>
            </w:r>
            <w:r>
              <w:rPr>
                <w:color w:val="000000"/>
              </w:rPr>
              <w:t>00</w:t>
            </w:r>
            <w:r w:rsidRPr="006A7328">
              <w:rPr>
                <w:color w:val="000000"/>
              </w:rPr>
              <w:t>5</w:t>
            </w:r>
          </w:p>
        </w:tc>
        <w:tc>
          <w:tcPr>
            <w:tcW w:w="563" w:type="pct"/>
            <w:tcBorders>
              <w:right w:val="single" w:sz="18" w:space="0" w:color="auto"/>
            </w:tcBorders>
            <w:vAlign w:val="center"/>
          </w:tcPr>
          <w:p w:rsidR="00AC2F95" w:rsidRPr="006A7328" w:rsidRDefault="00AC2F95" w:rsidP="00153298">
            <w:pPr>
              <w:spacing w:line="240" w:lineRule="auto"/>
              <w:jc w:val="center"/>
            </w:pPr>
            <w:r>
              <w:rPr>
                <w:lang w:val="lt-LT"/>
              </w:rPr>
              <w:t>1,194</w:t>
            </w:r>
            <w:r w:rsidRPr="006A7328">
              <w:rPr>
                <w:lang w:val="lt-LT"/>
              </w:rPr>
              <w:t>8</w:t>
            </w:r>
          </w:p>
        </w:tc>
        <w:tc>
          <w:tcPr>
            <w:tcW w:w="417" w:type="pct"/>
            <w:tcBorders>
              <w:left w:val="single" w:sz="18" w:space="0" w:color="auto"/>
            </w:tcBorders>
            <w:vAlign w:val="center"/>
          </w:tcPr>
          <w:p w:rsidR="00AC2F95" w:rsidRPr="006A7328" w:rsidRDefault="00AC2F95" w:rsidP="00153298">
            <w:pPr>
              <w:spacing w:line="240" w:lineRule="auto"/>
              <w:jc w:val="center"/>
              <w:rPr>
                <w:lang w:val="lt-LT"/>
              </w:rPr>
            </w:pPr>
            <w:r w:rsidRPr="006A7328">
              <w:rPr>
                <w:lang w:val="lt-LT"/>
              </w:rPr>
              <w:t>1,5528</w:t>
            </w:r>
          </w:p>
        </w:tc>
        <w:tc>
          <w:tcPr>
            <w:tcW w:w="532" w:type="pct"/>
            <w:vAlign w:val="center"/>
          </w:tcPr>
          <w:p w:rsidR="00AC2F95" w:rsidRPr="006A7328" w:rsidRDefault="00AC2F95" w:rsidP="00153298">
            <w:pPr>
              <w:spacing w:line="240" w:lineRule="auto"/>
              <w:jc w:val="center"/>
              <w:rPr>
                <w:color w:val="000000"/>
              </w:rPr>
            </w:pPr>
            <w:r w:rsidRPr="006A7328">
              <w:rPr>
                <w:color w:val="000000"/>
              </w:rPr>
              <w:t>-</w:t>
            </w:r>
            <w:r>
              <w:rPr>
                <w:color w:val="000000"/>
              </w:rPr>
              <w:t>0,01</w:t>
            </w:r>
            <w:r w:rsidRPr="006A7328">
              <w:rPr>
                <w:color w:val="000000"/>
              </w:rPr>
              <w:t>24</w:t>
            </w:r>
          </w:p>
        </w:tc>
        <w:tc>
          <w:tcPr>
            <w:tcW w:w="563" w:type="pct"/>
            <w:tcBorders>
              <w:right w:val="single" w:sz="18" w:space="0" w:color="auto"/>
            </w:tcBorders>
            <w:vAlign w:val="center"/>
          </w:tcPr>
          <w:p w:rsidR="00AC2F95" w:rsidRPr="006A7328" w:rsidRDefault="00AC2F95" w:rsidP="00153298">
            <w:pPr>
              <w:spacing w:line="240" w:lineRule="auto"/>
              <w:jc w:val="center"/>
            </w:pPr>
            <w:r>
              <w:rPr>
                <w:lang w:val="lt-LT"/>
              </w:rPr>
              <w:t>1,5652</w:t>
            </w:r>
          </w:p>
        </w:tc>
        <w:tc>
          <w:tcPr>
            <w:tcW w:w="417" w:type="pct"/>
            <w:tcBorders>
              <w:left w:val="single" w:sz="18" w:space="0" w:color="auto"/>
            </w:tcBorders>
            <w:vAlign w:val="center"/>
          </w:tcPr>
          <w:p w:rsidR="00AC2F95" w:rsidRPr="006A7328" w:rsidRDefault="00AC2F95" w:rsidP="007E6E7D">
            <w:pPr>
              <w:spacing w:line="240" w:lineRule="auto"/>
              <w:jc w:val="center"/>
              <w:rPr>
                <w:lang w:val="lt-LT"/>
              </w:rPr>
            </w:pPr>
            <w:r w:rsidRPr="006A7328">
              <w:rPr>
                <w:lang w:val="lt-LT"/>
              </w:rPr>
              <w:t>0,477</w:t>
            </w:r>
          </w:p>
        </w:tc>
        <w:tc>
          <w:tcPr>
            <w:tcW w:w="532" w:type="pct"/>
            <w:vAlign w:val="center"/>
          </w:tcPr>
          <w:p w:rsidR="00AC2F95" w:rsidRPr="006A7328" w:rsidRDefault="00AC2F95" w:rsidP="007E6E7D">
            <w:pPr>
              <w:spacing w:line="240" w:lineRule="auto"/>
              <w:jc w:val="center"/>
              <w:rPr>
                <w:rFonts w:ascii="SegoeUI" w:hAnsi="SegoeUI" w:cs="Arial"/>
                <w:color w:val="000000"/>
                <w:sz w:val="20"/>
                <w:szCs w:val="20"/>
              </w:rPr>
            </w:pPr>
            <w:r w:rsidRPr="006A7328">
              <w:rPr>
                <w:rFonts w:ascii="SegoeUI" w:hAnsi="SegoeUI" w:cs="Arial"/>
                <w:color w:val="000000"/>
                <w:sz w:val="20"/>
                <w:szCs w:val="20"/>
              </w:rPr>
              <w:t>-0,</w:t>
            </w:r>
            <w:r>
              <w:rPr>
                <w:rFonts w:ascii="SegoeUI" w:hAnsi="SegoeUI" w:cs="Arial"/>
                <w:color w:val="000000"/>
                <w:sz w:val="20"/>
                <w:szCs w:val="20"/>
              </w:rPr>
              <w:t>00</w:t>
            </w:r>
            <w:r w:rsidRPr="006A7328">
              <w:rPr>
                <w:rFonts w:ascii="SegoeUI" w:hAnsi="SegoeUI" w:cs="Arial"/>
                <w:color w:val="000000"/>
                <w:sz w:val="20"/>
                <w:szCs w:val="20"/>
              </w:rPr>
              <w:t>44</w:t>
            </w:r>
          </w:p>
        </w:tc>
        <w:tc>
          <w:tcPr>
            <w:tcW w:w="563" w:type="pct"/>
            <w:tcBorders>
              <w:right w:val="single" w:sz="18" w:space="0" w:color="auto"/>
            </w:tcBorders>
            <w:vAlign w:val="center"/>
          </w:tcPr>
          <w:p w:rsidR="00AC2F95" w:rsidRPr="006A7328" w:rsidRDefault="00AC2F95" w:rsidP="007E6E7D">
            <w:pPr>
              <w:spacing w:line="240" w:lineRule="auto"/>
              <w:jc w:val="center"/>
            </w:pPr>
            <w:r>
              <w:rPr>
                <w:lang w:val="lt-LT"/>
              </w:rPr>
              <w:t>0,4</w:t>
            </w:r>
            <w:r w:rsidRPr="006A7328">
              <w:rPr>
                <w:lang w:val="lt-LT"/>
              </w:rPr>
              <w:t>7</w:t>
            </w:r>
            <w:r>
              <w:rPr>
                <w:lang w:val="lt-LT"/>
              </w:rPr>
              <w:t>26</w:t>
            </w:r>
          </w:p>
        </w:tc>
      </w:tr>
      <w:tr w:rsidR="00AC2F95" w:rsidRPr="00D05C72" w:rsidTr="006A7328">
        <w:tc>
          <w:tcPr>
            <w:tcW w:w="464" w:type="pct"/>
            <w:tcBorders>
              <w:right w:val="single" w:sz="18" w:space="0" w:color="auto"/>
            </w:tcBorders>
            <w:vAlign w:val="center"/>
          </w:tcPr>
          <w:p w:rsidR="00AC2F95" w:rsidRPr="006A7328" w:rsidRDefault="00AC2F95" w:rsidP="006A7328">
            <w:pPr>
              <w:spacing w:line="240" w:lineRule="auto"/>
              <w:jc w:val="left"/>
              <w:rPr>
                <w:b/>
                <w:bCs/>
                <w:lang w:val="lt-LT"/>
              </w:rPr>
            </w:pPr>
            <w:r w:rsidRPr="006A7328">
              <w:rPr>
                <w:b/>
                <w:bCs/>
                <w:lang w:val="lt-LT"/>
              </w:rPr>
              <w:t>2012</w:t>
            </w:r>
          </w:p>
        </w:tc>
        <w:tc>
          <w:tcPr>
            <w:tcW w:w="417" w:type="pct"/>
            <w:tcBorders>
              <w:left w:val="single" w:sz="18" w:space="0" w:color="auto"/>
            </w:tcBorders>
            <w:vAlign w:val="center"/>
          </w:tcPr>
          <w:p w:rsidR="00AC2F95" w:rsidRPr="006A7328" w:rsidRDefault="00AC2F95" w:rsidP="00153298">
            <w:pPr>
              <w:spacing w:line="240" w:lineRule="auto"/>
              <w:jc w:val="center"/>
              <w:rPr>
                <w:lang w:val="lt-LT"/>
              </w:rPr>
            </w:pPr>
            <w:r w:rsidRPr="006A7328">
              <w:rPr>
                <w:lang w:val="lt-LT"/>
              </w:rPr>
              <w:t>0,1857</w:t>
            </w:r>
          </w:p>
        </w:tc>
        <w:tc>
          <w:tcPr>
            <w:tcW w:w="532" w:type="pct"/>
            <w:vAlign w:val="center"/>
          </w:tcPr>
          <w:p w:rsidR="00AC2F95" w:rsidRPr="006A7328" w:rsidRDefault="00AC2F95" w:rsidP="00153298">
            <w:pPr>
              <w:spacing w:line="240" w:lineRule="auto"/>
              <w:jc w:val="center"/>
              <w:rPr>
                <w:color w:val="000000"/>
              </w:rPr>
            </w:pPr>
            <w:r>
              <w:rPr>
                <w:color w:val="000000"/>
              </w:rPr>
              <w:t>0,09</w:t>
            </w:r>
            <w:r w:rsidRPr="006A7328">
              <w:rPr>
                <w:color w:val="000000"/>
              </w:rPr>
              <w:t>15</w:t>
            </w:r>
          </w:p>
        </w:tc>
        <w:tc>
          <w:tcPr>
            <w:tcW w:w="563" w:type="pct"/>
            <w:tcBorders>
              <w:right w:val="single" w:sz="18" w:space="0" w:color="auto"/>
            </w:tcBorders>
            <w:vAlign w:val="center"/>
          </w:tcPr>
          <w:p w:rsidR="00AC2F95" w:rsidRPr="006A7328" w:rsidRDefault="00AC2F95" w:rsidP="00153298">
            <w:pPr>
              <w:spacing w:line="240" w:lineRule="auto"/>
              <w:jc w:val="center"/>
            </w:pPr>
            <w:r>
              <w:rPr>
                <w:lang w:val="lt-LT"/>
              </w:rPr>
              <w:t>0</w:t>
            </w:r>
            <w:r w:rsidRPr="006A7328">
              <w:rPr>
                <w:lang w:val="lt-LT"/>
              </w:rPr>
              <w:t>,</w:t>
            </w:r>
            <w:r>
              <w:rPr>
                <w:lang w:val="lt-LT"/>
              </w:rPr>
              <w:t>09</w:t>
            </w:r>
            <w:r w:rsidRPr="006A7328">
              <w:rPr>
                <w:lang w:val="lt-LT"/>
              </w:rPr>
              <w:t>4</w:t>
            </w:r>
            <w:r>
              <w:rPr>
                <w:lang w:val="lt-LT"/>
              </w:rPr>
              <w:t>2</w:t>
            </w:r>
          </w:p>
        </w:tc>
        <w:tc>
          <w:tcPr>
            <w:tcW w:w="417" w:type="pct"/>
            <w:tcBorders>
              <w:left w:val="single" w:sz="18" w:space="0" w:color="auto"/>
            </w:tcBorders>
            <w:vAlign w:val="center"/>
          </w:tcPr>
          <w:p w:rsidR="00AC2F95" w:rsidRPr="006A7328" w:rsidRDefault="00AC2F95" w:rsidP="00153298">
            <w:pPr>
              <w:spacing w:line="240" w:lineRule="auto"/>
              <w:jc w:val="center"/>
              <w:rPr>
                <w:lang w:val="lt-LT"/>
              </w:rPr>
            </w:pPr>
            <w:r w:rsidRPr="006A7328">
              <w:rPr>
                <w:lang w:val="lt-LT"/>
              </w:rPr>
              <w:t>0,3098</w:t>
            </w:r>
          </w:p>
        </w:tc>
        <w:tc>
          <w:tcPr>
            <w:tcW w:w="532" w:type="pct"/>
            <w:vAlign w:val="center"/>
          </w:tcPr>
          <w:p w:rsidR="00AC2F95" w:rsidRPr="006A7328" w:rsidRDefault="00AC2F95" w:rsidP="00153298">
            <w:pPr>
              <w:spacing w:line="240" w:lineRule="auto"/>
              <w:jc w:val="center"/>
              <w:rPr>
                <w:color w:val="000000"/>
              </w:rPr>
            </w:pPr>
            <w:r>
              <w:rPr>
                <w:color w:val="000000"/>
              </w:rPr>
              <w:t>0,18</w:t>
            </w:r>
            <w:r w:rsidRPr="006A7328">
              <w:rPr>
                <w:color w:val="000000"/>
              </w:rPr>
              <w:t>76</w:t>
            </w:r>
          </w:p>
        </w:tc>
        <w:tc>
          <w:tcPr>
            <w:tcW w:w="563" w:type="pct"/>
            <w:tcBorders>
              <w:right w:val="single" w:sz="18" w:space="0" w:color="auto"/>
            </w:tcBorders>
            <w:vAlign w:val="center"/>
          </w:tcPr>
          <w:p w:rsidR="00AC2F95" w:rsidRPr="006A7328" w:rsidRDefault="00AC2F95" w:rsidP="00153298">
            <w:pPr>
              <w:spacing w:line="240" w:lineRule="auto"/>
              <w:jc w:val="center"/>
            </w:pPr>
            <w:r>
              <w:rPr>
                <w:lang w:val="lt-LT"/>
              </w:rPr>
              <w:t>0,1222</w:t>
            </w:r>
          </w:p>
        </w:tc>
        <w:tc>
          <w:tcPr>
            <w:tcW w:w="417" w:type="pct"/>
            <w:tcBorders>
              <w:left w:val="single" w:sz="18" w:space="0" w:color="auto"/>
            </w:tcBorders>
            <w:vAlign w:val="center"/>
          </w:tcPr>
          <w:p w:rsidR="00AC2F95" w:rsidRPr="006A7328" w:rsidRDefault="00AC2F95" w:rsidP="007E6E7D">
            <w:pPr>
              <w:spacing w:line="240" w:lineRule="auto"/>
              <w:jc w:val="center"/>
              <w:rPr>
                <w:lang w:val="lt-LT"/>
              </w:rPr>
            </w:pPr>
            <w:r w:rsidRPr="006A7328">
              <w:rPr>
                <w:lang w:val="lt-LT"/>
              </w:rPr>
              <w:t>0,153</w:t>
            </w:r>
          </w:p>
        </w:tc>
        <w:tc>
          <w:tcPr>
            <w:tcW w:w="532" w:type="pct"/>
            <w:vAlign w:val="center"/>
          </w:tcPr>
          <w:p w:rsidR="00AC2F95" w:rsidRPr="006A7328" w:rsidRDefault="00AC2F95" w:rsidP="007E6E7D">
            <w:pPr>
              <w:spacing w:line="240" w:lineRule="auto"/>
              <w:jc w:val="center"/>
              <w:rPr>
                <w:rFonts w:ascii="SegoeUI" w:hAnsi="SegoeUI" w:cs="Arial"/>
                <w:color w:val="000000"/>
                <w:sz w:val="20"/>
                <w:szCs w:val="20"/>
              </w:rPr>
            </w:pPr>
            <w:r>
              <w:rPr>
                <w:rFonts w:ascii="SegoeUI" w:hAnsi="SegoeUI" w:cs="Arial"/>
                <w:color w:val="000000"/>
                <w:sz w:val="20"/>
                <w:szCs w:val="20"/>
              </w:rPr>
              <w:t>0,08</w:t>
            </w:r>
            <w:r w:rsidRPr="006A7328">
              <w:rPr>
                <w:rFonts w:ascii="SegoeUI" w:hAnsi="SegoeUI" w:cs="Arial"/>
                <w:color w:val="000000"/>
                <w:sz w:val="20"/>
                <w:szCs w:val="20"/>
              </w:rPr>
              <w:t>68</w:t>
            </w:r>
          </w:p>
        </w:tc>
        <w:tc>
          <w:tcPr>
            <w:tcW w:w="563" w:type="pct"/>
            <w:tcBorders>
              <w:right w:val="single" w:sz="18" w:space="0" w:color="auto"/>
            </w:tcBorders>
            <w:vAlign w:val="center"/>
          </w:tcPr>
          <w:p w:rsidR="00AC2F95" w:rsidRPr="006A7328" w:rsidRDefault="00AC2F95" w:rsidP="007E6E7D">
            <w:pPr>
              <w:spacing w:line="240" w:lineRule="auto"/>
              <w:jc w:val="center"/>
            </w:pPr>
            <w:r>
              <w:rPr>
                <w:lang w:val="lt-LT"/>
              </w:rPr>
              <w:t>0,0662</w:t>
            </w:r>
          </w:p>
        </w:tc>
      </w:tr>
      <w:tr w:rsidR="00AC2F95" w:rsidRPr="00D05C72" w:rsidTr="00AC2F95">
        <w:trPr>
          <w:trHeight w:val="77"/>
        </w:trPr>
        <w:tc>
          <w:tcPr>
            <w:tcW w:w="464" w:type="pct"/>
            <w:tcBorders>
              <w:right w:val="single" w:sz="18" w:space="0" w:color="auto"/>
            </w:tcBorders>
            <w:vAlign w:val="center"/>
          </w:tcPr>
          <w:p w:rsidR="00AC2F95" w:rsidRPr="006A7328" w:rsidRDefault="00AC2F95" w:rsidP="006A7328">
            <w:pPr>
              <w:spacing w:line="240" w:lineRule="auto"/>
              <w:jc w:val="left"/>
              <w:rPr>
                <w:b/>
                <w:bCs/>
                <w:lang w:val="lt-LT"/>
              </w:rPr>
            </w:pPr>
            <w:r w:rsidRPr="006A7328">
              <w:rPr>
                <w:b/>
                <w:bCs/>
                <w:lang w:val="lt-LT"/>
              </w:rPr>
              <w:t>2013</w:t>
            </w:r>
          </w:p>
        </w:tc>
        <w:tc>
          <w:tcPr>
            <w:tcW w:w="417" w:type="pct"/>
            <w:tcBorders>
              <w:left w:val="single" w:sz="18" w:space="0" w:color="auto"/>
            </w:tcBorders>
            <w:vAlign w:val="center"/>
          </w:tcPr>
          <w:p w:rsidR="00AC2F95" w:rsidRPr="006A7328" w:rsidRDefault="00AC2F95" w:rsidP="00153298">
            <w:pPr>
              <w:spacing w:line="240" w:lineRule="auto"/>
              <w:jc w:val="center"/>
              <w:rPr>
                <w:lang w:val="lt-LT"/>
              </w:rPr>
            </w:pPr>
            <w:r w:rsidRPr="006A7328">
              <w:rPr>
                <w:lang w:val="lt-LT"/>
              </w:rPr>
              <w:t>0,0012</w:t>
            </w:r>
          </w:p>
        </w:tc>
        <w:tc>
          <w:tcPr>
            <w:tcW w:w="532" w:type="pct"/>
            <w:vAlign w:val="center"/>
          </w:tcPr>
          <w:p w:rsidR="00AC2F95" w:rsidRPr="006A7328" w:rsidRDefault="00AC2F95" w:rsidP="00153298">
            <w:pPr>
              <w:spacing w:line="240" w:lineRule="auto"/>
              <w:jc w:val="center"/>
              <w:rPr>
                <w:color w:val="000000"/>
              </w:rPr>
            </w:pPr>
            <w:r>
              <w:rPr>
                <w:color w:val="000000"/>
              </w:rPr>
              <w:t>0,01</w:t>
            </w:r>
            <w:r w:rsidRPr="006A7328">
              <w:rPr>
                <w:color w:val="000000"/>
              </w:rPr>
              <w:t>41</w:t>
            </w:r>
          </w:p>
        </w:tc>
        <w:tc>
          <w:tcPr>
            <w:tcW w:w="563" w:type="pct"/>
            <w:tcBorders>
              <w:right w:val="single" w:sz="18" w:space="0" w:color="auto"/>
            </w:tcBorders>
            <w:vAlign w:val="center"/>
          </w:tcPr>
          <w:p w:rsidR="00AC2F95" w:rsidRPr="006A7328" w:rsidRDefault="00AC2F95" w:rsidP="00153298">
            <w:pPr>
              <w:spacing w:line="240" w:lineRule="auto"/>
              <w:jc w:val="center"/>
            </w:pPr>
            <w:r>
              <w:rPr>
                <w:lang w:val="lt-LT"/>
              </w:rPr>
              <w:t>-0,</w:t>
            </w:r>
            <w:r w:rsidRPr="006A7328">
              <w:rPr>
                <w:lang w:val="lt-LT"/>
              </w:rPr>
              <w:t>0</w:t>
            </w:r>
            <w:r>
              <w:rPr>
                <w:lang w:val="lt-LT"/>
              </w:rPr>
              <w:t>129</w:t>
            </w:r>
          </w:p>
        </w:tc>
        <w:tc>
          <w:tcPr>
            <w:tcW w:w="417" w:type="pct"/>
            <w:tcBorders>
              <w:left w:val="single" w:sz="18" w:space="0" w:color="auto"/>
            </w:tcBorders>
            <w:vAlign w:val="center"/>
          </w:tcPr>
          <w:p w:rsidR="00AC2F95" w:rsidRPr="006A7328" w:rsidRDefault="00AC2F95" w:rsidP="00153298">
            <w:pPr>
              <w:spacing w:line="240" w:lineRule="auto"/>
              <w:jc w:val="center"/>
              <w:rPr>
                <w:lang w:val="lt-LT"/>
              </w:rPr>
            </w:pPr>
            <w:r w:rsidRPr="006A7328">
              <w:rPr>
                <w:lang w:val="lt-LT"/>
              </w:rPr>
              <w:t>0,0024</w:t>
            </w:r>
          </w:p>
        </w:tc>
        <w:tc>
          <w:tcPr>
            <w:tcW w:w="532" w:type="pct"/>
            <w:vAlign w:val="center"/>
          </w:tcPr>
          <w:p w:rsidR="00AC2F95" w:rsidRPr="006A7328" w:rsidRDefault="00AC2F95" w:rsidP="00153298">
            <w:pPr>
              <w:spacing w:line="240" w:lineRule="auto"/>
              <w:jc w:val="center"/>
              <w:rPr>
                <w:color w:val="000000"/>
              </w:rPr>
            </w:pPr>
            <w:r>
              <w:rPr>
                <w:color w:val="000000"/>
              </w:rPr>
              <w:t>0,02</w:t>
            </w:r>
            <w:r w:rsidRPr="006A7328">
              <w:rPr>
                <w:color w:val="000000"/>
              </w:rPr>
              <w:t>49</w:t>
            </w:r>
          </w:p>
        </w:tc>
        <w:tc>
          <w:tcPr>
            <w:tcW w:w="563" w:type="pct"/>
            <w:tcBorders>
              <w:right w:val="single" w:sz="18" w:space="0" w:color="auto"/>
            </w:tcBorders>
            <w:vAlign w:val="center"/>
          </w:tcPr>
          <w:p w:rsidR="00AC2F95" w:rsidRPr="006A7328" w:rsidRDefault="00AC2F95" w:rsidP="00153298">
            <w:pPr>
              <w:spacing w:line="240" w:lineRule="auto"/>
              <w:jc w:val="center"/>
            </w:pPr>
            <w:r>
              <w:rPr>
                <w:lang w:val="lt-LT"/>
              </w:rPr>
              <w:t>-0,0225</w:t>
            </w:r>
          </w:p>
        </w:tc>
        <w:tc>
          <w:tcPr>
            <w:tcW w:w="417" w:type="pct"/>
            <w:tcBorders>
              <w:left w:val="single" w:sz="18" w:space="0" w:color="auto"/>
            </w:tcBorders>
            <w:vAlign w:val="center"/>
          </w:tcPr>
          <w:p w:rsidR="00AC2F95" w:rsidRPr="006A7328" w:rsidRDefault="00AC2F95" w:rsidP="007E6E7D">
            <w:pPr>
              <w:spacing w:line="240" w:lineRule="auto"/>
              <w:jc w:val="center"/>
              <w:rPr>
                <w:lang w:val="lt-LT"/>
              </w:rPr>
            </w:pPr>
            <w:r w:rsidRPr="006A7328">
              <w:rPr>
                <w:lang w:val="lt-LT"/>
              </w:rPr>
              <w:t>0,001</w:t>
            </w:r>
          </w:p>
        </w:tc>
        <w:tc>
          <w:tcPr>
            <w:tcW w:w="532" w:type="pct"/>
            <w:vAlign w:val="center"/>
          </w:tcPr>
          <w:p w:rsidR="00AC2F95" w:rsidRPr="006A7328" w:rsidRDefault="00AC2F95" w:rsidP="007E6E7D">
            <w:pPr>
              <w:spacing w:line="240" w:lineRule="auto"/>
              <w:jc w:val="center"/>
              <w:rPr>
                <w:rFonts w:ascii="SegoeUI" w:hAnsi="SegoeUI" w:cs="Arial"/>
                <w:color w:val="000000"/>
                <w:sz w:val="20"/>
                <w:szCs w:val="20"/>
              </w:rPr>
            </w:pPr>
            <w:r>
              <w:rPr>
                <w:rFonts w:ascii="SegoeUI" w:hAnsi="SegoeUI" w:cs="Arial"/>
                <w:color w:val="000000"/>
                <w:sz w:val="20"/>
                <w:szCs w:val="20"/>
              </w:rPr>
              <w:t>0,01</w:t>
            </w:r>
            <w:r w:rsidRPr="006A7328">
              <w:rPr>
                <w:rFonts w:ascii="SegoeUI" w:hAnsi="SegoeUI" w:cs="Arial"/>
                <w:color w:val="000000"/>
                <w:sz w:val="20"/>
                <w:szCs w:val="20"/>
              </w:rPr>
              <w:t>01</w:t>
            </w:r>
          </w:p>
        </w:tc>
        <w:tc>
          <w:tcPr>
            <w:tcW w:w="563" w:type="pct"/>
            <w:tcBorders>
              <w:right w:val="single" w:sz="18" w:space="0" w:color="auto"/>
            </w:tcBorders>
            <w:vAlign w:val="center"/>
          </w:tcPr>
          <w:p w:rsidR="00AC2F95" w:rsidRPr="006A7328" w:rsidRDefault="00AC2F95" w:rsidP="007E6E7D">
            <w:pPr>
              <w:spacing w:line="240" w:lineRule="auto"/>
              <w:jc w:val="center"/>
            </w:pPr>
            <w:r>
              <w:rPr>
                <w:lang w:val="lt-LT"/>
              </w:rPr>
              <w:t>-0</w:t>
            </w:r>
            <w:r w:rsidRPr="006A7328">
              <w:rPr>
                <w:lang w:val="lt-LT"/>
              </w:rPr>
              <w:t>,009</w:t>
            </w:r>
            <w:r>
              <w:rPr>
                <w:lang w:val="lt-LT"/>
              </w:rPr>
              <w:t>1</w:t>
            </w:r>
          </w:p>
        </w:tc>
      </w:tr>
    </w:tbl>
    <w:p w:rsidR="00183C4E" w:rsidRDefault="00183C4E" w:rsidP="00AC2F95">
      <w:pPr>
        <w:spacing w:after="0" w:line="240" w:lineRule="auto"/>
        <w:jc w:val="left"/>
        <w:rPr>
          <w:sz w:val="20"/>
          <w:szCs w:val="20"/>
          <w:lang w:val="lt-LT"/>
        </w:rPr>
      </w:pPr>
      <w:r w:rsidRPr="00ED3D25">
        <w:rPr>
          <w:sz w:val="20"/>
          <w:szCs w:val="20"/>
          <w:lang w:val="lt-LT"/>
        </w:rPr>
        <w:t xml:space="preserve">Pastaba: lentelė sudaryta autorės, remiantis </w:t>
      </w:r>
      <w:r>
        <w:rPr>
          <w:sz w:val="20"/>
          <w:szCs w:val="20"/>
          <w:lang w:val="lt-LT"/>
        </w:rPr>
        <w:t>Lietuvos statistikos departamento</w:t>
      </w:r>
      <w:r w:rsidRPr="00ED3D25">
        <w:rPr>
          <w:sz w:val="20"/>
          <w:szCs w:val="20"/>
          <w:lang w:val="lt-LT"/>
        </w:rPr>
        <w:t xml:space="preserve"> duomenimis</w:t>
      </w:r>
      <w:r w:rsidR="00AC2F95">
        <w:rPr>
          <w:sz w:val="20"/>
          <w:szCs w:val="20"/>
          <w:lang w:val="lt-LT"/>
        </w:rPr>
        <w:t xml:space="preserve"> ir įmonės D finansiniais duomenimis.</w:t>
      </w:r>
    </w:p>
    <w:p w:rsidR="00AC2F95" w:rsidRPr="00AC2F95" w:rsidRDefault="00AC2F95" w:rsidP="00AC2F95">
      <w:pPr>
        <w:spacing w:after="0" w:line="240" w:lineRule="auto"/>
        <w:jc w:val="left"/>
        <w:rPr>
          <w:sz w:val="14"/>
          <w:szCs w:val="14"/>
          <w:lang w:val="lt-LT"/>
        </w:rPr>
      </w:pPr>
    </w:p>
    <w:p w:rsidR="00153298" w:rsidRDefault="00183C4E" w:rsidP="00AC2F95">
      <w:pPr>
        <w:spacing w:after="0"/>
        <w:ind w:firstLine="851"/>
        <w:rPr>
          <w:szCs w:val="24"/>
          <w:lang w:val="lt-LT"/>
        </w:rPr>
      </w:pPr>
      <w:r>
        <w:rPr>
          <w:szCs w:val="24"/>
          <w:lang w:val="lt-LT"/>
        </w:rPr>
        <w:t>Sekt</w:t>
      </w:r>
      <w:r w:rsidR="00746E75">
        <w:rPr>
          <w:szCs w:val="24"/>
          <w:lang w:val="lt-LT"/>
        </w:rPr>
        <w:t>oriaus turto pelningumas (žr. 29</w:t>
      </w:r>
      <w:r>
        <w:rPr>
          <w:szCs w:val="24"/>
          <w:lang w:val="lt-LT"/>
        </w:rPr>
        <w:t xml:space="preserve"> lentelę)</w:t>
      </w:r>
      <w:r w:rsidR="00153298">
        <w:rPr>
          <w:szCs w:val="24"/>
          <w:lang w:val="lt-LT"/>
        </w:rPr>
        <w:t xml:space="preserve"> tirtu laikotarpiu svyravo, o įmonės staigiai mažėjo, nes grynojo pelno buvo uždirbama vis mažiau. Ta pati situacija ir ROE rodikliui – būdingas nuosavo kapitalo pelningumo nukritimas sektoriui iki 2 proc. Tad jei ne sektoriaus pelningumo mažėjimas atotrūkis nuo įmonės ROE ir sektoriaus būtų didelis. Tad galima teigti, kad visam sektoriui buvo iškilusios tos pačios problemos dėl pelno mažėjimo. </w:t>
      </w:r>
      <w:r w:rsidR="00AC2F95">
        <w:rPr>
          <w:lang w:val="lt-LT"/>
        </w:rPr>
        <w:t>Vertinant grynojo pelningumo skirtumą matoma ta pati tendencija pasireiškusi tiek įmonei D, tiek visam sektoriui, t. y. grynojo pelningumo mažėjimas. Galima teigti, kad įmonei D tokius pokyčius lėmė išaugusios vykdomos veiklos sąnaudos, tad to galima tikėtis ir</w:t>
      </w:r>
      <w:r w:rsidR="00AC2F95" w:rsidRPr="004D6B04">
        <w:rPr>
          <w:lang w:val="lt-LT"/>
        </w:rPr>
        <w:t xml:space="preserve"> </w:t>
      </w:r>
      <w:r w:rsidR="00AC2F95">
        <w:rPr>
          <w:lang w:val="lt-LT"/>
        </w:rPr>
        <w:t>visame sektoriuje, tad būtent tai galėjo lemti sumažėjusį pelningumą.</w:t>
      </w:r>
    </w:p>
    <w:p w:rsidR="00532103" w:rsidRPr="00183C4E" w:rsidRDefault="00B04021" w:rsidP="003535CE">
      <w:pPr>
        <w:spacing w:after="0"/>
        <w:ind w:firstLine="851"/>
        <w:rPr>
          <w:szCs w:val="24"/>
          <w:lang w:val="lt-LT"/>
        </w:rPr>
      </w:pPr>
      <w:r>
        <w:rPr>
          <w:szCs w:val="24"/>
          <w:lang w:val="lt-LT"/>
        </w:rPr>
        <w:t xml:space="preserve">Apibendrinant įmonių ir jų atstovaujamų sektorių finansinius rodiklius teigiama, kad </w:t>
      </w:r>
      <w:r w:rsidR="00AA1B26">
        <w:rPr>
          <w:szCs w:val="24"/>
          <w:lang w:val="lt-LT"/>
        </w:rPr>
        <w:t xml:space="preserve">įmonė A veikia labai panašiai, kaip ir kitos sektoriaus įmonės. Tačiau didžiausias skirtumas fiksuotas turto apyvartumo palyginime, nes šiuo atžvilgiu įmonės A turtas valdomas neefektyviai. Naujai įsikūrusi įmonė B </w:t>
      </w:r>
      <w:r w:rsidR="00A20CD4">
        <w:rPr>
          <w:szCs w:val="24"/>
          <w:lang w:val="lt-LT"/>
        </w:rPr>
        <w:t>susidūrė su mažu likvidumu ir dideliais</w:t>
      </w:r>
      <w:r w:rsidR="003535CE">
        <w:rPr>
          <w:szCs w:val="24"/>
          <w:lang w:val="lt-LT"/>
        </w:rPr>
        <w:t xml:space="preserve"> įsipareigojimais, kas nėra </w:t>
      </w:r>
      <w:r w:rsidR="00A20CD4">
        <w:rPr>
          <w:szCs w:val="24"/>
          <w:lang w:val="lt-LT"/>
        </w:rPr>
        <w:t xml:space="preserve"> būdinga visam sektoriui, tik grynojo pelningumo rodiklis 9 proc. lenkia kitas sektoriuje veikiančias įmones. Taip pat daroma išvada, kad įmonė B neefektyviai valdo savo turtą, dėl praktiškai nulinio ROA ir labai žemo turto apyvart</w:t>
      </w:r>
      <w:r w:rsidR="003535CE">
        <w:rPr>
          <w:szCs w:val="24"/>
          <w:lang w:val="lt-LT"/>
        </w:rPr>
        <w:t>umo lygio lyginant su sektoriumi</w:t>
      </w:r>
      <w:r w:rsidR="00A20CD4">
        <w:rPr>
          <w:szCs w:val="24"/>
          <w:lang w:val="lt-LT"/>
        </w:rPr>
        <w:t>. Įmonė C yra beveik 3 kartus mažiau likvidesnė pagal einamąjį likvidumą, nei kitos sektoriaus įmonės, nors turi 4,5 proc. mažiau įsipareigojimų.</w:t>
      </w:r>
      <w:r w:rsidR="00D367D2">
        <w:rPr>
          <w:szCs w:val="24"/>
          <w:lang w:val="lt-LT"/>
        </w:rPr>
        <w:t xml:space="preserve"> Kaip ir ankstesniu atveju, įmonės C ROA ir ROE rodikliai yra artimi nuliui dėl žymaus turto augimo ir grynojo pelno sumažėjimo. Įmonės D ir sektoriaus einamojo likvidumo skirtumas tik didėja, nors įmonė gali padengti iki 82 proc. savo trumpalaikių įsipareigojimų. Įsiskolinimų koeficientas tarp įmonės ir sektoriaus yra labai panašus</w:t>
      </w:r>
      <w:r w:rsidR="00532103">
        <w:rPr>
          <w:szCs w:val="24"/>
          <w:lang w:val="lt-LT"/>
        </w:rPr>
        <w:t xml:space="preserve">, kaip ir grynasis pelningumas – 2013 m. įmonės D rodiklis siekė 0 proc. pelningumą, o sektoriaus įmonių tik 1 proc. Viso sektoriaus turto pelningumas ir nuosavo kapitalo pelningumas siekė 1-2,5 proc., o įmonės D 0 proc., tad visam </w:t>
      </w:r>
      <w:r w:rsidR="00532103">
        <w:rPr>
          <w:szCs w:val="24"/>
          <w:lang w:val="lt-LT"/>
        </w:rPr>
        <w:lastRenderedPageBreak/>
        <w:t>sektoriui buvo kilusių sunkumų. Gerai vertinamas yra dar turto apyvartumas, kurio reikšmė siekia 1,3 2013 m., o sektoriaus yra labai panaši – 1,4.</w:t>
      </w:r>
    </w:p>
    <w:p w:rsidR="00417AFE" w:rsidRDefault="00417AFE">
      <w:pPr>
        <w:spacing w:line="276" w:lineRule="auto"/>
        <w:jc w:val="left"/>
        <w:rPr>
          <w:rFonts w:eastAsia="Times New Roman"/>
          <w:b/>
          <w:bCs/>
          <w:szCs w:val="24"/>
          <w:lang w:val="lt-LT" w:eastAsia="es-ES"/>
        </w:rPr>
      </w:pPr>
      <w:r>
        <w:rPr>
          <w:szCs w:val="24"/>
          <w:lang w:val="lt-LT"/>
        </w:rPr>
        <w:br w:type="page"/>
      </w:r>
    </w:p>
    <w:p w:rsidR="00183C4E" w:rsidRPr="00417AFE" w:rsidRDefault="00286A27" w:rsidP="00417AFE">
      <w:pPr>
        <w:pStyle w:val="Heading2"/>
        <w:numPr>
          <w:ilvl w:val="1"/>
          <w:numId w:val="23"/>
        </w:numPr>
        <w:spacing w:before="100" w:after="100" w:line="360" w:lineRule="auto"/>
        <w:ind w:left="0" w:firstLine="0"/>
        <w:rPr>
          <w:sz w:val="24"/>
          <w:szCs w:val="24"/>
          <w:lang w:val="lt-LT"/>
        </w:rPr>
      </w:pPr>
      <w:bookmarkStart w:id="13" w:name="_Toc419534702"/>
      <w:r w:rsidRPr="00417AFE">
        <w:rPr>
          <w:sz w:val="24"/>
          <w:szCs w:val="24"/>
          <w:lang w:val="lt-LT"/>
        </w:rPr>
        <w:lastRenderedPageBreak/>
        <w:t>ES finansinės paramos įmonėms A, B, C ir D efektyvumo vertinimas Panevėžio rajone</w:t>
      </w:r>
      <w:bookmarkEnd w:id="13"/>
    </w:p>
    <w:p w:rsidR="009644C1" w:rsidRDefault="007812C4" w:rsidP="001A2414">
      <w:pPr>
        <w:spacing w:after="0"/>
        <w:ind w:firstLine="851"/>
        <w:rPr>
          <w:lang w:val="lt-LT"/>
        </w:rPr>
      </w:pPr>
      <w:r>
        <w:rPr>
          <w:lang w:val="lt-LT"/>
        </w:rPr>
        <w:t xml:space="preserve">Atliekant tyrimą dėl ES finansinės paramos efektyvumo buvo nuspręsta anketinę apklausą atlikti </w:t>
      </w:r>
      <w:r w:rsidR="005128DE">
        <w:rPr>
          <w:lang w:val="lt-LT"/>
        </w:rPr>
        <w:t xml:space="preserve">visos </w:t>
      </w:r>
      <w:r w:rsidR="00FC7F6D">
        <w:rPr>
          <w:lang w:val="lt-LT"/>
        </w:rPr>
        <w:t>Lietuvos mastu.</w:t>
      </w:r>
      <w:r>
        <w:rPr>
          <w:lang w:val="lt-LT"/>
        </w:rPr>
        <w:t xml:space="preserve"> </w:t>
      </w:r>
      <w:r w:rsidR="00FC7F6D">
        <w:rPr>
          <w:lang w:val="lt-LT"/>
        </w:rPr>
        <w:t>B</w:t>
      </w:r>
      <w:r w:rsidR="001A2414">
        <w:rPr>
          <w:lang w:val="lt-LT"/>
        </w:rPr>
        <w:t xml:space="preserve">uvo apklausti verslininkai, kurie gavo ES finansinę paramą 2007-2013 m. </w:t>
      </w:r>
      <w:r w:rsidR="00FC7F6D">
        <w:rPr>
          <w:lang w:val="lt-LT"/>
        </w:rPr>
        <w:t>Tuo buvo siekiama</w:t>
      </w:r>
      <w:r w:rsidR="001A2414">
        <w:rPr>
          <w:lang w:val="lt-LT"/>
        </w:rPr>
        <w:t xml:space="preserve"> įvertinti ES struktūrinių fondų finansinės paramos efektyvumą, t. y. v</w:t>
      </w:r>
      <w:r w:rsidR="00FC7F6D">
        <w:rPr>
          <w:lang w:val="lt-LT"/>
        </w:rPr>
        <w:t>eiklos rezultatų augimą. Vėliau pasirinktos ir išanalizuotos 4 įmonės</w:t>
      </w:r>
      <w:r>
        <w:rPr>
          <w:lang w:val="lt-LT"/>
        </w:rPr>
        <w:t xml:space="preserve"> leido koncentruotai pasakyti, kuri įmonė įsisavindama ES finansinės</w:t>
      </w:r>
      <w:r w:rsidR="00FC7F6D">
        <w:rPr>
          <w:lang w:val="lt-LT"/>
        </w:rPr>
        <w:t xml:space="preserve"> paramos lėšas buvo geriausia, o</w:t>
      </w:r>
      <w:r>
        <w:rPr>
          <w:lang w:val="lt-LT"/>
        </w:rPr>
        <w:t xml:space="preserve"> </w:t>
      </w:r>
      <w:r w:rsidR="001A2414">
        <w:rPr>
          <w:lang w:val="lt-LT"/>
        </w:rPr>
        <w:t xml:space="preserve">kuri </w:t>
      </w:r>
      <w:r>
        <w:rPr>
          <w:lang w:val="lt-LT"/>
        </w:rPr>
        <w:t>mažiausiai efektyvi.</w:t>
      </w:r>
    </w:p>
    <w:p w:rsidR="002630D4" w:rsidRDefault="006364AD" w:rsidP="005128DE">
      <w:pPr>
        <w:spacing w:after="0"/>
        <w:ind w:firstLine="851"/>
        <w:rPr>
          <w:lang w:val="lt-LT"/>
        </w:rPr>
      </w:pPr>
      <w:r>
        <w:rPr>
          <w:lang w:val="lt-LT"/>
        </w:rPr>
        <w:t xml:space="preserve">Anketinės apklausos rezultatai atskleidė, kad daugiausiai atsakiusiųjų veikia maisto produktų gamybos </w:t>
      </w:r>
      <w:r w:rsidR="001A2414">
        <w:rPr>
          <w:lang w:val="lt-LT"/>
        </w:rPr>
        <w:t xml:space="preserve">pramonės </w:t>
      </w:r>
      <w:r>
        <w:rPr>
          <w:lang w:val="lt-LT"/>
        </w:rPr>
        <w:t>šakoje</w:t>
      </w:r>
      <w:r w:rsidR="00EC34AD">
        <w:rPr>
          <w:lang w:val="lt-LT"/>
        </w:rPr>
        <w:t xml:space="preserve"> (23,5 proc.)</w:t>
      </w:r>
      <w:r>
        <w:rPr>
          <w:lang w:val="lt-LT"/>
        </w:rPr>
        <w:t xml:space="preserve">, </w:t>
      </w:r>
      <w:r w:rsidR="001A2414">
        <w:rPr>
          <w:lang w:val="lt-LT"/>
        </w:rPr>
        <w:t>o teikdam</w:t>
      </w:r>
      <w:r w:rsidR="00EC34AD">
        <w:rPr>
          <w:lang w:val="lt-LT"/>
        </w:rPr>
        <w:t>os paraišką dėl ES finansinės paramos gavimo</w:t>
      </w:r>
      <w:r w:rsidR="001A2414">
        <w:rPr>
          <w:lang w:val="lt-LT"/>
        </w:rPr>
        <w:t xml:space="preserve"> daugiausiai įmonių vykdė veik</w:t>
      </w:r>
      <w:r w:rsidR="00FC7F6D">
        <w:rPr>
          <w:lang w:val="lt-LT"/>
        </w:rPr>
        <w:t>l</w:t>
      </w:r>
      <w:r w:rsidR="001A2414">
        <w:rPr>
          <w:lang w:val="lt-LT"/>
        </w:rPr>
        <w:t>ą 2-5 metus ir ilgiau. Taip pat d</w:t>
      </w:r>
      <w:r w:rsidR="0035798A">
        <w:rPr>
          <w:lang w:val="lt-LT"/>
        </w:rPr>
        <w:t>idžioji dalis apklaustųjų</w:t>
      </w:r>
      <w:r w:rsidR="001A2414">
        <w:rPr>
          <w:lang w:val="lt-LT"/>
        </w:rPr>
        <w:t xml:space="preserve"> apie ES finansinę paramą sužino</w:t>
      </w:r>
      <w:r w:rsidR="0035798A">
        <w:rPr>
          <w:lang w:val="lt-LT"/>
        </w:rPr>
        <w:t>jo</w:t>
      </w:r>
      <w:r w:rsidR="001A2414">
        <w:rPr>
          <w:lang w:val="lt-LT"/>
        </w:rPr>
        <w:t xml:space="preserve"> iš kitų verslininkų ir internetinių šaltinių.</w:t>
      </w:r>
      <w:r w:rsidR="0035798A">
        <w:rPr>
          <w:lang w:val="lt-LT"/>
        </w:rPr>
        <w:t xml:space="preserve"> Vykdant verslo investicijas pačiu svarbiausiu jų finansavimo šaltiniu respondentai išskiria gaunamą pelną (51 proc.), o į antrą ir trečią viet</w:t>
      </w:r>
      <w:r w:rsidR="002153C1">
        <w:rPr>
          <w:lang w:val="lt-LT"/>
        </w:rPr>
        <w:t>as</w:t>
      </w:r>
      <w:r w:rsidR="0068189F">
        <w:rPr>
          <w:lang w:val="lt-LT"/>
        </w:rPr>
        <w:t xml:space="preserve"> nustumia banko ir kredito unijų paskolas</w:t>
      </w:r>
      <w:r w:rsidR="0035798A">
        <w:rPr>
          <w:lang w:val="lt-LT"/>
        </w:rPr>
        <w:t>. Po ES finansinės paramos panaudojimo 56,9 proc. apklaustųjų</w:t>
      </w:r>
      <w:r w:rsidR="002153C1">
        <w:rPr>
          <w:lang w:val="lt-LT"/>
        </w:rPr>
        <w:t xml:space="preserve"> išskiria, kad labiausiai padidėja įmonės našumas, o po to produkto kokybė. Atlikti tyrimai parodė, kad didžiausi pakitimai įsisavinus ES finansinę paramą buvo pardavimų apimties pasikeitime, o po jų atsidūrė apyvartos pakitimai</w:t>
      </w:r>
      <w:r w:rsidR="005128DE">
        <w:rPr>
          <w:lang w:val="lt-LT"/>
        </w:rPr>
        <w:t>. Galiausiai buvo atskleista, kad labiausiai iš įmonės finansinių rodiklių po ES fanansinės paramos gavimo pakito pardavimų apimtis (52,9 proc.), po jos – apyvarta ir darbo vietų skaičius.</w:t>
      </w:r>
    </w:p>
    <w:p w:rsidR="002105B8" w:rsidRDefault="00764DBF" w:rsidP="00A21463">
      <w:pPr>
        <w:spacing w:after="0"/>
        <w:ind w:firstLine="851"/>
        <w:rPr>
          <w:rFonts w:eastAsiaTheme="majorEastAsia"/>
          <w:lang w:val="lt-LT"/>
        </w:rPr>
      </w:pPr>
      <w:r>
        <w:rPr>
          <w:rFonts w:eastAsiaTheme="majorEastAsia"/>
          <w:lang w:val="lt-LT"/>
        </w:rPr>
        <w:t xml:space="preserve">Antroje tyrimo dalyje buvo </w:t>
      </w:r>
      <w:r w:rsidR="005128DE">
        <w:rPr>
          <w:rFonts w:eastAsiaTheme="majorEastAsia"/>
          <w:lang w:val="lt-LT"/>
        </w:rPr>
        <w:t>pasirinktos keturios įmonės, atstovaujančios skirtingus sekt</w:t>
      </w:r>
      <w:r w:rsidR="009149BC">
        <w:rPr>
          <w:rFonts w:eastAsiaTheme="majorEastAsia"/>
          <w:lang w:val="lt-LT"/>
        </w:rPr>
        <w:t xml:space="preserve">orius Panevėžio rajone. </w:t>
      </w:r>
      <w:r w:rsidR="00F7446D">
        <w:rPr>
          <w:rFonts w:eastAsiaTheme="majorEastAsia"/>
          <w:lang w:val="lt-LT"/>
        </w:rPr>
        <w:t>Tad</w:t>
      </w:r>
      <w:r w:rsidR="0068189F">
        <w:rPr>
          <w:rFonts w:eastAsiaTheme="majorEastAsia"/>
          <w:lang w:val="lt-LT"/>
        </w:rPr>
        <w:t xml:space="preserve"> daroma prielaida, </w:t>
      </w:r>
      <w:r w:rsidR="00FE65C4">
        <w:rPr>
          <w:rFonts w:eastAsiaTheme="majorEastAsia"/>
          <w:lang w:val="lt-LT"/>
        </w:rPr>
        <w:t>kad ES struktūrinių fondų skirtos finansinės paramos efektyvumas bei poveikis konkrečiai įmonei gali būti skirtingas dėl</w:t>
      </w:r>
      <w:r w:rsidR="0068189F">
        <w:rPr>
          <w:rFonts w:eastAsiaTheme="majorEastAsia"/>
          <w:lang w:val="lt-LT"/>
        </w:rPr>
        <w:t xml:space="preserve"> </w:t>
      </w:r>
      <w:r w:rsidR="00FE65C4">
        <w:rPr>
          <w:rFonts w:eastAsiaTheme="majorEastAsia"/>
          <w:lang w:val="lt-LT"/>
        </w:rPr>
        <w:t>įmonių</w:t>
      </w:r>
      <w:r w:rsidR="00F7446D">
        <w:rPr>
          <w:rFonts w:eastAsiaTheme="majorEastAsia"/>
          <w:lang w:val="lt-LT"/>
        </w:rPr>
        <w:t xml:space="preserve"> </w:t>
      </w:r>
      <w:r w:rsidR="00FE65C4">
        <w:rPr>
          <w:rFonts w:eastAsiaTheme="majorEastAsia"/>
          <w:lang w:val="lt-LT"/>
        </w:rPr>
        <w:t>skirtingos veiklos patirties ir gebėjimo</w:t>
      </w:r>
      <w:r w:rsidR="00F7446D">
        <w:rPr>
          <w:rFonts w:eastAsiaTheme="majorEastAsia"/>
          <w:lang w:val="lt-LT"/>
        </w:rPr>
        <w:t xml:space="preserve"> įsisavinti ES finansi</w:t>
      </w:r>
      <w:r w:rsidR="00FE65C4">
        <w:rPr>
          <w:rFonts w:eastAsiaTheme="majorEastAsia"/>
          <w:lang w:val="lt-LT"/>
        </w:rPr>
        <w:t>nės paramos lėšas</w:t>
      </w:r>
      <w:r w:rsidR="00F7446D">
        <w:rPr>
          <w:rFonts w:eastAsiaTheme="majorEastAsia"/>
          <w:lang w:val="lt-LT"/>
        </w:rPr>
        <w:t xml:space="preserve">. </w:t>
      </w:r>
      <w:r w:rsidR="009149BC">
        <w:rPr>
          <w:rFonts w:eastAsiaTheme="majorEastAsia"/>
          <w:lang w:val="lt-LT"/>
        </w:rPr>
        <w:t xml:space="preserve">Įmonės A pagrindine veikla įvardijamas aušinimo ir vėdinimo įrenginių komplektavimas, montavimas ir projektavimas, įmonė veikia jau 10 metų, o yra priskiriama </w:t>
      </w:r>
      <w:r w:rsidR="00F7446D">
        <w:rPr>
          <w:rFonts w:eastAsiaTheme="majorEastAsia"/>
          <w:lang w:val="lt-LT"/>
        </w:rPr>
        <w:t>pramoninių mašinų ir įrangos įrengimo</w:t>
      </w:r>
      <w:r w:rsidR="00843657">
        <w:rPr>
          <w:rFonts w:eastAsiaTheme="majorEastAsia"/>
          <w:lang w:val="lt-LT"/>
        </w:rPr>
        <w:t xml:space="preserve"> </w:t>
      </w:r>
      <w:r w:rsidR="00F7446D">
        <w:rPr>
          <w:rFonts w:eastAsiaTheme="majorEastAsia"/>
          <w:lang w:val="lt-LT"/>
        </w:rPr>
        <w:t xml:space="preserve">sektoriui. </w:t>
      </w:r>
      <w:r w:rsidR="009149BC">
        <w:rPr>
          <w:rFonts w:eastAsiaTheme="majorEastAsia"/>
          <w:lang w:val="lt-LT"/>
        </w:rPr>
        <w:t>Įmonė B vykdo veiklą susijusią su lengvųjų metalų taros (dangtelių iš aliuminio folijos) gamyba. Ši įmonė buvo įkurta prieš ES finansinės par</w:t>
      </w:r>
      <w:r w:rsidR="00B44945">
        <w:rPr>
          <w:rFonts w:eastAsiaTheme="majorEastAsia"/>
          <w:lang w:val="lt-LT"/>
        </w:rPr>
        <w:t>a</w:t>
      </w:r>
      <w:r w:rsidR="009149BC">
        <w:rPr>
          <w:rFonts w:eastAsiaTheme="majorEastAsia"/>
          <w:lang w:val="lt-LT"/>
        </w:rPr>
        <w:t xml:space="preserve">mos prašymą 2010 m., o priskiriama </w:t>
      </w:r>
      <w:r w:rsidR="00F7446D">
        <w:rPr>
          <w:rFonts w:eastAsiaTheme="majorEastAsia"/>
          <w:lang w:val="lt-LT"/>
        </w:rPr>
        <w:t xml:space="preserve">kitų metalo gaminių gamybos sektoriui. </w:t>
      </w:r>
      <w:r w:rsidR="009149BC">
        <w:rPr>
          <w:rFonts w:eastAsiaTheme="majorEastAsia"/>
          <w:lang w:val="lt-LT"/>
        </w:rPr>
        <w:t>Įmonė C taip pat buvo naujai įsteigta įmonė</w:t>
      </w:r>
      <w:r w:rsidR="00F7446D">
        <w:rPr>
          <w:rFonts w:eastAsiaTheme="majorEastAsia"/>
          <w:lang w:val="lt-LT"/>
        </w:rPr>
        <w:t>,</w:t>
      </w:r>
      <w:r w:rsidR="00B44945">
        <w:rPr>
          <w:rFonts w:eastAsiaTheme="majorEastAsia"/>
          <w:lang w:val="lt-LT"/>
        </w:rPr>
        <w:t xml:space="preserve"> įkurta 2011 m. ir </w:t>
      </w:r>
      <w:r w:rsidR="009149BC">
        <w:rPr>
          <w:rFonts w:eastAsiaTheme="majorEastAsia"/>
          <w:lang w:val="lt-LT"/>
        </w:rPr>
        <w:t xml:space="preserve">prašanti paramos verslo kūrimui. </w:t>
      </w:r>
      <w:r w:rsidR="00F7446D">
        <w:rPr>
          <w:rFonts w:eastAsiaTheme="majorEastAsia"/>
          <w:lang w:val="lt-LT"/>
        </w:rPr>
        <w:t>J</w:t>
      </w:r>
      <w:r w:rsidR="009149BC">
        <w:rPr>
          <w:rFonts w:eastAsiaTheme="majorEastAsia"/>
          <w:lang w:val="lt-LT"/>
        </w:rPr>
        <w:t xml:space="preserve">os pagrindine veikla </w:t>
      </w:r>
      <w:r w:rsidR="00B44945">
        <w:rPr>
          <w:rFonts w:eastAsiaTheme="majorEastAsia"/>
          <w:lang w:val="lt-LT"/>
        </w:rPr>
        <w:t>įvardijama</w:t>
      </w:r>
      <w:r w:rsidR="009149BC">
        <w:rPr>
          <w:rFonts w:eastAsiaTheme="majorEastAsia"/>
          <w:lang w:val="lt-LT"/>
        </w:rPr>
        <w:t xml:space="preserve"> statyb</w:t>
      </w:r>
      <w:r w:rsidR="00B44945">
        <w:rPr>
          <w:rFonts w:eastAsiaTheme="majorEastAsia"/>
          <w:lang w:val="lt-LT"/>
        </w:rPr>
        <w:t>ai skirtų</w:t>
      </w:r>
      <w:r w:rsidR="009149BC">
        <w:rPr>
          <w:rFonts w:eastAsiaTheme="majorEastAsia"/>
          <w:lang w:val="lt-LT"/>
        </w:rPr>
        <w:t xml:space="preserve"> medienos dirbinių gamyba ir priskiriama</w:t>
      </w:r>
      <w:r w:rsidR="00F7446D">
        <w:rPr>
          <w:rFonts w:eastAsiaTheme="majorEastAsia"/>
          <w:lang w:val="lt-LT"/>
        </w:rPr>
        <w:t xml:space="preserve"> medienos ruošos</w:t>
      </w:r>
      <w:r w:rsidR="009149BC">
        <w:rPr>
          <w:rFonts w:eastAsiaTheme="majorEastAsia"/>
          <w:lang w:val="lt-LT"/>
        </w:rPr>
        <w:t xml:space="preserve"> sektoriui. </w:t>
      </w:r>
      <w:r w:rsidR="00F7446D">
        <w:rPr>
          <w:rFonts w:eastAsiaTheme="majorEastAsia"/>
          <w:lang w:val="lt-LT"/>
        </w:rPr>
        <w:t>Ir į</w:t>
      </w:r>
      <w:r w:rsidR="009149BC">
        <w:rPr>
          <w:rFonts w:eastAsiaTheme="majorEastAsia"/>
          <w:lang w:val="lt-LT"/>
        </w:rPr>
        <w:t>monės D pagrindinė veikla – tvenkinių kasimas, grunto stumdymas, statybvietės paruošimas ir kt.</w:t>
      </w:r>
      <w:r w:rsidR="00F7446D">
        <w:rPr>
          <w:rFonts w:eastAsiaTheme="majorEastAsia"/>
          <w:lang w:val="lt-LT"/>
        </w:rPr>
        <w:t xml:space="preserve"> </w:t>
      </w:r>
      <w:r w:rsidR="00B44945">
        <w:rPr>
          <w:rFonts w:eastAsiaTheme="majorEastAsia"/>
          <w:lang w:val="lt-LT"/>
        </w:rPr>
        <w:t>veiklos.</w:t>
      </w:r>
      <w:r w:rsidR="00F7446D">
        <w:rPr>
          <w:rFonts w:eastAsiaTheme="majorEastAsia"/>
          <w:lang w:val="lt-LT"/>
        </w:rPr>
        <w:t xml:space="preserve"> Įmonė </w:t>
      </w:r>
      <w:r w:rsidR="00B44945">
        <w:rPr>
          <w:rFonts w:eastAsiaTheme="majorEastAsia"/>
          <w:lang w:val="lt-LT"/>
        </w:rPr>
        <w:t>priklauso</w:t>
      </w:r>
      <w:r w:rsidR="00F7446D">
        <w:rPr>
          <w:rFonts w:eastAsiaTheme="majorEastAsia"/>
          <w:lang w:val="lt-LT"/>
        </w:rPr>
        <w:t xml:space="preserve"> niekur kitur neišskiriamų statybos darbų sektoriui ir vykdo veiklą nuo 2006 metų.</w:t>
      </w:r>
    </w:p>
    <w:p w:rsidR="00A21463" w:rsidRDefault="00A21463">
      <w:pPr>
        <w:spacing w:line="276" w:lineRule="auto"/>
        <w:jc w:val="left"/>
        <w:rPr>
          <w:rFonts w:eastAsiaTheme="majorEastAsia"/>
          <w:b/>
          <w:bCs/>
          <w:lang w:val="lt-LT"/>
        </w:rPr>
      </w:pPr>
      <w:r>
        <w:rPr>
          <w:rFonts w:eastAsiaTheme="majorEastAsia"/>
          <w:b/>
          <w:bCs/>
          <w:lang w:val="lt-LT"/>
        </w:rPr>
        <w:br w:type="page"/>
      </w:r>
    </w:p>
    <w:p w:rsidR="00A21463" w:rsidRDefault="00A21463" w:rsidP="00A21463">
      <w:pPr>
        <w:spacing w:after="0"/>
        <w:ind w:firstLine="851"/>
        <w:jc w:val="right"/>
        <w:rPr>
          <w:rFonts w:eastAsiaTheme="majorEastAsia"/>
          <w:b/>
          <w:bCs/>
          <w:lang w:val="lt-LT"/>
        </w:rPr>
      </w:pPr>
      <w:r>
        <w:rPr>
          <w:rFonts w:eastAsiaTheme="majorEastAsia"/>
          <w:b/>
          <w:bCs/>
          <w:lang w:val="lt-LT"/>
        </w:rPr>
        <w:lastRenderedPageBreak/>
        <w:t>30 lentelė</w:t>
      </w:r>
    </w:p>
    <w:p w:rsidR="00A21463" w:rsidRDefault="00A21463" w:rsidP="00310DFF">
      <w:pPr>
        <w:spacing w:after="0" w:line="240" w:lineRule="auto"/>
        <w:ind w:firstLine="851"/>
        <w:jc w:val="center"/>
        <w:rPr>
          <w:rFonts w:eastAsiaTheme="majorEastAsia"/>
          <w:b/>
          <w:bCs/>
          <w:sz w:val="22"/>
          <w:szCs w:val="20"/>
          <w:lang w:val="lt-LT"/>
        </w:rPr>
      </w:pPr>
      <w:r>
        <w:rPr>
          <w:rFonts w:eastAsiaTheme="majorEastAsia"/>
          <w:b/>
          <w:bCs/>
          <w:sz w:val="22"/>
          <w:szCs w:val="20"/>
          <w:lang w:val="lt-LT"/>
        </w:rPr>
        <w:t>ES finansinę paramą</w:t>
      </w:r>
      <w:r w:rsidR="00310DFF">
        <w:rPr>
          <w:rFonts w:eastAsiaTheme="majorEastAsia"/>
          <w:b/>
          <w:bCs/>
          <w:sz w:val="22"/>
          <w:szCs w:val="20"/>
          <w:lang w:val="lt-LT"/>
        </w:rPr>
        <w:t xml:space="preserve"> verslo plėtrai</w:t>
      </w:r>
      <w:r>
        <w:rPr>
          <w:rFonts w:eastAsiaTheme="majorEastAsia"/>
          <w:b/>
          <w:bCs/>
          <w:sz w:val="22"/>
          <w:szCs w:val="20"/>
          <w:lang w:val="lt-LT"/>
        </w:rPr>
        <w:t xml:space="preserve"> gavusių įmonių</w:t>
      </w:r>
      <w:r w:rsidR="0030422A" w:rsidRPr="0030422A">
        <w:rPr>
          <w:rFonts w:eastAsiaTheme="majorEastAsia"/>
          <w:b/>
          <w:bCs/>
          <w:sz w:val="22"/>
          <w:szCs w:val="20"/>
          <w:lang w:val="lt-LT"/>
        </w:rPr>
        <w:t xml:space="preserve"> </w:t>
      </w:r>
      <w:r w:rsidR="0030422A">
        <w:rPr>
          <w:rFonts w:eastAsiaTheme="majorEastAsia"/>
          <w:b/>
          <w:bCs/>
          <w:sz w:val="22"/>
          <w:szCs w:val="20"/>
          <w:lang w:val="lt-LT"/>
        </w:rPr>
        <w:t>rangavimas pagal</w:t>
      </w:r>
      <w:r w:rsidR="00B773B5">
        <w:rPr>
          <w:rFonts w:eastAsiaTheme="majorEastAsia"/>
          <w:b/>
          <w:bCs/>
          <w:sz w:val="22"/>
          <w:szCs w:val="20"/>
          <w:lang w:val="lt-LT"/>
        </w:rPr>
        <w:t xml:space="preserve"> </w:t>
      </w:r>
      <w:r w:rsidR="00310DFF">
        <w:rPr>
          <w:rFonts w:eastAsiaTheme="majorEastAsia"/>
          <w:b/>
          <w:bCs/>
          <w:sz w:val="22"/>
          <w:szCs w:val="20"/>
          <w:lang w:val="lt-LT"/>
        </w:rPr>
        <w:t xml:space="preserve"> </w:t>
      </w:r>
      <w:r w:rsidR="006C4A84">
        <w:rPr>
          <w:rFonts w:eastAsiaTheme="majorEastAsia"/>
          <w:b/>
          <w:bCs/>
          <w:sz w:val="22"/>
          <w:szCs w:val="20"/>
          <w:lang w:val="lt-LT"/>
        </w:rPr>
        <w:t>2013 m.</w:t>
      </w:r>
      <w:r w:rsidR="00B773B5">
        <w:rPr>
          <w:rFonts w:eastAsiaTheme="majorEastAsia"/>
          <w:b/>
          <w:bCs/>
          <w:sz w:val="22"/>
          <w:szCs w:val="20"/>
          <w:lang w:val="lt-LT"/>
        </w:rPr>
        <w:t xml:space="preserve"> finansini</w:t>
      </w:r>
      <w:r w:rsidR="0030422A">
        <w:rPr>
          <w:rFonts w:eastAsiaTheme="majorEastAsia"/>
          <w:b/>
          <w:bCs/>
          <w:sz w:val="22"/>
          <w:szCs w:val="20"/>
          <w:lang w:val="lt-LT"/>
        </w:rPr>
        <w:t>us</w:t>
      </w:r>
      <w:r w:rsidR="00B773B5">
        <w:rPr>
          <w:rFonts w:eastAsiaTheme="majorEastAsia"/>
          <w:b/>
          <w:bCs/>
          <w:sz w:val="22"/>
          <w:szCs w:val="20"/>
          <w:lang w:val="lt-LT"/>
        </w:rPr>
        <w:t xml:space="preserve"> rodikli</w:t>
      </w:r>
      <w:r w:rsidR="0030422A">
        <w:rPr>
          <w:rFonts w:eastAsiaTheme="majorEastAsia"/>
          <w:b/>
          <w:bCs/>
          <w:sz w:val="22"/>
          <w:szCs w:val="20"/>
          <w:lang w:val="lt-LT"/>
        </w:rPr>
        <w:t>us</w:t>
      </w:r>
    </w:p>
    <w:p w:rsidR="00A21463" w:rsidRPr="00A21463" w:rsidRDefault="00A21463" w:rsidP="00A21463">
      <w:pPr>
        <w:spacing w:after="0" w:line="240" w:lineRule="auto"/>
        <w:ind w:firstLine="851"/>
        <w:jc w:val="center"/>
        <w:rPr>
          <w:rFonts w:eastAsiaTheme="majorEastAsia"/>
          <w:b/>
          <w:bCs/>
          <w:sz w:val="20"/>
          <w:szCs w:val="18"/>
          <w:lang w:val="lt-LT"/>
        </w:rPr>
      </w:pPr>
    </w:p>
    <w:tbl>
      <w:tblPr>
        <w:tblStyle w:val="TableGrid"/>
        <w:tblW w:w="5000" w:type="pct"/>
        <w:tblLook w:val="04A0" w:firstRow="1" w:lastRow="0" w:firstColumn="1" w:lastColumn="0" w:noHBand="0" w:noVBand="1"/>
      </w:tblPr>
      <w:tblGrid>
        <w:gridCol w:w="745"/>
        <w:gridCol w:w="1595"/>
        <w:gridCol w:w="1676"/>
        <w:gridCol w:w="1563"/>
        <w:gridCol w:w="1674"/>
        <w:gridCol w:w="897"/>
        <w:gridCol w:w="795"/>
        <w:gridCol w:w="910"/>
      </w:tblGrid>
      <w:tr w:rsidR="00B773B5" w:rsidRPr="00291548" w:rsidTr="00B773B5">
        <w:tc>
          <w:tcPr>
            <w:tcW w:w="392" w:type="pct"/>
            <w:tcBorders>
              <w:bottom w:val="single" w:sz="18" w:space="0" w:color="auto"/>
              <w:right w:val="single" w:sz="18" w:space="0" w:color="auto"/>
              <w:tl2br w:val="single" w:sz="4" w:space="0" w:color="auto"/>
            </w:tcBorders>
          </w:tcPr>
          <w:p w:rsidR="00B773B5" w:rsidRPr="00291548" w:rsidRDefault="00B773B5" w:rsidP="00310DFF">
            <w:pPr>
              <w:spacing w:line="240" w:lineRule="auto"/>
              <w:jc w:val="right"/>
              <w:rPr>
                <w:rFonts w:eastAsiaTheme="majorEastAsia"/>
                <w:b/>
                <w:bCs/>
                <w:lang w:val="lt-LT"/>
              </w:rPr>
            </w:pPr>
            <w:r w:rsidRPr="00291548">
              <w:rPr>
                <w:rFonts w:eastAsiaTheme="majorEastAsia"/>
                <w:b/>
                <w:bCs/>
                <w:lang w:val="lt-LT"/>
              </w:rPr>
              <w:t>Rod</w:t>
            </w:r>
            <w:r>
              <w:rPr>
                <w:rFonts w:eastAsiaTheme="majorEastAsia"/>
                <w:b/>
                <w:bCs/>
                <w:lang w:val="lt-LT"/>
              </w:rPr>
              <w:t>.</w:t>
            </w:r>
          </w:p>
          <w:p w:rsidR="00B773B5" w:rsidRPr="00291548" w:rsidRDefault="00B773B5" w:rsidP="00A21463">
            <w:pPr>
              <w:spacing w:line="240" w:lineRule="auto"/>
              <w:rPr>
                <w:rFonts w:eastAsiaTheme="majorEastAsia"/>
                <w:b/>
                <w:bCs/>
                <w:lang w:val="lt-LT"/>
              </w:rPr>
            </w:pPr>
            <w:r w:rsidRPr="00291548">
              <w:rPr>
                <w:rFonts w:eastAsiaTheme="majorEastAsia"/>
                <w:b/>
                <w:bCs/>
                <w:lang w:val="lt-LT"/>
              </w:rPr>
              <w:t>Įm</w:t>
            </w:r>
            <w:r>
              <w:rPr>
                <w:rFonts w:eastAsiaTheme="majorEastAsia"/>
                <w:b/>
                <w:bCs/>
                <w:lang w:val="lt-LT"/>
              </w:rPr>
              <w:t>.</w:t>
            </w:r>
          </w:p>
        </w:tc>
        <w:tc>
          <w:tcPr>
            <w:tcW w:w="823" w:type="pct"/>
            <w:tcBorders>
              <w:left w:val="single" w:sz="18" w:space="0" w:color="auto"/>
              <w:bottom w:val="single" w:sz="18" w:space="0" w:color="auto"/>
            </w:tcBorders>
            <w:vAlign w:val="center"/>
          </w:tcPr>
          <w:p w:rsidR="00B773B5" w:rsidRPr="00291548" w:rsidRDefault="00B773B5" w:rsidP="00A21463">
            <w:pPr>
              <w:spacing w:line="240" w:lineRule="auto"/>
              <w:jc w:val="center"/>
              <w:rPr>
                <w:rFonts w:asciiTheme="majorBidi" w:hAnsiTheme="majorBidi" w:cstheme="majorBidi"/>
                <w:b/>
                <w:bCs/>
                <w:lang w:val="lt-LT"/>
              </w:rPr>
            </w:pPr>
            <w:r w:rsidRPr="00291548">
              <w:rPr>
                <w:b/>
                <w:bCs/>
                <w:lang w:val="lt-LT"/>
              </w:rPr>
              <w:t>Einamasis likvidumas</w:t>
            </w:r>
          </w:p>
        </w:tc>
        <w:tc>
          <w:tcPr>
            <w:tcW w:w="864" w:type="pct"/>
            <w:tcBorders>
              <w:bottom w:val="single" w:sz="18" w:space="0" w:color="auto"/>
            </w:tcBorders>
            <w:vAlign w:val="center"/>
          </w:tcPr>
          <w:p w:rsidR="00B773B5" w:rsidRPr="00291548" w:rsidRDefault="00B773B5" w:rsidP="00A21463">
            <w:pPr>
              <w:spacing w:line="240" w:lineRule="auto"/>
              <w:ind w:left="-59"/>
              <w:jc w:val="center"/>
              <w:rPr>
                <w:rFonts w:asciiTheme="majorBidi" w:hAnsiTheme="majorBidi" w:cstheme="majorBidi"/>
                <w:b/>
                <w:bCs/>
                <w:lang w:val="lt-LT"/>
              </w:rPr>
            </w:pPr>
            <w:r w:rsidRPr="00291548">
              <w:rPr>
                <w:rFonts w:asciiTheme="majorBidi" w:hAnsiTheme="majorBidi" w:cstheme="majorBidi"/>
                <w:b/>
                <w:bCs/>
                <w:lang w:val="lt-LT"/>
              </w:rPr>
              <w:t>Įsiskolinimų koeficientas</w:t>
            </w:r>
          </w:p>
        </w:tc>
        <w:tc>
          <w:tcPr>
            <w:tcW w:w="755" w:type="pct"/>
            <w:tcBorders>
              <w:bottom w:val="single" w:sz="18" w:space="0" w:color="auto"/>
            </w:tcBorders>
            <w:vAlign w:val="center"/>
          </w:tcPr>
          <w:p w:rsidR="00B773B5" w:rsidRPr="00291548" w:rsidRDefault="00B773B5" w:rsidP="004D709B">
            <w:pPr>
              <w:spacing w:line="240" w:lineRule="auto"/>
              <w:jc w:val="center"/>
              <w:rPr>
                <w:rFonts w:asciiTheme="majorBidi" w:hAnsiTheme="majorBidi" w:cstheme="majorBidi"/>
                <w:b/>
                <w:bCs/>
                <w:lang w:val="lt-LT"/>
              </w:rPr>
            </w:pPr>
            <w:r w:rsidRPr="00291548">
              <w:rPr>
                <w:rFonts w:asciiTheme="majorBidi" w:hAnsiTheme="majorBidi" w:cstheme="majorBidi"/>
                <w:b/>
                <w:bCs/>
                <w:lang w:val="lt-LT"/>
              </w:rPr>
              <w:t>Turto</w:t>
            </w:r>
            <w:r>
              <w:rPr>
                <w:rFonts w:asciiTheme="majorBidi" w:hAnsiTheme="majorBidi" w:cstheme="majorBidi"/>
                <w:b/>
                <w:bCs/>
                <w:lang w:val="lt-LT"/>
              </w:rPr>
              <w:t xml:space="preserve"> apyvartumas</w:t>
            </w:r>
          </w:p>
        </w:tc>
        <w:tc>
          <w:tcPr>
            <w:tcW w:w="863" w:type="pct"/>
            <w:tcBorders>
              <w:bottom w:val="single" w:sz="18" w:space="0" w:color="auto"/>
            </w:tcBorders>
            <w:vAlign w:val="center"/>
          </w:tcPr>
          <w:p w:rsidR="00B773B5" w:rsidRPr="00291548" w:rsidRDefault="00B773B5" w:rsidP="00A21463">
            <w:pPr>
              <w:spacing w:line="240" w:lineRule="auto"/>
              <w:jc w:val="center"/>
              <w:rPr>
                <w:b/>
                <w:bCs/>
                <w:lang w:val="lt-LT"/>
              </w:rPr>
            </w:pPr>
            <w:r w:rsidRPr="00291548">
              <w:rPr>
                <w:rFonts w:asciiTheme="majorBidi" w:hAnsiTheme="majorBidi" w:cstheme="majorBidi"/>
                <w:b/>
                <w:bCs/>
                <w:lang w:val="lt-LT"/>
              </w:rPr>
              <w:t>Grynasis pelningumas</w:t>
            </w:r>
          </w:p>
        </w:tc>
        <w:tc>
          <w:tcPr>
            <w:tcW w:w="469" w:type="pct"/>
            <w:tcBorders>
              <w:bottom w:val="single" w:sz="18" w:space="0" w:color="auto"/>
            </w:tcBorders>
            <w:vAlign w:val="center"/>
          </w:tcPr>
          <w:p w:rsidR="00B773B5" w:rsidRPr="00291548" w:rsidRDefault="00B773B5" w:rsidP="00843657">
            <w:pPr>
              <w:spacing w:line="240" w:lineRule="auto"/>
              <w:jc w:val="center"/>
              <w:rPr>
                <w:b/>
                <w:bCs/>
                <w:lang w:val="lt-LT"/>
              </w:rPr>
            </w:pPr>
            <w:r w:rsidRPr="00291548">
              <w:rPr>
                <w:b/>
                <w:bCs/>
                <w:lang w:val="lt-LT"/>
              </w:rPr>
              <w:t>ROA</w:t>
            </w:r>
          </w:p>
        </w:tc>
        <w:tc>
          <w:tcPr>
            <w:tcW w:w="417" w:type="pct"/>
            <w:tcBorders>
              <w:bottom w:val="single" w:sz="18" w:space="0" w:color="auto"/>
            </w:tcBorders>
            <w:vAlign w:val="center"/>
          </w:tcPr>
          <w:p w:rsidR="00B773B5" w:rsidRPr="00291548" w:rsidRDefault="00B773B5" w:rsidP="00843657">
            <w:pPr>
              <w:spacing w:line="240" w:lineRule="auto"/>
              <w:jc w:val="center"/>
              <w:rPr>
                <w:b/>
                <w:bCs/>
                <w:lang w:val="lt-LT"/>
              </w:rPr>
            </w:pPr>
            <w:r w:rsidRPr="00291548">
              <w:rPr>
                <w:b/>
                <w:bCs/>
                <w:lang w:val="lt-LT"/>
              </w:rPr>
              <w:t>ROE</w:t>
            </w:r>
          </w:p>
        </w:tc>
        <w:tc>
          <w:tcPr>
            <w:tcW w:w="417" w:type="pct"/>
            <w:tcBorders>
              <w:bottom w:val="single" w:sz="18" w:space="0" w:color="auto"/>
            </w:tcBorders>
          </w:tcPr>
          <w:p w:rsidR="00B773B5" w:rsidRPr="00291548" w:rsidRDefault="00B773B5" w:rsidP="00843657">
            <w:pPr>
              <w:spacing w:line="240" w:lineRule="auto"/>
              <w:jc w:val="center"/>
              <w:rPr>
                <w:b/>
                <w:bCs/>
                <w:lang w:val="lt-LT"/>
              </w:rPr>
            </w:pPr>
            <w:r>
              <w:rPr>
                <w:b/>
                <w:bCs/>
                <w:lang w:val="lt-LT"/>
              </w:rPr>
              <w:t>Sum. rangas</w:t>
            </w:r>
          </w:p>
        </w:tc>
      </w:tr>
      <w:tr w:rsidR="00B773B5" w:rsidRPr="00291548" w:rsidTr="00B773B5">
        <w:tc>
          <w:tcPr>
            <w:tcW w:w="392" w:type="pct"/>
            <w:tcBorders>
              <w:top w:val="single" w:sz="18" w:space="0" w:color="auto"/>
              <w:right w:val="single" w:sz="18" w:space="0" w:color="auto"/>
            </w:tcBorders>
          </w:tcPr>
          <w:p w:rsidR="00B773B5" w:rsidRPr="00291548" w:rsidRDefault="00B773B5" w:rsidP="00A21463">
            <w:pPr>
              <w:spacing w:line="240" w:lineRule="auto"/>
              <w:rPr>
                <w:rFonts w:eastAsiaTheme="majorEastAsia"/>
                <w:b/>
                <w:bCs/>
                <w:lang w:val="lt-LT"/>
              </w:rPr>
            </w:pPr>
            <w:r w:rsidRPr="00291548">
              <w:rPr>
                <w:rFonts w:eastAsiaTheme="majorEastAsia"/>
                <w:b/>
                <w:bCs/>
                <w:lang w:val="lt-LT"/>
              </w:rPr>
              <w:t>A</w:t>
            </w:r>
          </w:p>
        </w:tc>
        <w:tc>
          <w:tcPr>
            <w:tcW w:w="823" w:type="pct"/>
            <w:tcBorders>
              <w:top w:val="single" w:sz="18" w:space="0" w:color="auto"/>
              <w:left w:val="single" w:sz="18" w:space="0" w:color="auto"/>
            </w:tcBorders>
          </w:tcPr>
          <w:p w:rsidR="00B773B5" w:rsidRPr="00291548" w:rsidRDefault="00B773B5" w:rsidP="00A21463">
            <w:pPr>
              <w:spacing w:line="240" w:lineRule="auto"/>
              <w:jc w:val="center"/>
              <w:rPr>
                <w:rFonts w:eastAsiaTheme="majorEastAsia"/>
                <w:lang w:val="lt-LT"/>
              </w:rPr>
            </w:pPr>
            <w:r>
              <w:rPr>
                <w:rFonts w:eastAsiaTheme="majorEastAsia"/>
                <w:lang w:val="lt-LT"/>
              </w:rPr>
              <w:t>1</w:t>
            </w:r>
          </w:p>
        </w:tc>
        <w:tc>
          <w:tcPr>
            <w:tcW w:w="864" w:type="pct"/>
            <w:tcBorders>
              <w:top w:val="single" w:sz="18" w:space="0" w:color="auto"/>
            </w:tcBorders>
          </w:tcPr>
          <w:p w:rsidR="00B773B5" w:rsidRPr="00291548" w:rsidRDefault="00B773B5" w:rsidP="00A21463">
            <w:pPr>
              <w:spacing w:line="240" w:lineRule="auto"/>
              <w:jc w:val="center"/>
              <w:rPr>
                <w:rFonts w:eastAsiaTheme="majorEastAsia"/>
                <w:lang w:val="lt-LT"/>
              </w:rPr>
            </w:pPr>
            <w:r>
              <w:rPr>
                <w:rFonts w:eastAsiaTheme="majorEastAsia"/>
                <w:lang w:val="lt-LT"/>
              </w:rPr>
              <w:t>1</w:t>
            </w:r>
          </w:p>
        </w:tc>
        <w:tc>
          <w:tcPr>
            <w:tcW w:w="755" w:type="pct"/>
            <w:tcBorders>
              <w:top w:val="single" w:sz="18" w:space="0" w:color="auto"/>
            </w:tcBorders>
          </w:tcPr>
          <w:p w:rsidR="00B773B5" w:rsidRPr="00291548" w:rsidRDefault="00B773B5" w:rsidP="00A21463">
            <w:pPr>
              <w:spacing w:line="240" w:lineRule="auto"/>
              <w:jc w:val="center"/>
              <w:rPr>
                <w:rFonts w:eastAsiaTheme="majorEastAsia"/>
                <w:lang w:val="lt-LT"/>
              </w:rPr>
            </w:pPr>
            <w:r>
              <w:rPr>
                <w:rFonts w:eastAsiaTheme="majorEastAsia"/>
                <w:lang w:val="lt-LT"/>
              </w:rPr>
              <w:t>2</w:t>
            </w:r>
          </w:p>
        </w:tc>
        <w:tc>
          <w:tcPr>
            <w:tcW w:w="863" w:type="pct"/>
            <w:tcBorders>
              <w:top w:val="single" w:sz="18" w:space="0" w:color="auto"/>
            </w:tcBorders>
          </w:tcPr>
          <w:p w:rsidR="00B773B5" w:rsidRPr="00291548" w:rsidRDefault="00B773B5" w:rsidP="00A21463">
            <w:pPr>
              <w:spacing w:line="240" w:lineRule="auto"/>
              <w:jc w:val="center"/>
              <w:rPr>
                <w:rFonts w:eastAsiaTheme="majorEastAsia"/>
                <w:lang w:val="lt-LT"/>
              </w:rPr>
            </w:pPr>
            <w:r>
              <w:rPr>
                <w:rFonts w:eastAsiaTheme="majorEastAsia"/>
                <w:lang w:val="lt-LT"/>
              </w:rPr>
              <w:t>1</w:t>
            </w:r>
          </w:p>
        </w:tc>
        <w:tc>
          <w:tcPr>
            <w:tcW w:w="469" w:type="pct"/>
            <w:tcBorders>
              <w:top w:val="single" w:sz="18" w:space="0" w:color="auto"/>
            </w:tcBorders>
          </w:tcPr>
          <w:p w:rsidR="00B773B5" w:rsidRPr="00291548" w:rsidRDefault="00B773B5" w:rsidP="00A21463">
            <w:pPr>
              <w:spacing w:line="240" w:lineRule="auto"/>
              <w:jc w:val="center"/>
              <w:rPr>
                <w:rFonts w:eastAsiaTheme="majorEastAsia"/>
                <w:lang w:val="lt-LT"/>
              </w:rPr>
            </w:pPr>
            <w:r>
              <w:rPr>
                <w:rFonts w:eastAsiaTheme="majorEastAsia"/>
                <w:lang w:val="lt-LT"/>
              </w:rPr>
              <w:t>1</w:t>
            </w:r>
          </w:p>
        </w:tc>
        <w:tc>
          <w:tcPr>
            <w:tcW w:w="417" w:type="pct"/>
            <w:tcBorders>
              <w:top w:val="single" w:sz="18" w:space="0" w:color="auto"/>
            </w:tcBorders>
          </w:tcPr>
          <w:p w:rsidR="00B773B5" w:rsidRPr="00291548" w:rsidRDefault="00B773B5" w:rsidP="00A21463">
            <w:pPr>
              <w:spacing w:line="240" w:lineRule="auto"/>
              <w:jc w:val="center"/>
              <w:rPr>
                <w:rFonts w:eastAsiaTheme="majorEastAsia"/>
                <w:lang w:val="lt-LT"/>
              </w:rPr>
            </w:pPr>
            <w:r>
              <w:rPr>
                <w:rFonts w:eastAsiaTheme="majorEastAsia"/>
                <w:lang w:val="lt-LT"/>
              </w:rPr>
              <w:t>1</w:t>
            </w:r>
          </w:p>
        </w:tc>
        <w:tc>
          <w:tcPr>
            <w:tcW w:w="417" w:type="pct"/>
            <w:tcBorders>
              <w:top w:val="single" w:sz="18" w:space="0" w:color="auto"/>
            </w:tcBorders>
          </w:tcPr>
          <w:p w:rsidR="00B773B5" w:rsidRDefault="00B773B5" w:rsidP="00A21463">
            <w:pPr>
              <w:spacing w:line="240" w:lineRule="auto"/>
              <w:jc w:val="center"/>
              <w:rPr>
                <w:rFonts w:eastAsiaTheme="majorEastAsia"/>
                <w:lang w:val="lt-LT"/>
              </w:rPr>
            </w:pPr>
            <w:r>
              <w:rPr>
                <w:rFonts w:eastAsiaTheme="majorEastAsia"/>
                <w:lang w:val="lt-LT"/>
              </w:rPr>
              <w:t>7</w:t>
            </w:r>
          </w:p>
        </w:tc>
      </w:tr>
      <w:tr w:rsidR="00B773B5" w:rsidRPr="00291548" w:rsidTr="00B773B5">
        <w:tc>
          <w:tcPr>
            <w:tcW w:w="392" w:type="pct"/>
            <w:tcBorders>
              <w:right w:val="single" w:sz="18" w:space="0" w:color="auto"/>
            </w:tcBorders>
          </w:tcPr>
          <w:p w:rsidR="00B773B5" w:rsidRPr="00291548" w:rsidRDefault="00B773B5" w:rsidP="00A21463">
            <w:pPr>
              <w:spacing w:line="240" w:lineRule="auto"/>
              <w:rPr>
                <w:rFonts w:eastAsiaTheme="majorEastAsia"/>
                <w:b/>
                <w:bCs/>
                <w:lang w:val="lt-LT"/>
              </w:rPr>
            </w:pPr>
            <w:r w:rsidRPr="00291548">
              <w:rPr>
                <w:rFonts w:eastAsiaTheme="majorEastAsia"/>
                <w:b/>
                <w:bCs/>
                <w:lang w:val="lt-LT"/>
              </w:rPr>
              <w:t>D</w:t>
            </w:r>
          </w:p>
        </w:tc>
        <w:tc>
          <w:tcPr>
            <w:tcW w:w="823" w:type="pct"/>
            <w:tcBorders>
              <w:left w:val="single" w:sz="18" w:space="0" w:color="auto"/>
            </w:tcBorders>
          </w:tcPr>
          <w:p w:rsidR="00B773B5" w:rsidRPr="00291548" w:rsidRDefault="00B773B5" w:rsidP="00A21463">
            <w:pPr>
              <w:spacing w:line="240" w:lineRule="auto"/>
              <w:jc w:val="center"/>
              <w:rPr>
                <w:rFonts w:eastAsiaTheme="majorEastAsia"/>
                <w:lang w:val="lt-LT"/>
              </w:rPr>
            </w:pPr>
            <w:r>
              <w:rPr>
                <w:rFonts w:eastAsiaTheme="majorEastAsia"/>
                <w:lang w:val="lt-LT"/>
              </w:rPr>
              <w:t>2</w:t>
            </w:r>
          </w:p>
        </w:tc>
        <w:tc>
          <w:tcPr>
            <w:tcW w:w="864" w:type="pct"/>
          </w:tcPr>
          <w:p w:rsidR="00B773B5" w:rsidRPr="00291548" w:rsidRDefault="00B773B5" w:rsidP="00A21463">
            <w:pPr>
              <w:spacing w:line="240" w:lineRule="auto"/>
              <w:jc w:val="center"/>
              <w:rPr>
                <w:rFonts w:eastAsiaTheme="majorEastAsia"/>
                <w:lang w:val="lt-LT"/>
              </w:rPr>
            </w:pPr>
            <w:r>
              <w:rPr>
                <w:rFonts w:eastAsiaTheme="majorEastAsia"/>
                <w:lang w:val="lt-LT"/>
              </w:rPr>
              <w:t>2</w:t>
            </w:r>
          </w:p>
        </w:tc>
        <w:tc>
          <w:tcPr>
            <w:tcW w:w="755" w:type="pct"/>
          </w:tcPr>
          <w:p w:rsidR="00B773B5" w:rsidRPr="00291548" w:rsidRDefault="00B773B5" w:rsidP="00A21463">
            <w:pPr>
              <w:spacing w:line="240" w:lineRule="auto"/>
              <w:jc w:val="center"/>
              <w:rPr>
                <w:rFonts w:eastAsiaTheme="majorEastAsia"/>
                <w:lang w:val="lt-LT"/>
              </w:rPr>
            </w:pPr>
            <w:r>
              <w:rPr>
                <w:rFonts w:eastAsiaTheme="majorEastAsia"/>
                <w:lang w:val="lt-LT"/>
              </w:rPr>
              <w:t>1</w:t>
            </w:r>
          </w:p>
        </w:tc>
        <w:tc>
          <w:tcPr>
            <w:tcW w:w="863" w:type="pct"/>
          </w:tcPr>
          <w:p w:rsidR="00B773B5" w:rsidRPr="00291548" w:rsidRDefault="00B773B5" w:rsidP="00A21463">
            <w:pPr>
              <w:spacing w:line="240" w:lineRule="auto"/>
              <w:jc w:val="center"/>
              <w:rPr>
                <w:rFonts w:eastAsiaTheme="majorEastAsia"/>
                <w:lang w:val="lt-LT"/>
              </w:rPr>
            </w:pPr>
            <w:r>
              <w:rPr>
                <w:rFonts w:eastAsiaTheme="majorEastAsia"/>
                <w:lang w:val="lt-LT"/>
              </w:rPr>
              <w:t>2</w:t>
            </w:r>
          </w:p>
        </w:tc>
        <w:tc>
          <w:tcPr>
            <w:tcW w:w="469" w:type="pct"/>
          </w:tcPr>
          <w:p w:rsidR="00B773B5" w:rsidRPr="00291548" w:rsidRDefault="00B773B5" w:rsidP="00A21463">
            <w:pPr>
              <w:spacing w:line="240" w:lineRule="auto"/>
              <w:jc w:val="center"/>
              <w:rPr>
                <w:rFonts w:eastAsiaTheme="majorEastAsia"/>
                <w:lang w:val="lt-LT"/>
              </w:rPr>
            </w:pPr>
            <w:r>
              <w:rPr>
                <w:rFonts w:eastAsiaTheme="majorEastAsia"/>
                <w:lang w:val="lt-LT"/>
              </w:rPr>
              <w:t>2</w:t>
            </w:r>
          </w:p>
        </w:tc>
        <w:tc>
          <w:tcPr>
            <w:tcW w:w="417" w:type="pct"/>
          </w:tcPr>
          <w:p w:rsidR="00B773B5" w:rsidRPr="00291548" w:rsidRDefault="00B773B5" w:rsidP="00A21463">
            <w:pPr>
              <w:spacing w:line="240" w:lineRule="auto"/>
              <w:jc w:val="center"/>
              <w:rPr>
                <w:rFonts w:eastAsiaTheme="majorEastAsia"/>
                <w:lang w:val="lt-LT"/>
              </w:rPr>
            </w:pPr>
            <w:r>
              <w:rPr>
                <w:rFonts w:eastAsiaTheme="majorEastAsia"/>
                <w:lang w:val="lt-LT"/>
              </w:rPr>
              <w:t>2</w:t>
            </w:r>
          </w:p>
        </w:tc>
        <w:tc>
          <w:tcPr>
            <w:tcW w:w="417" w:type="pct"/>
          </w:tcPr>
          <w:p w:rsidR="00B773B5" w:rsidRDefault="00B773B5" w:rsidP="00A21463">
            <w:pPr>
              <w:spacing w:line="240" w:lineRule="auto"/>
              <w:jc w:val="center"/>
              <w:rPr>
                <w:rFonts w:eastAsiaTheme="majorEastAsia"/>
                <w:lang w:val="lt-LT"/>
              </w:rPr>
            </w:pPr>
            <w:r>
              <w:rPr>
                <w:rFonts w:eastAsiaTheme="majorEastAsia"/>
                <w:lang w:val="lt-LT"/>
              </w:rPr>
              <w:t>11</w:t>
            </w:r>
          </w:p>
        </w:tc>
      </w:tr>
    </w:tbl>
    <w:p w:rsidR="00A21463" w:rsidRDefault="00A21463" w:rsidP="005E6E97">
      <w:pPr>
        <w:spacing w:after="0" w:line="240" w:lineRule="auto"/>
        <w:rPr>
          <w:rFonts w:eastAsiaTheme="majorEastAsia"/>
          <w:sz w:val="20"/>
          <w:szCs w:val="18"/>
          <w:lang w:val="lt-LT"/>
        </w:rPr>
      </w:pPr>
      <w:r>
        <w:rPr>
          <w:rFonts w:eastAsiaTheme="majorEastAsia"/>
          <w:sz w:val="20"/>
          <w:szCs w:val="18"/>
          <w:lang w:val="lt-LT"/>
        </w:rPr>
        <w:t xml:space="preserve">Pastaba: lentelė sudaryta autorės. Joje pateikiamos </w:t>
      </w:r>
      <w:r w:rsidR="00B44945">
        <w:rPr>
          <w:rFonts w:eastAsiaTheme="majorEastAsia"/>
          <w:sz w:val="20"/>
          <w:szCs w:val="18"/>
          <w:lang w:val="lt-LT"/>
        </w:rPr>
        <w:t xml:space="preserve">pagal efektyvumą </w:t>
      </w:r>
      <w:r>
        <w:rPr>
          <w:rFonts w:eastAsiaTheme="majorEastAsia"/>
          <w:sz w:val="20"/>
          <w:szCs w:val="18"/>
          <w:lang w:val="lt-LT"/>
        </w:rPr>
        <w:t>suranguot</w:t>
      </w:r>
      <w:r w:rsidR="00EC4E03">
        <w:rPr>
          <w:rFonts w:eastAsiaTheme="majorEastAsia"/>
          <w:sz w:val="20"/>
          <w:szCs w:val="18"/>
          <w:lang w:val="lt-LT"/>
        </w:rPr>
        <w:t>o</w:t>
      </w:r>
      <w:r>
        <w:rPr>
          <w:rFonts w:eastAsiaTheme="majorEastAsia"/>
          <w:sz w:val="20"/>
          <w:szCs w:val="18"/>
          <w:lang w:val="lt-LT"/>
        </w:rPr>
        <w:t>s įmonės A ir D, 1 – efektyviausia, 2 – mažiau efektyvi.</w:t>
      </w:r>
      <w:r w:rsidR="00843657">
        <w:rPr>
          <w:rFonts w:eastAsiaTheme="majorEastAsia"/>
          <w:sz w:val="20"/>
          <w:szCs w:val="18"/>
          <w:lang w:val="lt-LT"/>
        </w:rPr>
        <w:t xml:space="preserve"> Remiamasi įmonių A ir D finansiniais duomenimis.</w:t>
      </w:r>
    </w:p>
    <w:p w:rsidR="007920A8" w:rsidRDefault="007920A8" w:rsidP="00A21463">
      <w:pPr>
        <w:spacing w:after="0" w:line="240" w:lineRule="auto"/>
        <w:rPr>
          <w:rFonts w:eastAsiaTheme="majorEastAsia"/>
          <w:sz w:val="14"/>
          <w:szCs w:val="12"/>
          <w:lang w:val="lt-LT"/>
        </w:rPr>
      </w:pPr>
    </w:p>
    <w:p w:rsidR="007920A8" w:rsidRDefault="007920A8" w:rsidP="006C4A84">
      <w:pPr>
        <w:spacing w:after="0"/>
        <w:ind w:firstLine="851"/>
        <w:rPr>
          <w:rFonts w:eastAsiaTheme="majorEastAsia"/>
          <w:lang w:val="lt-LT"/>
        </w:rPr>
      </w:pPr>
      <w:r>
        <w:rPr>
          <w:rFonts w:eastAsiaTheme="majorEastAsia"/>
          <w:lang w:val="lt-LT"/>
        </w:rPr>
        <w:t>Siekiant įvertinti, kurios įmonės efektyviausiai panaudojo ES finansinę pa</w:t>
      </w:r>
      <w:r w:rsidR="00B44945">
        <w:rPr>
          <w:rFonts w:eastAsiaTheme="majorEastAsia"/>
          <w:lang w:val="lt-LT"/>
        </w:rPr>
        <w:t>ramą buvo nuspręsta suskirstyti</w:t>
      </w:r>
      <w:r>
        <w:rPr>
          <w:rFonts w:eastAsiaTheme="majorEastAsia"/>
          <w:lang w:val="lt-LT"/>
        </w:rPr>
        <w:t xml:space="preserve"> įmones į</w:t>
      </w:r>
      <w:r w:rsidR="00B44945">
        <w:rPr>
          <w:rFonts w:eastAsiaTheme="majorEastAsia"/>
          <w:lang w:val="lt-LT"/>
        </w:rPr>
        <w:t xml:space="preserve"> dvi grupes. 30 lentelėje matomos</w:t>
      </w:r>
      <w:r>
        <w:rPr>
          <w:rFonts w:eastAsiaTheme="majorEastAsia"/>
          <w:lang w:val="lt-LT"/>
        </w:rPr>
        <w:t xml:space="preserve"> </w:t>
      </w:r>
      <w:r w:rsidR="006C4A84">
        <w:rPr>
          <w:rFonts w:eastAsiaTheme="majorEastAsia"/>
          <w:lang w:val="lt-LT"/>
        </w:rPr>
        <w:t xml:space="preserve">įmonės A ir D, kurios </w:t>
      </w:r>
      <w:r>
        <w:rPr>
          <w:rFonts w:eastAsiaTheme="majorEastAsia"/>
          <w:lang w:val="lt-LT"/>
        </w:rPr>
        <w:t>suranguotos pagal veikimo trukmę. Tad lentelė</w:t>
      </w:r>
      <w:r w:rsidR="00B773B5">
        <w:rPr>
          <w:rFonts w:eastAsiaTheme="majorEastAsia"/>
          <w:lang w:val="lt-LT"/>
        </w:rPr>
        <w:t xml:space="preserve"> esantis suminis rangas</w:t>
      </w:r>
      <w:r>
        <w:rPr>
          <w:rFonts w:eastAsiaTheme="majorEastAsia"/>
          <w:lang w:val="lt-LT"/>
        </w:rPr>
        <w:t xml:space="preserve"> atskleidžia, kad</w:t>
      </w:r>
      <w:r w:rsidR="006C4A84">
        <w:rPr>
          <w:rFonts w:eastAsiaTheme="majorEastAsia"/>
          <w:lang w:val="lt-LT"/>
        </w:rPr>
        <w:t xml:space="preserve"> pagal 2013 m. pasirinktus</w:t>
      </w:r>
      <w:r>
        <w:rPr>
          <w:rFonts w:eastAsiaTheme="majorEastAsia"/>
          <w:lang w:val="lt-LT"/>
        </w:rPr>
        <w:t xml:space="preserve"> </w:t>
      </w:r>
      <w:r w:rsidR="006C4A84">
        <w:rPr>
          <w:rFonts w:eastAsiaTheme="majorEastAsia"/>
          <w:lang w:val="lt-LT"/>
        </w:rPr>
        <w:t xml:space="preserve">finansinius </w:t>
      </w:r>
      <w:r>
        <w:rPr>
          <w:rFonts w:eastAsiaTheme="majorEastAsia"/>
          <w:lang w:val="lt-LT"/>
        </w:rPr>
        <w:t>rodiklius įmonė A yra daug efektyviau</w:t>
      </w:r>
      <w:r w:rsidR="00F67BF0">
        <w:rPr>
          <w:rFonts w:eastAsiaTheme="majorEastAsia"/>
          <w:lang w:val="lt-LT"/>
        </w:rPr>
        <w:t xml:space="preserve"> veikianti</w:t>
      </w:r>
      <w:r w:rsidR="00B44945">
        <w:rPr>
          <w:rFonts w:eastAsiaTheme="majorEastAsia"/>
          <w:lang w:val="lt-LT"/>
        </w:rPr>
        <w:t xml:space="preserve"> įsisavinus</w:t>
      </w:r>
      <w:r w:rsidR="008122D7">
        <w:rPr>
          <w:rFonts w:eastAsiaTheme="majorEastAsia"/>
          <w:lang w:val="lt-LT"/>
        </w:rPr>
        <w:t xml:space="preserve"> ES finansinę paramą</w:t>
      </w:r>
      <w:r w:rsidR="00B773B5">
        <w:rPr>
          <w:rFonts w:eastAsiaTheme="majorEastAsia"/>
          <w:lang w:val="lt-LT"/>
        </w:rPr>
        <w:t>, nes jos rangas mažesnis</w:t>
      </w:r>
      <w:r w:rsidR="008122D7">
        <w:rPr>
          <w:rFonts w:eastAsiaTheme="majorEastAsia"/>
          <w:lang w:val="lt-LT"/>
        </w:rPr>
        <w:t>.</w:t>
      </w:r>
      <w:r w:rsidR="006C4A84">
        <w:rPr>
          <w:rFonts w:eastAsiaTheme="majorEastAsia"/>
          <w:lang w:val="lt-LT"/>
        </w:rPr>
        <w:t xml:space="preserve"> </w:t>
      </w:r>
      <w:r w:rsidR="008122D7">
        <w:rPr>
          <w:rFonts w:eastAsiaTheme="majorEastAsia"/>
          <w:lang w:val="lt-LT"/>
        </w:rPr>
        <w:t>T</w:t>
      </w:r>
      <w:r>
        <w:rPr>
          <w:rFonts w:eastAsiaTheme="majorEastAsia"/>
          <w:lang w:val="lt-LT"/>
        </w:rPr>
        <w:t xml:space="preserve">ik </w:t>
      </w:r>
      <w:r w:rsidR="004D709B">
        <w:rPr>
          <w:rFonts w:eastAsiaTheme="majorEastAsia"/>
          <w:lang w:val="lt-LT"/>
        </w:rPr>
        <w:t xml:space="preserve">turto apyvartumas </w:t>
      </w:r>
      <w:r w:rsidR="008122D7">
        <w:rPr>
          <w:rFonts w:eastAsiaTheme="majorEastAsia"/>
          <w:lang w:val="lt-LT"/>
        </w:rPr>
        <w:t>įmonė</w:t>
      </w:r>
      <w:r w:rsidR="00B773B5">
        <w:rPr>
          <w:rFonts w:eastAsiaTheme="majorEastAsia"/>
          <w:lang w:val="lt-LT"/>
        </w:rPr>
        <w:t>s</w:t>
      </w:r>
      <w:r w:rsidR="008122D7">
        <w:rPr>
          <w:rFonts w:eastAsiaTheme="majorEastAsia"/>
          <w:lang w:val="lt-LT"/>
        </w:rPr>
        <w:t xml:space="preserve"> D </w:t>
      </w:r>
      <w:r w:rsidR="004D709B">
        <w:rPr>
          <w:rFonts w:eastAsiaTheme="majorEastAsia"/>
          <w:lang w:val="lt-LT"/>
        </w:rPr>
        <w:t>yra aukštesnis</w:t>
      </w:r>
      <w:r>
        <w:rPr>
          <w:rFonts w:eastAsiaTheme="majorEastAsia"/>
          <w:lang w:val="lt-LT"/>
        </w:rPr>
        <w:t>.</w:t>
      </w:r>
    </w:p>
    <w:p w:rsidR="007920A8" w:rsidRDefault="007920A8" w:rsidP="007920A8">
      <w:pPr>
        <w:spacing w:after="0"/>
        <w:ind w:firstLine="851"/>
        <w:jc w:val="right"/>
        <w:rPr>
          <w:rFonts w:eastAsiaTheme="majorEastAsia"/>
          <w:b/>
          <w:bCs/>
          <w:lang w:val="lt-LT"/>
        </w:rPr>
      </w:pPr>
      <w:r>
        <w:rPr>
          <w:rFonts w:eastAsiaTheme="majorEastAsia"/>
          <w:b/>
          <w:bCs/>
          <w:lang w:val="lt-LT"/>
        </w:rPr>
        <w:t>31 lentelė</w:t>
      </w:r>
    </w:p>
    <w:p w:rsidR="007920A8" w:rsidRDefault="007920A8" w:rsidP="00C974F9">
      <w:pPr>
        <w:spacing w:after="0" w:line="240" w:lineRule="auto"/>
        <w:ind w:firstLine="851"/>
        <w:jc w:val="center"/>
        <w:rPr>
          <w:rFonts w:eastAsiaTheme="majorEastAsia"/>
          <w:b/>
          <w:bCs/>
          <w:sz w:val="22"/>
          <w:szCs w:val="20"/>
          <w:lang w:val="lt-LT"/>
        </w:rPr>
      </w:pPr>
      <w:r>
        <w:rPr>
          <w:rFonts w:eastAsiaTheme="majorEastAsia"/>
          <w:b/>
          <w:bCs/>
          <w:sz w:val="22"/>
          <w:szCs w:val="20"/>
          <w:lang w:val="lt-LT"/>
        </w:rPr>
        <w:t>ES finansinę paramą</w:t>
      </w:r>
      <w:r w:rsidR="00C974F9">
        <w:rPr>
          <w:rFonts w:eastAsiaTheme="majorEastAsia"/>
          <w:b/>
          <w:bCs/>
          <w:sz w:val="22"/>
          <w:szCs w:val="20"/>
          <w:lang w:val="lt-LT"/>
        </w:rPr>
        <w:t xml:space="preserve"> verslo kūrimui</w:t>
      </w:r>
      <w:r>
        <w:rPr>
          <w:rFonts w:eastAsiaTheme="majorEastAsia"/>
          <w:b/>
          <w:bCs/>
          <w:sz w:val="22"/>
          <w:szCs w:val="20"/>
          <w:lang w:val="lt-LT"/>
        </w:rPr>
        <w:t xml:space="preserve"> gavusių įmonių</w:t>
      </w:r>
      <w:r w:rsidR="00843657">
        <w:rPr>
          <w:rFonts w:eastAsiaTheme="majorEastAsia"/>
          <w:b/>
          <w:bCs/>
          <w:sz w:val="22"/>
          <w:szCs w:val="20"/>
          <w:lang w:val="lt-LT"/>
        </w:rPr>
        <w:t xml:space="preserve"> </w:t>
      </w:r>
      <w:r w:rsidR="00C974F9">
        <w:rPr>
          <w:rFonts w:eastAsiaTheme="majorEastAsia"/>
          <w:b/>
          <w:bCs/>
          <w:sz w:val="22"/>
          <w:szCs w:val="20"/>
          <w:lang w:val="lt-LT"/>
        </w:rPr>
        <w:t xml:space="preserve">rangavimas pagal </w:t>
      </w:r>
      <w:r w:rsidR="006C4A84">
        <w:rPr>
          <w:rFonts w:eastAsiaTheme="majorEastAsia"/>
          <w:b/>
          <w:bCs/>
          <w:sz w:val="22"/>
          <w:szCs w:val="20"/>
          <w:lang w:val="lt-LT"/>
        </w:rPr>
        <w:t>2013 m.</w:t>
      </w:r>
      <w:r w:rsidR="00C974F9">
        <w:rPr>
          <w:rFonts w:eastAsiaTheme="majorEastAsia"/>
          <w:b/>
          <w:bCs/>
          <w:sz w:val="22"/>
          <w:szCs w:val="20"/>
          <w:lang w:val="lt-LT"/>
        </w:rPr>
        <w:t xml:space="preserve"> finansinius</w:t>
      </w:r>
      <w:r>
        <w:rPr>
          <w:rFonts w:eastAsiaTheme="majorEastAsia"/>
          <w:b/>
          <w:bCs/>
          <w:sz w:val="22"/>
          <w:szCs w:val="20"/>
          <w:lang w:val="lt-LT"/>
        </w:rPr>
        <w:t xml:space="preserve"> rodikli</w:t>
      </w:r>
      <w:r w:rsidR="00C974F9">
        <w:rPr>
          <w:rFonts w:eastAsiaTheme="majorEastAsia"/>
          <w:b/>
          <w:bCs/>
          <w:sz w:val="22"/>
          <w:szCs w:val="20"/>
          <w:lang w:val="lt-LT"/>
        </w:rPr>
        <w:t>us</w:t>
      </w:r>
    </w:p>
    <w:p w:rsidR="007920A8" w:rsidRPr="007920A8" w:rsidRDefault="007920A8" w:rsidP="007920A8">
      <w:pPr>
        <w:spacing w:after="0" w:line="240" w:lineRule="auto"/>
        <w:rPr>
          <w:rFonts w:eastAsiaTheme="majorEastAsia"/>
          <w:sz w:val="20"/>
          <w:szCs w:val="18"/>
          <w:lang w:val="lt-LT"/>
        </w:rPr>
      </w:pPr>
    </w:p>
    <w:tbl>
      <w:tblPr>
        <w:tblStyle w:val="TableGrid"/>
        <w:tblW w:w="5000" w:type="pct"/>
        <w:tblLook w:val="04A0" w:firstRow="1" w:lastRow="0" w:firstColumn="1" w:lastColumn="0" w:noHBand="0" w:noVBand="1"/>
      </w:tblPr>
      <w:tblGrid>
        <w:gridCol w:w="734"/>
        <w:gridCol w:w="1583"/>
        <w:gridCol w:w="1665"/>
        <w:gridCol w:w="1563"/>
        <w:gridCol w:w="1663"/>
        <w:gridCol w:w="886"/>
        <w:gridCol w:w="784"/>
        <w:gridCol w:w="977"/>
      </w:tblGrid>
      <w:tr w:rsidR="0030422A" w:rsidRPr="00291548" w:rsidTr="0030422A">
        <w:tc>
          <w:tcPr>
            <w:tcW w:w="392" w:type="pct"/>
            <w:tcBorders>
              <w:bottom w:val="single" w:sz="18" w:space="0" w:color="auto"/>
              <w:right w:val="single" w:sz="18" w:space="0" w:color="auto"/>
              <w:tl2br w:val="single" w:sz="4" w:space="0" w:color="auto"/>
            </w:tcBorders>
          </w:tcPr>
          <w:p w:rsidR="0030422A" w:rsidRPr="00291548" w:rsidRDefault="0030422A" w:rsidP="00310DFF">
            <w:pPr>
              <w:spacing w:line="240" w:lineRule="auto"/>
              <w:jc w:val="right"/>
              <w:rPr>
                <w:rFonts w:eastAsiaTheme="majorEastAsia"/>
                <w:b/>
                <w:bCs/>
                <w:lang w:val="lt-LT"/>
              </w:rPr>
            </w:pPr>
            <w:r w:rsidRPr="00291548">
              <w:rPr>
                <w:rFonts w:eastAsiaTheme="majorEastAsia"/>
                <w:b/>
                <w:bCs/>
                <w:lang w:val="lt-LT"/>
              </w:rPr>
              <w:t>Rod</w:t>
            </w:r>
            <w:r>
              <w:rPr>
                <w:rFonts w:eastAsiaTheme="majorEastAsia"/>
                <w:b/>
                <w:bCs/>
                <w:lang w:val="lt-LT"/>
              </w:rPr>
              <w:t>.</w:t>
            </w:r>
          </w:p>
          <w:p w:rsidR="0030422A" w:rsidRPr="00291548" w:rsidRDefault="0030422A" w:rsidP="006C4A84">
            <w:pPr>
              <w:spacing w:line="240" w:lineRule="auto"/>
              <w:rPr>
                <w:rFonts w:eastAsiaTheme="majorEastAsia"/>
                <w:b/>
                <w:bCs/>
                <w:lang w:val="lt-LT"/>
              </w:rPr>
            </w:pPr>
            <w:r w:rsidRPr="00291548">
              <w:rPr>
                <w:rFonts w:eastAsiaTheme="majorEastAsia"/>
                <w:b/>
                <w:bCs/>
                <w:lang w:val="lt-LT"/>
              </w:rPr>
              <w:t>Įm</w:t>
            </w:r>
            <w:r>
              <w:rPr>
                <w:rFonts w:eastAsiaTheme="majorEastAsia"/>
                <w:b/>
                <w:bCs/>
                <w:lang w:val="lt-LT"/>
              </w:rPr>
              <w:t>.</w:t>
            </w:r>
          </w:p>
        </w:tc>
        <w:tc>
          <w:tcPr>
            <w:tcW w:w="823" w:type="pct"/>
            <w:tcBorders>
              <w:left w:val="single" w:sz="18" w:space="0" w:color="auto"/>
              <w:bottom w:val="single" w:sz="18" w:space="0" w:color="auto"/>
            </w:tcBorders>
            <w:vAlign w:val="center"/>
          </w:tcPr>
          <w:p w:rsidR="0030422A" w:rsidRPr="00291548" w:rsidRDefault="0030422A" w:rsidP="006C4A84">
            <w:pPr>
              <w:spacing w:line="240" w:lineRule="auto"/>
              <w:jc w:val="center"/>
              <w:rPr>
                <w:rFonts w:asciiTheme="majorBidi" w:hAnsiTheme="majorBidi" w:cstheme="majorBidi"/>
                <w:b/>
                <w:bCs/>
                <w:lang w:val="lt-LT"/>
              </w:rPr>
            </w:pPr>
            <w:r w:rsidRPr="00291548">
              <w:rPr>
                <w:b/>
                <w:bCs/>
                <w:lang w:val="lt-LT"/>
              </w:rPr>
              <w:t>Einamasis likvidumas</w:t>
            </w:r>
          </w:p>
        </w:tc>
        <w:tc>
          <w:tcPr>
            <w:tcW w:w="864" w:type="pct"/>
            <w:tcBorders>
              <w:bottom w:val="single" w:sz="18" w:space="0" w:color="auto"/>
            </w:tcBorders>
            <w:vAlign w:val="center"/>
          </w:tcPr>
          <w:p w:rsidR="0030422A" w:rsidRPr="00291548" w:rsidRDefault="0030422A" w:rsidP="006C4A84">
            <w:pPr>
              <w:spacing w:line="240" w:lineRule="auto"/>
              <w:ind w:left="-59"/>
              <w:jc w:val="center"/>
              <w:rPr>
                <w:rFonts w:asciiTheme="majorBidi" w:hAnsiTheme="majorBidi" w:cstheme="majorBidi"/>
                <w:b/>
                <w:bCs/>
                <w:lang w:val="lt-LT"/>
              </w:rPr>
            </w:pPr>
            <w:r w:rsidRPr="00291548">
              <w:rPr>
                <w:rFonts w:asciiTheme="majorBidi" w:hAnsiTheme="majorBidi" w:cstheme="majorBidi"/>
                <w:b/>
                <w:bCs/>
                <w:lang w:val="lt-LT"/>
              </w:rPr>
              <w:t>Įsiskolinimų koeficientas</w:t>
            </w:r>
          </w:p>
        </w:tc>
        <w:tc>
          <w:tcPr>
            <w:tcW w:w="755" w:type="pct"/>
            <w:tcBorders>
              <w:bottom w:val="single" w:sz="18" w:space="0" w:color="auto"/>
            </w:tcBorders>
            <w:vAlign w:val="center"/>
          </w:tcPr>
          <w:p w:rsidR="0030422A" w:rsidRPr="00291548" w:rsidRDefault="0030422A" w:rsidP="004D709B">
            <w:pPr>
              <w:spacing w:line="240" w:lineRule="auto"/>
              <w:jc w:val="center"/>
              <w:rPr>
                <w:rFonts w:asciiTheme="majorBidi" w:hAnsiTheme="majorBidi" w:cstheme="majorBidi"/>
                <w:b/>
                <w:bCs/>
                <w:lang w:val="lt-LT"/>
              </w:rPr>
            </w:pPr>
            <w:r w:rsidRPr="00291548">
              <w:rPr>
                <w:rFonts w:asciiTheme="majorBidi" w:hAnsiTheme="majorBidi" w:cstheme="majorBidi"/>
                <w:b/>
                <w:bCs/>
                <w:lang w:val="lt-LT"/>
              </w:rPr>
              <w:t xml:space="preserve">Turto </w:t>
            </w:r>
            <w:r>
              <w:rPr>
                <w:rFonts w:asciiTheme="majorBidi" w:hAnsiTheme="majorBidi" w:cstheme="majorBidi"/>
                <w:b/>
                <w:bCs/>
                <w:lang w:val="lt-LT"/>
              </w:rPr>
              <w:t>apyvartumas</w:t>
            </w:r>
          </w:p>
        </w:tc>
        <w:tc>
          <w:tcPr>
            <w:tcW w:w="863" w:type="pct"/>
            <w:tcBorders>
              <w:bottom w:val="single" w:sz="18" w:space="0" w:color="auto"/>
            </w:tcBorders>
            <w:vAlign w:val="center"/>
          </w:tcPr>
          <w:p w:rsidR="0030422A" w:rsidRPr="00291548" w:rsidRDefault="0030422A" w:rsidP="006C4A84">
            <w:pPr>
              <w:spacing w:line="240" w:lineRule="auto"/>
              <w:jc w:val="center"/>
              <w:rPr>
                <w:b/>
                <w:bCs/>
                <w:lang w:val="lt-LT"/>
              </w:rPr>
            </w:pPr>
            <w:r w:rsidRPr="00291548">
              <w:rPr>
                <w:rFonts w:asciiTheme="majorBidi" w:hAnsiTheme="majorBidi" w:cstheme="majorBidi"/>
                <w:b/>
                <w:bCs/>
                <w:lang w:val="lt-LT"/>
              </w:rPr>
              <w:t>Grynasis pelningumas</w:t>
            </w:r>
          </w:p>
        </w:tc>
        <w:tc>
          <w:tcPr>
            <w:tcW w:w="469" w:type="pct"/>
            <w:tcBorders>
              <w:bottom w:val="single" w:sz="18" w:space="0" w:color="auto"/>
            </w:tcBorders>
            <w:vAlign w:val="center"/>
          </w:tcPr>
          <w:p w:rsidR="0030422A" w:rsidRPr="00291548" w:rsidRDefault="0030422A" w:rsidP="00843657">
            <w:pPr>
              <w:spacing w:line="240" w:lineRule="auto"/>
              <w:jc w:val="center"/>
              <w:rPr>
                <w:b/>
                <w:bCs/>
                <w:lang w:val="lt-LT"/>
              </w:rPr>
            </w:pPr>
            <w:r w:rsidRPr="00291548">
              <w:rPr>
                <w:b/>
                <w:bCs/>
                <w:lang w:val="lt-LT"/>
              </w:rPr>
              <w:t>ROA</w:t>
            </w:r>
          </w:p>
        </w:tc>
        <w:tc>
          <w:tcPr>
            <w:tcW w:w="417" w:type="pct"/>
            <w:tcBorders>
              <w:bottom w:val="single" w:sz="18" w:space="0" w:color="auto"/>
            </w:tcBorders>
            <w:vAlign w:val="center"/>
          </w:tcPr>
          <w:p w:rsidR="0030422A" w:rsidRPr="00291548" w:rsidRDefault="0030422A" w:rsidP="00843657">
            <w:pPr>
              <w:spacing w:line="240" w:lineRule="auto"/>
              <w:jc w:val="center"/>
              <w:rPr>
                <w:b/>
                <w:bCs/>
                <w:lang w:val="lt-LT"/>
              </w:rPr>
            </w:pPr>
            <w:r w:rsidRPr="00291548">
              <w:rPr>
                <w:b/>
                <w:bCs/>
                <w:lang w:val="lt-LT"/>
              </w:rPr>
              <w:t>ROE</w:t>
            </w:r>
          </w:p>
        </w:tc>
        <w:tc>
          <w:tcPr>
            <w:tcW w:w="417" w:type="pct"/>
            <w:tcBorders>
              <w:bottom w:val="single" w:sz="18" w:space="0" w:color="auto"/>
            </w:tcBorders>
          </w:tcPr>
          <w:p w:rsidR="0030422A" w:rsidRPr="00291548" w:rsidRDefault="0030422A" w:rsidP="00843657">
            <w:pPr>
              <w:spacing w:line="240" w:lineRule="auto"/>
              <w:jc w:val="center"/>
              <w:rPr>
                <w:b/>
                <w:bCs/>
                <w:lang w:val="lt-LT"/>
              </w:rPr>
            </w:pPr>
            <w:r>
              <w:rPr>
                <w:b/>
                <w:bCs/>
                <w:lang w:val="lt-LT"/>
              </w:rPr>
              <w:t>Sum. Rangas</w:t>
            </w:r>
          </w:p>
        </w:tc>
      </w:tr>
      <w:tr w:rsidR="0030422A" w:rsidRPr="00291548" w:rsidTr="0030422A">
        <w:tc>
          <w:tcPr>
            <w:tcW w:w="392" w:type="pct"/>
            <w:tcBorders>
              <w:top w:val="single" w:sz="18" w:space="0" w:color="auto"/>
              <w:right w:val="single" w:sz="18" w:space="0" w:color="auto"/>
            </w:tcBorders>
          </w:tcPr>
          <w:p w:rsidR="0030422A" w:rsidRPr="00291548" w:rsidRDefault="0030422A" w:rsidP="006C4A84">
            <w:pPr>
              <w:spacing w:line="240" w:lineRule="auto"/>
              <w:rPr>
                <w:rFonts w:eastAsiaTheme="majorEastAsia"/>
                <w:b/>
                <w:bCs/>
                <w:lang w:val="lt-LT"/>
              </w:rPr>
            </w:pPr>
            <w:r>
              <w:rPr>
                <w:rFonts w:eastAsiaTheme="majorEastAsia"/>
                <w:b/>
                <w:bCs/>
                <w:lang w:val="lt-LT"/>
              </w:rPr>
              <w:t>B</w:t>
            </w:r>
          </w:p>
        </w:tc>
        <w:tc>
          <w:tcPr>
            <w:tcW w:w="823" w:type="pct"/>
            <w:tcBorders>
              <w:top w:val="single" w:sz="18" w:space="0" w:color="auto"/>
              <w:left w:val="single" w:sz="18" w:space="0" w:color="auto"/>
            </w:tcBorders>
            <w:vAlign w:val="center"/>
          </w:tcPr>
          <w:p w:rsidR="0030422A" w:rsidRPr="007920A8" w:rsidRDefault="0030422A" w:rsidP="006C4A84">
            <w:pPr>
              <w:spacing w:line="240" w:lineRule="auto"/>
              <w:jc w:val="center"/>
              <w:rPr>
                <w:rFonts w:eastAsiaTheme="majorEastAsia"/>
                <w:lang w:val="en-US"/>
              </w:rPr>
            </w:pPr>
            <w:r>
              <w:rPr>
                <w:rFonts w:eastAsiaTheme="majorEastAsia"/>
                <w:lang w:val="en-US"/>
              </w:rPr>
              <w:t>2</w:t>
            </w:r>
          </w:p>
        </w:tc>
        <w:tc>
          <w:tcPr>
            <w:tcW w:w="864" w:type="pct"/>
            <w:tcBorders>
              <w:top w:val="single" w:sz="18" w:space="0" w:color="auto"/>
            </w:tcBorders>
            <w:vAlign w:val="center"/>
          </w:tcPr>
          <w:p w:rsidR="0030422A" w:rsidRPr="00291548" w:rsidRDefault="0030422A" w:rsidP="006C4A84">
            <w:pPr>
              <w:spacing w:line="240" w:lineRule="auto"/>
              <w:jc w:val="center"/>
              <w:rPr>
                <w:rFonts w:eastAsiaTheme="majorEastAsia"/>
                <w:lang w:val="lt-LT"/>
              </w:rPr>
            </w:pPr>
            <w:r>
              <w:rPr>
                <w:rFonts w:eastAsiaTheme="majorEastAsia"/>
                <w:lang w:val="lt-LT"/>
              </w:rPr>
              <w:t>2</w:t>
            </w:r>
          </w:p>
        </w:tc>
        <w:tc>
          <w:tcPr>
            <w:tcW w:w="755" w:type="pct"/>
            <w:tcBorders>
              <w:top w:val="single" w:sz="18" w:space="0" w:color="auto"/>
            </w:tcBorders>
            <w:vAlign w:val="center"/>
          </w:tcPr>
          <w:p w:rsidR="0030422A" w:rsidRPr="00291548" w:rsidRDefault="0030422A" w:rsidP="00732BD8">
            <w:pPr>
              <w:spacing w:line="240" w:lineRule="auto"/>
              <w:jc w:val="center"/>
              <w:rPr>
                <w:rFonts w:eastAsiaTheme="majorEastAsia"/>
                <w:lang w:val="lt-LT"/>
              </w:rPr>
            </w:pPr>
            <w:r>
              <w:rPr>
                <w:rFonts w:eastAsiaTheme="majorEastAsia"/>
                <w:lang w:val="lt-LT"/>
              </w:rPr>
              <w:t>1</w:t>
            </w:r>
          </w:p>
        </w:tc>
        <w:tc>
          <w:tcPr>
            <w:tcW w:w="863" w:type="pct"/>
            <w:tcBorders>
              <w:top w:val="single" w:sz="18" w:space="0" w:color="auto"/>
            </w:tcBorders>
            <w:vAlign w:val="center"/>
          </w:tcPr>
          <w:p w:rsidR="0030422A" w:rsidRPr="00291548" w:rsidRDefault="0030422A" w:rsidP="006C4A84">
            <w:pPr>
              <w:spacing w:line="240" w:lineRule="auto"/>
              <w:jc w:val="center"/>
              <w:rPr>
                <w:rFonts w:eastAsiaTheme="majorEastAsia"/>
                <w:lang w:val="lt-LT"/>
              </w:rPr>
            </w:pPr>
            <w:r>
              <w:rPr>
                <w:rFonts w:eastAsiaTheme="majorEastAsia"/>
                <w:lang w:val="lt-LT"/>
              </w:rPr>
              <w:t>1</w:t>
            </w:r>
          </w:p>
        </w:tc>
        <w:tc>
          <w:tcPr>
            <w:tcW w:w="469" w:type="pct"/>
            <w:tcBorders>
              <w:top w:val="single" w:sz="18" w:space="0" w:color="auto"/>
            </w:tcBorders>
            <w:vAlign w:val="center"/>
          </w:tcPr>
          <w:p w:rsidR="0030422A" w:rsidRPr="00291548" w:rsidRDefault="0030422A" w:rsidP="006C4A84">
            <w:pPr>
              <w:spacing w:line="240" w:lineRule="auto"/>
              <w:jc w:val="center"/>
              <w:rPr>
                <w:rFonts w:eastAsiaTheme="majorEastAsia"/>
                <w:lang w:val="lt-LT"/>
              </w:rPr>
            </w:pPr>
            <w:r>
              <w:rPr>
                <w:rFonts w:eastAsiaTheme="majorEastAsia"/>
                <w:lang w:val="lt-LT"/>
              </w:rPr>
              <w:t>1</w:t>
            </w:r>
          </w:p>
        </w:tc>
        <w:tc>
          <w:tcPr>
            <w:tcW w:w="417" w:type="pct"/>
            <w:tcBorders>
              <w:top w:val="single" w:sz="18" w:space="0" w:color="auto"/>
            </w:tcBorders>
            <w:vAlign w:val="center"/>
          </w:tcPr>
          <w:p w:rsidR="0030422A" w:rsidRPr="00291548" w:rsidRDefault="0030422A" w:rsidP="006C4A84">
            <w:pPr>
              <w:spacing w:line="240" w:lineRule="auto"/>
              <w:jc w:val="center"/>
              <w:rPr>
                <w:rFonts w:eastAsiaTheme="majorEastAsia"/>
                <w:lang w:val="lt-LT"/>
              </w:rPr>
            </w:pPr>
            <w:r>
              <w:rPr>
                <w:rFonts w:eastAsiaTheme="majorEastAsia"/>
                <w:lang w:val="lt-LT"/>
              </w:rPr>
              <w:t>1</w:t>
            </w:r>
          </w:p>
        </w:tc>
        <w:tc>
          <w:tcPr>
            <w:tcW w:w="417" w:type="pct"/>
            <w:tcBorders>
              <w:top w:val="single" w:sz="18" w:space="0" w:color="auto"/>
            </w:tcBorders>
          </w:tcPr>
          <w:p w:rsidR="0030422A" w:rsidRDefault="0030422A" w:rsidP="006C4A84">
            <w:pPr>
              <w:spacing w:line="240" w:lineRule="auto"/>
              <w:jc w:val="center"/>
              <w:rPr>
                <w:rFonts w:eastAsiaTheme="majorEastAsia"/>
                <w:lang w:val="lt-LT"/>
              </w:rPr>
            </w:pPr>
            <w:r>
              <w:rPr>
                <w:rFonts w:eastAsiaTheme="majorEastAsia"/>
                <w:lang w:val="lt-LT"/>
              </w:rPr>
              <w:t>8</w:t>
            </w:r>
          </w:p>
        </w:tc>
      </w:tr>
      <w:tr w:rsidR="0030422A" w:rsidRPr="00291548" w:rsidTr="0030422A">
        <w:tc>
          <w:tcPr>
            <w:tcW w:w="392" w:type="pct"/>
            <w:tcBorders>
              <w:right w:val="single" w:sz="18" w:space="0" w:color="auto"/>
            </w:tcBorders>
          </w:tcPr>
          <w:p w:rsidR="0030422A" w:rsidRPr="00291548" w:rsidRDefault="0030422A" w:rsidP="006C4A84">
            <w:pPr>
              <w:spacing w:line="240" w:lineRule="auto"/>
              <w:rPr>
                <w:rFonts w:eastAsiaTheme="majorEastAsia"/>
                <w:b/>
                <w:bCs/>
                <w:lang w:val="lt-LT"/>
              </w:rPr>
            </w:pPr>
            <w:r>
              <w:rPr>
                <w:rFonts w:eastAsiaTheme="majorEastAsia"/>
                <w:b/>
                <w:bCs/>
                <w:lang w:val="lt-LT"/>
              </w:rPr>
              <w:t>C</w:t>
            </w:r>
          </w:p>
        </w:tc>
        <w:tc>
          <w:tcPr>
            <w:tcW w:w="823" w:type="pct"/>
            <w:tcBorders>
              <w:left w:val="single" w:sz="18" w:space="0" w:color="auto"/>
            </w:tcBorders>
            <w:vAlign w:val="center"/>
          </w:tcPr>
          <w:p w:rsidR="0030422A" w:rsidRPr="00291548" w:rsidRDefault="0030422A" w:rsidP="006C4A84">
            <w:pPr>
              <w:spacing w:line="240" w:lineRule="auto"/>
              <w:jc w:val="center"/>
              <w:rPr>
                <w:rFonts w:eastAsiaTheme="majorEastAsia"/>
                <w:lang w:val="lt-LT"/>
              </w:rPr>
            </w:pPr>
            <w:r>
              <w:rPr>
                <w:rFonts w:eastAsiaTheme="majorEastAsia"/>
                <w:lang w:val="lt-LT"/>
              </w:rPr>
              <w:t>1</w:t>
            </w:r>
          </w:p>
        </w:tc>
        <w:tc>
          <w:tcPr>
            <w:tcW w:w="864" w:type="pct"/>
            <w:vAlign w:val="center"/>
          </w:tcPr>
          <w:p w:rsidR="0030422A" w:rsidRPr="00291548" w:rsidRDefault="0030422A" w:rsidP="006C4A84">
            <w:pPr>
              <w:spacing w:line="240" w:lineRule="auto"/>
              <w:jc w:val="center"/>
              <w:rPr>
                <w:rFonts w:eastAsiaTheme="majorEastAsia"/>
                <w:lang w:val="lt-LT"/>
              </w:rPr>
            </w:pPr>
            <w:r>
              <w:rPr>
                <w:rFonts w:eastAsiaTheme="majorEastAsia"/>
                <w:lang w:val="lt-LT"/>
              </w:rPr>
              <w:t>1</w:t>
            </w:r>
          </w:p>
        </w:tc>
        <w:tc>
          <w:tcPr>
            <w:tcW w:w="755" w:type="pct"/>
            <w:vAlign w:val="center"/>
          </w:tcPr>
          <w:p w:rsidR="0030422A" w:rsidRPr="00291548" w:rsidRDefault="0030422A" w:rsidP="006C4A84">
            <w:pPr>
              <w:spacing w:line="240" w:lineRule="auto"/>
              <w:jc w:val="center"/>
              <w:rPr>
                <w:rFonts w:eastAsiaTheme="majorEastAsia"/>
                <w:lang w:val="lt-LT"/>
              </w:rPr>
            </w:pPr>
            <w:r>
              <w:rPr>
                <w:rFonts w:eastAsiaTheme="majorEastAsia"/>
                <w:lang w:val="lt-LT"/>
              </w:rPr>
              <w:t>2</w:t>
            </w:r>
          </w:p>
        </w:tc>
        <w:tc>
          <w:tcPr>
            <w:tcW w:w="863" w:type="pct"/>
            <w:vAlign w:val="center"/>
          </w:tcPr>
          <w:p w:rsidR="0030422A" w:rsidRPr="00291548" w:rsidRDefault="0030422A" w:rsidP="006C4A84">
            <w:pPr>
              <w:spacing w:line="240" w:lineRule="auto"/>
              <w:jc w:val="center"/>
              <w:rPr>
                <w:rFonts w:eastAsiaTheme="majorEastAsia"/>
                <w:lang w:val="lt-LT"/>
              </w:rPr>
            </w:pPr>
            <w:r>
              <w:rPr>
                <w:rFonts w:eastAsiaTheme="majorEastAsia"/>
                <w:lang w:val="lt-LT"/>
              </w:rPr>
              <w:t>2</w:t>
            </w:r>
          </w:p>
        </w:tc>
        <w:tc>
          <w:tcPr>
            <w:tcW w:w="469" w:type="pct"/>
            <w:vAlign w:val="center"/>
          </w:tcPr>
          <w:p w:rsidR="0030422A" w:rsidRPr="00291548" w:rsidRDefault="0030422A" w:rsidP="006C4A84">
            <w:pPr>
              <w:spacing w:line="240" w:lineRule="auto"/>
              <w:jc w:val="center"/>
              <w:rPr>
                <w:rFonts w:eastAsiaTheme="majorEastAsia"/>
                <w:lang w:val="lt-LT"/>
              </w:rPr>
            </w:pPr>
            <w:r>
              <w:rPr>
                <w:rFonts w:eastAsiaTheme="majorEastAsia"/>
                <w:lang w:val="lt-LT"/>
              </w:rPr>
              <w:t>2</w:t>
            </w:r>
          </w:p>
        </w:tc>
        <w:tc>
          <w:tcPr>
            <w:tcW w:w="417" w:type="pct"/>
            <w:vAlign w:val="center"/>
          </w:tcPr>
          <w:p w:rsidR="0030422A" w:rsidRPr="00291548" w:rsidRDefault="0030422A" w:rsidP="006C4A84">
            <w:pPr>
              <w:spacing w:line="240" w:lineRule="auto"/>
              <w:jc w:val="center"/>
              <w:rPr>
                <w:rFonts w:eastAsiaTheme="majorEastAsia"/>
                <w:lang w:val="lt-LT"/>
              </w:rPr>
            </w:pPr>
            <w:r>
              <w:rPr>
                <w:rFonts w:eastAsiaTheme="majorEastAsia"/>
                <w:lang w:val="lt-LT"/>
              </w:rPr>
              <w:t>2</w:t>
            </w:r>
          </w:p>
        </w:tc>
        <w:tc>
          <w:tcPr>
            <w:tcW w:w="417" w:type="pct"/>
          </w:tcPr>
          <w:p w:rsidR="0030422A" w:rsidRDefault="0030422A" w:rsidP="006C4A84">
            <w:pPr>
              <w:spacing w:line="240" w:lineRule="auto"/>
              <w:jc w:val="center"/>
              <w:rPr>
                <w:rFonts w:eastAsiaTheme="majorEastAsia"/>
                <w:lang w:val="lt-LT"/>
              </w:rPr>
            </w:pPr>
            <w:r>
              <w:rPr>
                <w:rFonts w:eastAsiaTheme="majorEastAsia"/>
                <w:lang w:val="lt-LT"/>
              </w:rPr>
              <w:t>10</w:t>
            </w:r>
          </w:p>
        </w:tc>
      </w:tr>
    </w:tbl>
    <w:p w:rsidR="007920A8" w:rsidRDefault="007920A8" w:rsidP="005E6E97">
      <w:pPr>
        <w:spacing w:after="0" w:line="240" w:lineRule="auto"/>
        <w:rPr>
          <w:rFonts w:eastAsiaTheme="majorEastAsia"/>
          <w:sz w:val="20"/>
          <w:szCs w:val="18"/>
          <w:lang w:val="lt-LT"/>
        </w:rPr>
      </w:pPr>
      <w:r>
        <w:rPr>
          <w:rFonts w:eastAsiaTheme="majorEastAsia"/>
          <w:sz w:val="20"/>
          <w:szCs w:val="18"/>
          <w:lang w:val="lt-LT"/>
        </w:rPr>
        <w:t xml:space="preserve">Pastaba: lentelė sudaryta autorės. Joje pateikiamos </w:t>
      </w:r>
      <w:r w:rsidR="008122D7">
        <w:rPr>
          <w:rFonts w:eastAsiaTheme="majorEastAsia"/>
          <w:sz w:val="20"/>
          <w:szCs w:val="18"/>
          <w:lang w:val="lt-LT"/>
        </w:rPr>
        <w:t xml:space="preserve">pagal efektyvumą </w:t>
      </w:r>
      <w:r>
        <w:rPr>
          <w:rFonts w:eastAsiaTheme="majorEastAsia"/>
          <w:sz w:val="20"/>
          <w:szCs w:val="18"/>
          <w:lang w:val="lt-LT"/>
        </w:rPr>
        <w:t>suranguo</w:t>
      </w:r>
      <w:r w:rsidR="006C4A84">
        <w:rPr>
          <w:rFonts w:eastAsiaTheme="majorEastAsia"/>
          <w:sz w:val="20"/>
          <w:szCs w:val="18"/>
          <w:lang w:val="lt-LT"/>
        </w:rPr>
        <w:t>t</w:t>
      </w:r>
      <w:r w:rsidR="00EC4E03">
        <w:rPr>
          <w:rFonts w:eastAsiaTheme="majorEastAsia"/>
          <w:sz w:val="20"/>
          <w:szCs w:val="18"/>
          <w:lang w:val="lt-LT"/>
        </w:rPr>
        <w:t>o</w:t>
      </w:r>
      <w:r w:rsidR="006C4A84">
        <w:rPr>
          <w:rFonts w:eastAsiaTheme="majorEastAsia"/>
          <w:sz w:val="20"/>
          <w:szCs w:val="18"/>
          <w:lang w:val="lt-LT"/>
        </w:rPr>
        <w:t>s įmonės B ir C</w:t>
      </w:r>
      <w:r>
        <w:rPr>
          <w:rFonts w:eastAsiaTheme="majorEastAsia"/>
          <w:sz w:val="20"/>
          <w:szCs w:val="18"/>
          <w:lang w:val="lt-LT"/>
        </w:rPr>
        <w:t>, 1 – efektyviausia, 2 – mažiau efektyvi.</w:t>
      </w:r>
      <w:r w:rsidR="00843657">
        <w:rPr>
          <w:rFonts w:eastAsiaTheme="majorEastAsia"/>
          <w:sz w:val="20"/>
          <w:szCs w:val="18"/>
          <w:lang w:val="lt-LT"/>
        </w:rPr>
        <w:t xml:space="preserve"> Remiamasi įmonių B ir C finansiniais duomenimis.</w:t>
      </w:r>
    </w:p>
    <w:p w:rsidR="00A21463" w:rsidRPr="007920A8" w:rsidRDefault="00A21463" w:rsidP="007920A8">
      <w:pPr>
        <w:spacing w:after="0" w:line="240" w:lineRule="auto"/>
        <w:rPr>
          <w:rFonts w:eastAsiaTheme="majorEastAsia"/>
          <w:sz w:val="14"/>
          <w:szCs w:val="12"/>
          <w:lang w:val="lt-LT"/>
        </w:rPr>
      </w:pPr>
    </w:p>
    <w:p w:rsidR="006C4A84" w:rsidRDefault="006C4A84" w:rsidP="00F7446D">
      <w:pPr>
        <w:spacing w:after="0"/>
        <w:ind w:firstLine="851"/>
        <w:rPr>
          <w:rFonts w:eastAsiaTheme="majorEastAsia"/>
          <w:lang w:val="lt-LT"/>
        </w:rPr>
      </w:pPr>
      <w:r>
        <w:rPr>
          <w:rFonts w:eastAsiaTheme="majorEastAsia"/>
          <w:lang w:val="lt-LT"/>
        </w:rPr>
        <w:t xml:space="preserve">Lyginant </w:t>
      </w:r>
      <w:r w:rsidR="005E6E97">
        <w:rPr>
          <w:rFonts w:eastAsiaTheme="majorEastAsia"/>
          <w:lang w:val="lt-LT"/>
        </w:rPr>
        <w:t xml:space="preserve">naujai įsikūrusių įmonių B ir C, </w:t>
      </w:r>
      <w:r w:rsidR="00F67BF0">
        <w:rPr>
          <w:rFonts w:eastAsiaTheme="majorEastAsia"/>
          <w:lang w:val="lt-LT"/>
        </w:rPr>
        <w:t xml:space="preserve">pagal </w:t>
      </w:r>
      <w:r>
        <w:rPr>
          <w:rFonts w:eastAsiaTheme="majorEastAsia"/>
          <w:lang w:val="lt-LT"/>
        </w:rPr>
        <w:t>2013 m. finansinius rodiklius</w:t>
      </w:r>
      <w:r w:rsidR="005E6E97">
        <w:rPr>
          <w:rFonts w:eastAsiaTheme="majorEastAsia"/>
          <w:lang w:val="lt-LT"/>
        </w:rPr>
        <w:t>,</w:t>
      </w:r>
      <w:r w:rsidR="00F67BF0">
        <w:rPr>
          <w:rFonts w:eastAsiaTheme="majorEastAsia"/>
          <w:lang w:val="lt-LT"/>
        </w:rPr>
        <w:t xml:space="preserve"> surangavimą</w:t>
      </w:r>
      <w:r w:rsidR="00EC4E03">
        <w:rPr>
          <w:rFonts w:eastAsiaTheme="majorEastAsia"/>
          <w:lang w:val="lt-LT"/>
        </w:rPr>
        <w:t xml:space="preserve"> (žr. 31 lentelę)</w:t>
      </w:r>
      <w:r>
        <w:rPr>
          <w:rFonts w:eastAsiaTheme="majorEastAsia"/>
          <w:lang w:val="lt-LT"/>
        </w:rPr>
        <w:t xml:space="preserve"> pastebėta, kad didžioji dalis įmonės B finansinių rodiklių efektyvesni, nei įmonės C.</w:t>
      </w:r>
      <w:r w:rsidR="0030422A">
        <w:rPr>
          <w:rFonts w:eastAsiaTheme="majorEastAsia"/>
          <w:lang w:val="lt-LT"/>
        </w:rPr>
        <w:t xml:space="preserve"> Tai atskleidžia ir suminis rangas, kuris įmonės B siekia 8, o C lygus 10.</w:t>
      </w:r>
      <w:r>
        <w:rPr>
          <w:rFonts w:eastAsiaTheme="majorEastAsia"/>
          <w:lang w:val="lt-LT"/>
        </w:rPr>
        <w:t xml:space="preserve"> Tad galima daryti išvadą, kad įmonė B </w:t>
      </w:r>
      <w:r w:rsidR="00EC4E03">
        <w:rPr>
          <w:rFonts w:eastAsiaTheme="majorEastAsia"/>
          <w:lang w:val="lt-LT"/>
        </w:rPr>
        <w:t>panaudojo ES finansinę paramą efektyviau</w:t>
      </w:r>
      <w:r w:rsidR="00732BD8">
        <w:rPr>
          <w:rFonts w:eastAsiaTheme="majorEastAsia"/>
          <w:lang w:val="lt-LT"/>
        </w:rPr>
        <w:t xml:space="preserve"> už įmonę C</w:t>
      </w:r>
      <w:r w:rsidR="00EC4E03">
        <w:rPr>
          <w:rFonts w:eastAsiaTheme="majorEastAsia"/>
          <w:lang w:val="lt-LT"/>
        </w:rPr>
        <w:t>.</w:t>
      </w:r>
      <w:r w:rsidR="008122D7">
        <w:rPr>
          <w:rFonts w:eastAsiaTheme="majorEastAsia"/>
          <w:lang w:val="lt-LT"/>
        </w:rPr>
        <w:t xml:space="preserve"> Tik einamasis likvidumas ir įsiskolinimų koeficientas įmonės C yra aukštesni už B.</w:t>
      </w:r>
    </w:p>
    <w:p w:rsidR="00EC4E03" w:rsidRDefault="00EC4E03" w:rsidP="00EC4E03">
      <w:pPr>
        <w:spacing w:after="0"/>
        <w:ind w:firstLine="851"/>
        <w:jc w:val="right"/>
        <w:rPr>
          <w:rFonts w:eastAsiaTheme="majorEastAsia"/>
          <w:b/>
          <w:bCs/>
          <w:lang w:val="lt-LT"/>
        </w:rPr>
      </w:pPr>
      <w:r>
        <w:rPr>
          <w:rFonts w:eastAsiaTheme="majorEastAsia"/>
          <w:b/>
          <w:bCs/>
          <w:lang w:val="lt-LT"/>
        </w:rPr>
        <w:t>32 lentelė</w:t>
      </w:r>
    </w:p>
    <w:p w:rsidR="00EC4E03" w:rsidRDefault="00572C3E" w:rsidP="00EC4E03">
      <w:pPr>
        <w:spacing w:after="0" w:line="240" w:lineRule="auto"/>
        <w:ind w:firstLine="851"/>
        <w:jc w:val="center"/>
        <w:rPr>
          <w:rFonts w:eastAsiaTheme="majorEastAsia"/>
          <w:b/>
          <w:bCs/>
          <w:sz w:val="22"/>
          <w:szCs w:val="20"/>
          <w:lang w:val="lt-LT"/>
        </w:rPr>
      </w:pPr>
      <w:r>
        <w:rPr>
          <w:rFonts w:eastAsiaTheme="majorEastAsia"/>
          <w:b/>
          <w:bCs/>
          <w:sz w:val="22"/>
          <w:szCs w:val="20"/>
          <w:lang w:val="lt-LT"/>
        </w:rPr>
        <w:t>Pramoninių mašinų ir įrangos įrengimo ir statybos darbų sektorių</w:t>
      </w:r>
      <w:r w:rsidR="0030422A">
        <w:rPr>
          <w:rFonts w:eastAsiaTheme="majorEastAsia"/>
          <w:b/>
          <w:bCs/>
          <w:sz w:val="22"/>
          <w:szCs w:val="20"/>
          <w:lang w:val="lt-LT"/>
        </w:rPr>
        <w:t xml:space="preserve"> įmonių</w:t>
      </w:r>
      <w:r w:rsidR="008122D7">
        <w:rPr>
          <w:rFonts w:eastAsiaTheme="majorEastAsia"/>
          <w:b/>
          <w:bCs/>
          <w:sz w:val="22"/>
          <w:szCs w:val="20"/>
          <w:lang w:val="lt-LT"/>
        </w:rPr>
        <w:t xml:space="preserve"> rangavimas, </w:t>
      </w:r>
      <w:r w:rsidR="00843657">
        <w:rPr>
          <w:rFonts w:eastAsiaTheme="majorEastAsia"/>
          <w:b/>
          <w:bCs/>
          <w:sz w:val="22"/>
          <w:szCs w:val="20"/>
          <w:lang w:val="lt-LT"/>
        </w:rPr>
        <w:t>pagal</w:t>
      </w:r>
      <w:r w:rsidR="00EC4E03">
        <w:rPr>
          <w:rFonts w:eastAsiaTheme="majorEastAsia"/>
          <w:b/>
          <w:bCs/>
          <w:sz w:val="22"/>
          <w:szCs w:val="20"/>
          <w:lang w:val="lt-LT"/>
        </w:rPr>
        <w:t xml:space="preserve"> </w:t>
      </w:r>
      <w:r w:rsidR="008122D7">
        <w:rPr>
          <w:rFonts w:eastAsiaTheme="majorEastAsia"/>
          <w:b/>
          <w:bCs/>
          <w:sz w:val="22"/>
          <w:szCs w:val="20"/>
          <w:lang w:val="lt-LT"/>
        </w:rPr>
        <w:t xml:space="preserve">2013 m. </w:t>
      </w:r>
      <w:r w:rsidR="00EC4E03">
        <w:rPr>
          <w:rFonts w:eastAsiaTheme="majorEastAsia"/>
          <w:b/>
          <w:bCs/>
          <w:sz w:val="22"/>
          <w:szCs w:val="20"/>
          <w:lang w:val="lt-LT"/>
        </w:rPr>
        <w:t>f</w:t>
      </w:r>
      <w:r w:rsidR="00843657">
        <w:rPr>
          <w:rFonts w:eastAsiaTheme="majorEastAsia"/>
          <w:b/>
          <w:bCs/>
          <w:sz w:val="22"/>
          <w:szCs w:val="20"/>
          <w:lang w:val="lt-LT"/>
        </w:rPr>
        <w:t>inansinius rodiklius</w:t>
      </w:r>
    </w:p>
    <w:p w:rsidR="00EC4E03" w:rsidRPr="007920A8" w:rsidRDefault="00EC4E03" w:rsidP="00EC4E03">
      <w:pPr>
        <w:spacing w:after="0" w:line="240" w:lineRule="auto"/>
        <w:rPr>
          <w:rFonts w:eastAsiaTheme="majorEastAsia"/>
          <w:sz w:val="20"/>
          <w:szCs w:val="18"/>
          <w:lang w:val="lt-LT"/>
        </w:rPr>
      </w:pPr>
    </w:p>
    <w:tbl>
      <w:tblPr>
        <w:tblStyle w:val="TableGrid"/>
        <w:tblW w:w="5000" w:type="pct"/>
        <w:tblLook w:val="04A0" w:firstRow="1" w:lastRow="0" w:firstColumn="1" w:lastColumn="0" w:noHBand="0" w:noVBand="1"/>
      </w:tblPr>
      <w:tblGrid>
        <w:gridCol w:w="734"/>
        <w:gridCol w:w="1583"/>
        <w:gridCol w:w="1665"/>
        <w:gridCol w:w="1563"/>
        <w:gridCol w:w="1663"/>
        <w:gridCol w:w="886"/>
        <w:gridCol w:w="784"/>
        <w:gridCol w:w="977"/>
      </w:tblGrid>
      <w:tr w:rsidR="0030422A" w:rsidRPr="00291548" w:rsidTr="0030422A">
        <w:tc>
          <w:tcPr>
            <w:tcW w:w="392" w:type="pct"/>
            <w:tcBorders>
              <w:bottom w:val="single" w:sz="18" w:space="0" w:color="auto"/>
              <w:right w:val="single" w:sz="18" w:space="0" w:color="auto"/>
              <w:tl2br w:val="single" w:sz="4" w:space="0" w:color="auto"/>
            </w:tcBorders>
          </w:tcPr>
          <w:p w:rsidR="0030422A" w:rsidRPr="00291548" w:rsidRDefault="0030422A" w:rsidP="00310DFF">
            <w:pPr>
              <w:spacing w:line="240" w:lineRule="auto"/>
              <w:jc w:val="right"/>
              <w:rPr>
                <w:rFonts w:eastAsiaTheme="majorEastAsia"/>
                <w:b/>
                <w:bCs/>
                <w:lang w:val="lt-LT"/>
              </w:rPr>
            </w:pPr>
            <w:r w:rsidRPr="00291548">
              <w:rPr>
                <w:rFonts w:eastAsiaTheme="majorEastAsia"/>
                <w:b/>
                <w:bCs/>
                <w:lang w:val="lt-LT"/>
              </w:rPr>
              <w:t>Rod</w:t>
            </w:r>
          </w:p>
          <w:p w:rsidR="0030422A" w:rsidRPr="00291548" w:rsidRDefault="0030422A" w:rsidP="00843657">
            <w:pPr>
              <w:spacing w:line="240" w:lineRule="auto"/>
              <w:rPr>
                <w:rFonts w:eastAsiaTheme="majorEastAsia"/>
                <w:b/>
                <w:bCs/>
                <w:lang w:val="lt-LT"/>
              </w:rPr>
            </w:pPr>
            <w:r w:rsidRPr="00291548">
              <w:rPr>
                <w:rFonts w:eastAsiaTheme="majorEastAsia"/>
                <w:b/>
                <w:bCs/>
                <w:lang w:val="lt-LT"/>
              </w:rPr>
              <w:t>Įm</w:t>
            </w:r>
            <w:r>
              <w:rPr>
                <w:rFonts w:eastAsiaTheme="majorEastAsia"/>
                <w:b/>
                <w:bCs/>
                <w:lang w:val="lt-LT"/>
              </w:rPr>
              <w:t>.</w:t>
            </w:r>
          </w:p>
        </w:tc>
        <w:tc>
          <w:tcPr>
            <w:tcW w:w="823" w:type="pct"/>
            <w:tcBorders>
              <w:left w:val="single" w:sz="18" w:space="0" w:color="auto"/>
              <w:bottom w:val="single" w:sz="18" w:space="0" w:color="auto"/>
            </w:tcBorders>
            <w:vAlign w:val="center"/>
          </w:tcPr>
          <w:p w:rsidR="0030422A" w:rsidRPr="00291548" w:rsidRDefault="0030422A" w:rsidP="00843657">
            <w:pPr>
              <w:spacing w:line="240" w:lineRule="auto"/>
              <w:jc w:val="center"/>
              <w:rPr>
                <w:rFonts w:asciiTheme="majorBidi" w:hAnsiTheme="majorBidi" w:cstheme="majorBidi"/>
                <w:b/>
                <w:bCs/>
                <w:lang w:val="lt-LT"/>
              </w:rPr>
            </w:pPr>
            <w:r w:rsidRPr="00291548">
              <w:rPr>
                <w:b/>
                <w:bCs/>
                <w:lang w:val="lt-LT"/>
              </w:rPr>
              <w:t>Einamasis likvidumas</w:t>
            </w:r>
          </w:p>
        </w:tc>
        <w:tc>
          <w:tcPr>
            <w:tcW w:w="864" w:type="pct"/>
            <w:tcBorders>
              <w:bottom w:val="single" w:sz="18" w:space="0" w:color="auto"/>
            </w:tcBorders>
            <w:vAlign w:val="center"/>
          </w:tcPr>
          <w:p w:rsidR="0030422A" w:rsidRPr="00291548" w:rsidRDefault="0030422A" w:rsidP="00843657">
            <w:pPr>
              <w:spacing w:line="240" w:lineRule="auto"/>
              <w:ind w:left="-59"/>
              <w:jc w:val="center"/>
              <w:rPr>
                <w:rFonts w:asciiTheme="majorBidi" w:hAnsiTheme="majorBidi" w:cstheme="majorBidi"/>
                <w:b/>
                <w:bCs/>
                <w:lang w:val="lt-LT"/>
              </w:rPr>
            </w:pPr>
            <w:r w:rsidRPr="00291548">
              <w:rPr>
                <w:rFonts w:asciiTheme="majorBidi" w:hAnsiTheme="majorBidi" w:cstheme="majorBidi"/>
                <w:b/>
                <w:bCs/>
                <w:lang w:val="lt-LT"/>
              </w:rPr>
              <w:t>Įsiskolinimų koeficientas</w:t>
            </w:r>
          </w:p>
        </w:tc>
        <w:tc>
          <w:tcPr>
            <w:tcW w:w="755" w:type="pct"/>
            <w:tcBorders>
              <w:bottom w:val="single" w:sz="18" w:space="0" w:color="auto"/>
            </w:tcBorders>
            <w:vAlign w:val="center"/>
          </w:tcPr>
          <w:p w:rsidR="0030422A" w:rsidRPr="00291548" w:rsidRDefault="0030422A" w:rsidP="00732BD8">
            <w:pPr>
              <w:spacing w:line="240" w:lineRule="auto"/>
              <w:jc w:val="center"/>
              <w:rPr>
                <w:rFonts w:asciiTheme="majorBidi" w:hAnsiTheme="majorBidi" w:cstheme="majorBidi"/>
                <w:b/>
                <w:bCs/>
                <w:lang w:val="lt-LT"/>
              </w:rPr>
            </w:pPr>
            <w:r w:rsidRPr="00291548">
              <w:rPr>
                <w:rFonts w:asciiTheme="majorBidi" w:hAnsiTheme="majorBidi" w:cstheme="majorBidi"/>
                <w:b/>
                <w:bCs/>
                <w:lang w:val="lt-LT"/>
              </w:rPr>
              <w:t xml:space="preserve">Turto </w:t>
            </w:r>
            <w:r>
              <w:rPr>
                <w:rFonts w:asciiTheme="majorBidi" w:hAnsiTheme="majorBidi" w:cstheme="majorBidi"/>
                <w:b/>
                <w:bCs/>
                <w:lang w:val="lt-LT"/>
              </w:rPr>
              <w:t>apyvartumas</w:t>
            </w:r>
          </w:p>
        </w:tc>
        <w:tc>
          <w:tcPr>
            <w:tcW w:w="863" w:type="pct"/>
            <w:tcBorders>
              <w:bottom w:val="single" w:sz="18" w:space="0" w:color="auto"/>
            </w:tcBorders>
            <w:vAlign w:val="center"/>
          </w:tcPr>
          <w:p w:rsidR="0030422A" w:rsidRPr="00291548" w:rsidRDefault="0030422A" w:rsidP="00843657">
            <w:pPr>
              <w:spacing w:line="240" w:lineRule="auto"/>
              <w:jc w:val="center"/>
              <w:rPr>
                <w:b/>
                <w:bCs/>
                <w:lang w:val="lt-LT"/>
              </w:rPr>
            </w:pPr>
            <w:r w:rsidRPr="00291548">
              <w:rPr>
                <w:rFonts w:asciiTheme="majorBidi" w:hAnsiTheme="majorBidi" w:cstheme="majorBidi"/>
                <w:b/>
                <w:bCs/>
                <w:lang w:val="lt-LT"/>
              </w:rPr>
              <w:t>Grynasis pelningumas</w:t>
            </w:r>
          </w:p>
        </w:tc>
        <w:tc>
          <w:tcPr>
            <w:tcW w:w="469" w:type="pct"/>
            <w:tcBorders>
              <w:bottom w:val="single" w:sz="18" w:space="0" w:color="auto"/>
            </w:tcBorders>
            <w:vAlign w:val="center"/>
          </w:tcPr>
          <w:p w:rsidR="0030422A" w:rsidRPr="00291548" w:rsidRDefault="0030422A" w:rsidP="00843657">
            <w:pPr>
              <w:spacing w:line="240" w:lineRule="auto"/>
              <w:jc w:val="center"/>
              <w:rPr>
                <w:b/>
                <w:bCs/>
                <w:lang w:val="lt-LT"/>
              </w:rPr>
            </w:pPr>
            <w:r w:rsidRPr="00291548">
              <w:rPr>
                <w:b/>
                <w:bCs/>
                <w:lang w:val="lt-LT"/>
              </w:rPr>
              <w:t>ROA</w:t>
            </w:r>
          </w:p>
        </w:tc>
        <w:tc>
          <w:tcPr>
            <w:tcW w:w="417" w:type="pct"/>
            <w:tcBorders>
              <w:bottom w:val="single" w:sz="18" w:space="0" w:color="auto"/>
            </w:tcBorders>
            <w:vAlign w:val="center"/>
          </w:tcPr>
          <w:p w:rsidR="0030422A" w:rsidRPr="00291548" w:rsidRDefault="0030422A" w:rsidP="00843657">
            <w:pPr>
              <w:spacing w:line="240" w:lineRule="auto"/>
              <w:jc w:val="center"/>
              <w:rPr>
                <w:b/>
                <w:bCs/>
                <w:lang w:val="lt-LT"/>
              </w:rPr>
            </w:pPr>
            <w:r w:rsidRPr="00291548">
              <w:rPr>
                <w:b/>
                <w:bCs/>
                <w:lang w:val="lt-LT"/>
              </w:rPr>
              <w:t>ROE</w:t>
            </w:r>
          </w:p>
        </w:tc>
        <w:tc>
          <w:tcPr>
            <w:tcW w:w="417" w:type="pct"/>
            <w:tcBorders>
              <w:bottom w:val="single" w:sz="18" w:space="0" w:color="auto"/>
            </w:tcBorders>
          </w:tcPr>
          <w:p w:rsidR="0030422A" w:rsidRPr="00291548" w:rsidRDefault="0030422A" w:rsidP="00843657">
            <w:pPr>
              <w:spacing w:line="240" w:lineRule="auto"/>
              <w:jc w:val="center"/>
              <w:rPr>
                <w:b/>
                <w:bCs/>
                <w:lang w:val="lt-LT"/>
              </w:rPr>
            </w:pPr>
            <w:r>
              <w:rPr>
                <w:b/>
                <w:bCs/>
                <w:lang w:val="lt-LT"/>
              </w:rPr>
              <w:t>Sum. Rangas</w:t>
            </w:r>
          </w:p>
        </w:tc>
      </w:tr>
      <w:tr w:rsidR="0030422A" w:rsidRPr="00291548" w:rsidTr="0030422A">
        <w:tc>
          <w:tcPr>
            <w:tcW w:w="392" w:type="pct"/>
            <w:tcBorders>
              <w:top w:val="single" w:sz="18" w:space="0" w:color="auto"/>
              <w:right w:val="single" w:sz="18" w:space="0" w:color="auto"/>
            </w:tcBorders>
          </w:tcPr>
          <w:p w:rsidR="0030422A" w:rsidRPr="00291548" w:rsidRDefault="0030422A" w:rsidP="00843657">
            <w:pPr>
              <w:spacing w:line="240" w:lineRule="auto"/>
              <w:rPr>
                <w:rFonts w:eastAsiaTheme="majorEastAsia"/>
                <w:b/>
                <w:bCs/>
                <w:lang w:val="lt-LT"/>
              </w:rPr>
            </w:pPr>
            <w:r>
              <w:rPr>
                <w:rFonts w:eastAsiaTheme="majorEastAsia"/>
                <w:b/>
                <w:bCs/>
                <w:lang w:val="lt-LT"/>
              </w:rPr>
              <w:t>A</w:t>
            </w:r>
          </w:p>
        </w:tc>
        <w:tc>
          <w:tcPr>
            <w:tcW w:w="823" w:type="pct"/>
            <w:tcBorders>
              <w:top w:val="single" w:sz="18" w:space="0" w:color="auto"/>
              <w:left w:val="single" w:sz="18" w:space="0" w:color="auto"/>
            </w:tcBorders>
            <w:vAlign w:val="center"/>
          </w:tcPr>
          <w:p w:rsidR="0030422A" w:rsidRPr="007920A8" w:rsidRDefault="0030422A" w:rsidP="00843657">
            <w:pPr>
              <w:spacing w:line="240" w:lineRule="auto"/>
              <w:jc w:val="center"/>
              <w:rPr>
                <w:rFonts w:eastAsiaTheme="majorEastAsia"/>
                <w:lang w:val="en-US"/>
              </w:rPr>
            </w:pPr>
            <w:r>
              <w:rPr>
                <w:rFonts w:eastAsiaTheme="majorEastAsia"/>
                <w:lang w:val="en-US"/>
              </w:rPr>
              <w:t>2</w:t>
            </w:r>
          </w:p>
        </w:tc>
        <w:tc>
          <w:tcPr>
            <w:tcW w:w="864" w:type="pct"/>
            <w:tcBorders>
              <w:top w:val="single" w:sz="18" w:space="0" w:color="auto"/>
            </w:tcBorders>
            <w:vAlign w:val="center"/>
          </w:tcPr>
          <w:p w:rsidR="0030422A" w:rsidRPr="00291548" w:rsidRDefault="0030422A" w:rsidP="00843657">
            <w:pPr>
              <w:spacing w:line="240" w:lineRule="auto"/>
              <w:jc w:val="center"/>
              <w:rPr>
                <w:rFonts w:eastAsiaTheme="majorEastAsia"/>
                <w:lang w:val="lt-LT"/>
              </w:rPr>
            </w:pPr>
            <w:r>
              <w:rPr>
                <w:rFonts w:eastAsiaTheme="majorEastAsia"/>
                <w:lang w:val="lt-LT"/>
              </w:rPr>
              <w:t>2</w:t>
            </w:r>
          </w:p>
        </w:tc>
        <w:tc>
          <w:tcPr>
            <w:tcW w:w="755" w:type="pct"/>
            <w:tcBorders>
              <w:top w:val="single" w:sz="18" w:space="0" w:color="auto"/>
            </w:tcBorders>
            <w:vAlign w:val="center"/>
          </w:tcPr>
          <w:p w:rsidR="0030422A" w:rsidRPr="00291548" w:rsidRDefault="0030422A" w:rsidP="00843657">
            <w:pPr>
              <w:spacing w:line="240" w:lineRule="auto"/>
              <w:jc w:val="center"/>
              <w:rPr>
                <w:rFonts w:eastAsiaTheme="majorEastAsia"/>
                <w:lang w:val="lt-LT"/>
              </w:rPr>
            </w:pPr>
            <w:r>
              <w:rPr>
                <w:rFonts w:eastAsiaTheme="majorEastAsia"/>
                <w:lang w:val="lt-LT"/>
              </w:rPr>
              <w:t>1</w:t>
            </w:r>
          </w:p>
        </w:tc>
        <w:tc>
          <w:tcPr>
            <w:tcW w:w="863" w:type="pct"/>
            <w:tcBorders>
              <w:top w:val="single" w:sz="18" w:space="0" w:color="auto"/>
            </w:tcBorders>
            <w:vAlign w:val="center"/>
          </w:tcPr>
          <w:p w:rsidR="0030422A" w:rsidRPr="00291548" w:rsidRDefault="0030422A" w:rsidP="00843657">
            <w:pPr>
              <w:spacing w:line="240" w:lineRule="auto"/>
              <w:jc w:val="center"/>
              <w:rPr>
                <w:rFonts w:eastAsiaTheme="majorEastAsia"/>
                <w:lang w:val="lt-LT"/>
              </w:rPr>
            </w:pPr>
            <w:r>
              <w:rPr>
                <w:rFonts w:eastAsiaTheme="majorEastAsia"/>
                <w:lang w:val="lt-LT"/>
              </w:rPr>
              <w:t>1</w:t>
            </w:r>
          </w:p>
        </w:tc>
        <w:tc>
          <w:tcPr>
            <w:tcW w:w="469" w:type="pct"/>
            <w:tcBorders>
              <w:top w:val="single" w:sz="18" w:space="0" w:color="auto"/>
            </w:tcBorders>
            <w:vAlign w:val="center"/>
          </w:tcPr>
          <w:p w:rsidR="0030422A" w:rsidRPr="00291548" w:rsidRDefault="0030422A" w:rsidP="00843657">
            <w:pPr>
              <w:spacing w:line="240" w:lineRule="auto"/>
              <w:jc w:val="center"/>
              <w:rPr>
                <w:rFonts w:eastAsiaTheme="majorEastAsia"/>
                <w:lang w:val="lt-LT"/>
              </w:rPr>
            </w:pPr>
            <w:r>
              <w:rPr>
                <w:rFonts w:eastAsiaTheme="majorEastAsia"/>
                <w:lang w:val="lt-LT"/>
              </w:rPr>
              <w:t>1</w:t>
            </w:r>
          </w:p>
        </w:tc>
        <w:tc>
          <w:tcPr>
            <w:tcW w:w="417" w:type="pct"/>
            <w:tcBorders>
              <w:top w:val="single" w:sz="18" w:space="0" w:color="auto"/>
            </w:tcBorders>
            <w:vAlign w:val="center"/>
          </w:tcPr>
          <w:p w:rsidR="0030422A" w:rsidRPr="00291548" w:rsidRDefault="0030422A" w:rsidP="00843657">
            <w:pPr>
              <w:spacing w:line="240" w:lineRule="auto"/>
              <w:jc w:val="center"/>
              <w:rPr>
                <w:rFonts w:eastAsiaTheme="majorEastAsia"/>
                <w:lang w:val="lt-LT"/>
              </w:rPr>
            </w:pPr>
            <w:r>
              <w:rPr>
                <w:rFonts w:eastAsiaTheme="majorEastAsia"/>
                <w:lang w:val="lt-LT"/>
              </w:rPr>
              <w:t>1</w:t>
            </w:r>
          </w:p>
        </w:tc>
        <w:tc>
          <w:tcPr>
            <w:tcW w:w="417" w:type="pct"/>
            <w:tcBorders>
              <w:top w:val="single" w:sz="18" w:space="0" w:color="auto"/>
            </w:tcBorders>
          </w:tcPr>
          <w:p w:rsidR="0030422A" w:rsidRDefault="0030422A" w:rsidP="00843657">
            <w:pPr>
              <w:spacing w:line="240" w:lineRule="auto"/>
              <w:jc w:val="center"/>
              <w:rPr>
                <w:rFonts w:eastAsiaTheme="majorEastAsia"/>
                <w:lang w:val="lt-LT"/>
              </w:rPr>
            </w:pPr>
            <w:r>
              <w:rPr>
                <w:rFonts w:eastAsiaTheme="majorEastAsia"/>
                <w:lang w:val="lt-LT"/>
              </w:rPr>
              <w:t>8</w:t>
            </w:r>
          </w:p>
        </w:tc>
      </w:tr>
      <w:tr w:rsidR="0030422A" w:rsidRPr="00291548" w:rsidTr="0030422A">
        <w:tc>
          <w:tcPr>
            <w:tcW w:w="392" w:type="pct"/>
            <w:tcBorders>
              <w:right w:val="single" w:sz="18" w:space="0" w:color="auto"/>
            </w:tcBorders>
          </w:tcPr>
          <w:p w:rsidR="0030422A" w:rsidRPr="00291548" w:rsidRDefault="0030422A" w:rsidP="00843657">
            <w:pPr>
              <w:spacing w:line="240" w:lineRule="auto"/>
              <w:rPr>
                <w:rFonts w:eastAsiaTheme="majorEastAsia"/>
                <w:b/>
                <w:bCs/>
                <w:lang w:val="lt-LT"/>
              </w:rPr>
            </w:pPr>
            <w:r>
              <w:rPr>
                <w:rFonts w:eastAsiaTheme="majorEastAsia"/>
                <w:b/>
                <w:bCs/>
                <w:lang w:val="lt-LT"/>
              </w:rPr>
              <w:t>D</w:t>
            </w:r>
          </w:p>
        </w:tc>
        <w:tc>
          <w:tcPr>
            <w:tcW w:w="823" w:type="pct"/>
            <w:tcBorders>
              <w:left w:val="single" w:sz="18" w:space="0" w:color="auto"/>
            </w:tcBorders>
            <w:vAlign w:val="center"/>
          </w:tcPr>
          <w:p w:rsidR="0030422A" w:rsidRPr="00732BD8" w:rsidRDefault="0030422A" w:rsidP="00843657">
            <w:pPr>
              <w:spacing w:line="240" w:lineRule="auto"/>
              <w:jc w:val="center"/>
              <w:rPr>
                <w:rFonts w:eastAsiaTheme="majorEastAsia"/>
                <w:lang w:val="en-US"/>
              </w:rPr>
            </w:pPr>
            <w:r>
              <w:rPr>
                <w:rFonts w:eastAsiaTheme="majorEastAsia"/>
                <w:lang w:val="en-US"/>
              </w:rPr>
              <w:t>1</w:t>
            </w:r>
          </w:p>
        </w:tc>
        <w:tc>
          <w:tcPr>
            <w:tcW w:w="864" w:type="pct"/>
            <w:vAlign w:val="center"/>
          </w:tcPr>
          <w:p w:rsidR="0030422A" w:rsidRPr="00291548" w:rsidRDefault="0030422A" w:rsidP="00843657">
            <w:pPr>
              <w:spacing w:line="240" w:lineRule="auto"/>
              <w:jc w:val="center"/>
              <w:rPr>
                <w:rFonts w:eastAsiaTheme="majorEastAsia"/>
                <w:lang w:val="lt-LT"/>
              </w:rPr>
            </w:pPr>
            <w:r>
              <w:rPr>
                <w:rFonts w:eastAsiaTheme="majorEastAsia"/>
                <w:lang w:val="lt-LT"/>
              </w:rPr>
              <w:t>1</w:t>
            </w:r>
          </w:p>
        </w:tc>
        <w:tc>
          <w:tcPr>
            <w:tcW w:w="755" w:type="pct"/>
            <w:vAlign w:val="center"/>
          </w:tcPr>
          <w:p w:rsidR="0030422A" w:rsidRPr="00291548" w:rsidRDefault="0030422A" w:rsidP="00843657">
            <w:pPr>
              <w:spacing w:line="240" w:lineRule="auto"/>
              <w:jc w:val="center"/>
              <w:rPr>
                <w:rFonts w:eastAsiaTheme="majorEastAsia"/>
                <w:lang w:val="lt-LT"/>
              </w:rPr>
            </w:pPr>
            <w:r>
              <w:rPr>
                <w:rFonts w:eastAsiaTheme="majorEastAsia"/>
                <w:lang w:val="lt-LT"/>
              </w:rPr>
              <w:t>2</w:t>
            </w:r>
          </w:p>
        </w:tc>
        <w:tc>
          <w:tcPr>
            <w:tcW w:w="863" w:type="pct"/>
            <w:vAlign w:val="center"/>
          </w:tcPr>
          <w:p w:rsidR="0030422A" w:rsidRPr="00291548" w:rsidRDefault="0030422A" w:rsidP="00843657">
            <w:pPr>
              <w:spacing w:line="240" w:lineRule="auto"/>
              <w:jc w:val="center"/>
              <w:rPr>
                <w:rFonts w:eastAsiaTheme="majorEastAsia"/>
                <w:lang w:val="lt-LT"/>
              </w:rPr>
            </w:pPr>
            <w:r>
              <w:rPr>
                <w:rFonts w:eastAsiaTheme="majorEastAsia"/>
                <w:lang w:val="lt-LT"/>
              </w:rPr>
              <w:t>2</w:t>
            </w:r>
          </w:p>
        </w:tc>
        <w:tc>
          <w:tcPr>
            <w:tcW w:w="469" w:type="pct"/>
            <w:vAlign w:val="center"/>
          </w:tcPr>
          <w:p w:rsidR="0030422A" w:rsidRPr="00291548" w:rsidRDefault="0030422A" w:rsidP="00843657">
            <w:pPr>
              <w:spacing w:line="240" w:lineRule="auto"/>
              <w:jc w:val="center"/>
              <w:rPr>
                <w:rFonts w:eastAsiaTheme="majorEastAsia"/>
                <w:lang w:val="lt-LT"/>
              </w:rPr>
            </w:pPr>
            <w:r>
              <w:rPr>
                <w:rFonts w:eastAsiaTheme="majorEastAsia"/>
                <w:lang w:val="lt-LT"/>
              </w:rPr>
              <w:t>2</w:t>
            </w:r>
          </w:p>
        </w:tc>
        <w:tc>
          <w:tcPr>
            <w:tcW w:w="417" w:type="pct"/>
            <w:vAlign w:val="center"/>
          </w:tcPr>
          <w:p w:rsidR="0030422A" w:rsidRPr="00291548" w:rsidRDefault="0030422A" w:rsidP="00843657">
            <w:pPr>
              <w:spacing w:line="240" w:lineRule="auto"/>
              <w:jc w:val="center"/>
              <w:rPr>
                <w:rFonts w:eastAsiaTheme="majorEastAsia"/>
                <w:lang w:val="lt-LT"/>
              </w:rPr>
            </w:pPr>
            <w:r>
              <w:rPr>
                <w:rFonts w:eastAsiaTheme="majorEastAsia"/>
                <w:lang w:val="lt-LT"/>
              </w:rPr>
              <w:t>2</w:t>
            </w:r>
          </w:p>
        </w:tc>
        <w:tc>
          <w:tcPr>
            <w:tcW w:w="417" w:type="pct"/>
          </w:tcPr>
          <w:p w:rsidR="0030422A" w:rsidRDefault="0030422A" w:rsidP="00843657">
            <w:pPr>
              <w:spacing w:line="240" w:lineRule="auto"/>
              <w:jc w:val="center"/>
              <w:rPr>
                <w:rFonts w:eastAsiaTheme="majorEastAsia"/>
                <w:lang w:val="lt-LT"/>
              </w:rPr>
            </w:pPr>
            <w:r>
              <w:rPr>
                <w:rFonts w:eastAsiaTheme="majorEastAsia"/>
                <w:lang w:val="lt-LT"/>
              </w:rPr>
              <w:t>10</w:t>
            </w:r>
          </w:p>
        </w:tc>
      </w:tr>
    </w:tbl>
    <w:p w:rsidR="00EC4E03" w:rsidRDefault="00EC4E03" w:rsidP="00EC4E03">
      <w:pPr>
        <w:spacing w:after="0" w:line="240" w:lineRule="auto"/>
        <w:rPr>
          <w:rFonts w:eastAsiaTheme="majorEastAsia"/>
          <w:sz w:val="20"/>
          <w:szCs w:val="18"/>
          <w:lang w:val="lt-LT"/>
        </w:rPr>
      </w:pPr>
      <w:r>
        <w:rPr>
          <w:rFonts w:eastAsiaTheme="majorEastAsia"/>
          <w:sz w:val="20"/>
          <w:szCs w:val="18"/>
          <w:lang w:val="lt-LT"/>
        </w:rPr>
        <w:t>Pastaba: lentelė sudaryta autorės.</w:t>
      </w:r>
      <w:r w:rsidR="008122D7">
        <w:rPr>
          <w:rFonts w:eastAsiaTheme="majorEastAsia"/>
          <w:sz w:val="20"/>
          <w:szCs w:val="18"/>
          <w:lang w:val="lt-LT"/>
        </w:rPr>
        <w:t xml:space="preserve"> Remiamasi Lietuvos S</w:t>
      </w:r>
      <w:r w:rsidR="00732BD8">
        <w:rPr>
          <w:rFonts w:eastAsiaTheme="majorEastAsia"/>
          <w:sz w:val="20"/>
          <w:szCs w:val="18"/>
          <w:lang w:val="lt-LT"/>
        </w:rPr>
        <w:t>tatistikos departamento duomenimis.</w:t>
      </w:r>
      <w:r w:rsidR="008122D7">
        <w:rPr>
          <w:rFonts w:eastAsiaTheme="majorEastAsia"/>
          <w:sz w:val="20"/>
          <w:szCs w:val="18"/>
          <w:lang w:val="lt-LT"/>
        </w:rPr>
        <w:t xml:space="preserve"> Joje pateikiami</w:t>
      </w:r>
      <w:r>
        <w:rPr>
          <w:rFonts w:eastAsiaTheme="majorEastAsia"/>
          <w:sz w:val="20"/>
          <w:szCs w:val="18"/>
          <w:lang w:val="lt-LT"/>
        </w:rPr>
        <w:t xml:space="preserve"> </w:t>
      </w:r>
      <w:r w:rsidR="008122D7">
        <w:rPr>
          <w:rFonts w:eastAsiaTheme="majorEastAsia"/>
          <w:sz w:val="20"/>
          <w:szCs w:val="18"/>
          <w:lang w:val="lt-LT"/>
        </w:rPr>
        <w:t xml:space="preserve">pagal efektyvumą </w:t>
      </w:r>
      <w:r>
        <w:rPr>
          <w:rFonts w:eastAsiaTheme="majorEastAsia"/>
          <w:sz w:val="20"/>
          <w:szCs w:val="18"/>
          <w:lang w:val="lt-LT"/>
        </w:rPr>
        <w:t>suranguot</w:t>
      </w:r>
      <w:r w:rsidR="005E6E97">
        <w:rPr>
          <w:rFonts w:eastAsiaTheme="majorEastAsia"/>
          <w:sz w:val="20"/>
          <w:szCs w:val="18"/>
          <w:lang w:val="lt-LT"/>
        </w:rPr>
        <w:t>i</w:t>
      </w:r>
      <w:r>
        <w:rPr>
          <w:rFonts w:eastAsiaTheme="majorEastAsia"/>
          <w:sz w:val="20"/>
          <w:szCs w:val="18"/>
          <w:lang w:val="lt-LT"/>
        </w:rPr>
        <w:t xml:space="preserve"> sektoriai, 1 – ef</w:t>
      </w:r>
      <w:r w:rsidR="008122D7">
        <w:rPr>
          <w:rFonts w:eastAsiaTheme="majorEastAsia"/>
          <w:sz w:val="20"/>
          <w:szCs w:val="18"/>
          <w:lang w:val="lt-LT"/>
        </w:rPr>
        <w:t>ektyviausia, 2 – mažiau efektyvus</w:t>
      </w:r>
      <w:r>
        <w:rPr>
          <w:rFonts w:eastAsiaTheme="majorEastAsia"/>
          <w:sz w:val="20"/>
          <w:szCs w:val="18"/>
          <w:lang w:val="lt-LT"/>
        </w:rPr>
        <w:t>, o įmonių raidės žymi sektori</w:t>
      </w:r>
      <w:r w:rsidR="00732BD8">
        <w:rPr>
          <w:rFonts w:eastAsiaTheme="majorEastAsia"/>
          <w:sz w:val="20"/>
          <w:szCs w:val="18"/>
          <w:lang w:val="lt-LT"/>
        </w:rPr>
        <w:t>ų, kuriame jos veikia</w:t>
      </w:r>
      <w:r>
        <w:rPr>
          <w:rFonts w:eastAsiaTheme="majorEastAsia"/>
          <w:sz w:val="20"/>
          <w:szCs w:val="18"/>
          <w:lang w:val="lt-LT"/>
        </w:rPr>
        <w:t>.</w:t>
      </w:r>
    </w:p>
    <w:p w:rsidR="00732BD8" w:rsidRPr="00732BD8" w:rsidRDefault="00732BD8" w:rsidP="00EC4E03">
      <w:pPr>
        <w:spacing w:after="0" w:line="240" w:lineRule="auto"/>
        <w:rPr>
          <w:rFonts w:eastAsiaTheme="majorEastAsia"/>
          <w:sz w:val="14"/>
          <w:szCs w:val="12"/>
          <w:lang w:val="lt-LT"/>
        </w:rPr>
      </w:pPr>
    </w:p>
    <w:p w:rsidR="00310DFF" w:rsidRPr="00134ED6" w:rsidRDefault="00C974F9" w:rsidP="00134ED6">
      <w:pPr>
        <w:spacing w:after="0"/>
        <w:ind w:firstLine="851"/>
        <w:rPr>
          <w:rFonts w:eastAsiaTheme="majorEastAsia"/>
          <w:lang w:val="lt-LT"/>
        </w:rPr>
      </w:pPr>
      <w:r>
        <w:rPr>
          <w:rFonts w:eastAsiaTheme="majorEastAsia"/>
          <w:lang w:val="lt-LT"/>
        </w:rPr>
        <w:t xml:space="preserve">Taip pat buvo nuspręsta ištirti, ar įmonių finansiniams rodikliams daro kokį poveikį sektoriaus rodikliai. </w:t>
      </w:r>
      <w:r w:rsidR="00732BD8">
        <w:rPr>
          <w:rFonts w:eastAsiaTheme="majorEastAsia"/>
          <w:lang w:val="lt-LT"/>
        </w:rPr>
        <w:t>Palyginus sektorių</w:t>
      </w:r>
      <w:r>
        <w:rPr>
          <w:rFonts w:eastAsiaTheme="majorEastAsia"/>
          <w:lang w:val="lt-LT"/>
        </w:rPr>
        <w:t xml:space="preserve"> (žr. 32 lentelę)</w:t>
      </w:r>
      <w:r w:rsidR="00732BD8">
        <w:rPr>
          <w:rFonts w:eastAsiaTheme="majorEastAsia"/>
          <w:lang w:val="lt-LT"/>
        </w:rPr>
        <w:t xml:space="preserve">, kuriuose veikia įmonės A ir D, pastebėta, </w:t>
      </w:r>
      <w:r w:rsidR="00732BD8">
        <w:rPr>
          <w:rFonts w:eastAsiaTheme="majorEastAsia"/>
          <w:lang w:val="lt-LT"/>
        </w:rPr>
        <w:lastRenderedPageBreak/>
        <w:t xml:space="preserve">kad geresni rodikliai dominuoja </w:t>
      </w:r>
      <w:r w:rsidR="00843657">
        <w:rPr>
          <w:rFonts w:eastAsiaTheme="majorEastAsia"/>
          <w:lang w:val="lt-LT"/>
        </w:rPr>
        <w:t>pramoninių mašinų ir įrangos įrengimų sektoriuje, kuriame ir veikia įm</w:t>
      </w:r>
      <w:r w:rsidR="008122D7">
        <w:rPr>
          <w:rFonts w:eastAsiaTheme="majorEastAsia"/>
          <w:lang w:val="lt-LT"/>
        </w:rPr>
        <w:t>onė A, lyginant su</w:t>
      </w:r>
      <w:r w:rsidR="00843657">
        <w:rPr>
          <w:rFonts w:eastAsiaTheme="majorEastAsia"/>
          <w:lang w:val="lt-LT"/>
        </w:rPr>
        <w:t xml:space="preserve"> niekur kitur nepri</w:t>
      </w:r>
      <w:r w:rsidR="008122D7">
        <w:rPr>
          <w:rFonts w:eastAsiaTheme="majorEastAsia"/>
          <w:lang w:val="lt-LT"/>
        </w:rPr>
        <w:t>skirtų statybos darbų sektoriumi</w:t>
      </w:r>
      <w:r w:rsidR="00843657">
        <w:rPr>
          <w:rFonts w:eastAsiaTheme="majorEastAsia"/>
          <w:lang w:val="lt-LT"/>
        </w:rPr>
        <w:t>,</w:t>
      </w:r>
      <w:r w:rsidR="00806E51">
        <w:rPr>
          <w:rFonts w:eastAsiaTheme="majorEastAsia"/>
          <w:lang w:val="lt-LT"/>
        </w:rPr>
        <w:t xml:space="preserve"> kurio suminis rodiklis yra didesnis</w:t>
      </w:r>
      <w:r w:rsidR="00843657">
        <w:rPr>
          <w:rFonts w:eastAsiaTheme="majorEastAsia"/>
          <w:lang w:val="lt-LT"/>
        </w:rPr>
        <w:t>.</w:t>
      </w:r>
      <w:r w:rsidR="00134ED6">
        <w:rPr>
          <w:rFonts w:eastAsiaTheme="majorEastAsia"/>
          <w:lang w:val="lt-LT"/>
        </w:rPr>
        <w:t xml:space="preserve"> Tad </w:t>
      </w:r>
      <w:r w:rsidR="005E6E97">
        <w:rPr>
          <w:rFonts w:eastAsiaTheme="majorEastAsia"/>
          <w:lang w:val="lt-LT"/>
        </w:rPr>
        <w:t xml:space="preserve">galima daryti išvadą, kad </w:t>
      </w:r>
      <w:r w:rsidR="00134ED6">
        <w:rPr>
          <w:rFonts w:eastAsiaTheme="majorEastAsia"/>
          <w:lang w:val="lt-LT"/>
        </w:rPr>
        <w:t>pramoninių mašinų ir įrangos įrengimų sektoriuje veikiančios įmonės yra efektyvesnės</w:t>
      </w:r>
      <w:r w:rsidR="008122D7">
        <w:rPr>
          <w:rFonts w:eastAsiaTheme="majorEastAsia"/>
          <w:lang w:val="lt-LT"/>
        </w:rPr>
        <w:t>, tai patvritina ir įmonės A finansiniai rodikliai</w:t>
      </w:r>
      <w:r w:rsidR="00134ED6">
        <w:rPr>
          <w:rFonts w:eastAsiaTheme="majorEastAsia"/>
          <w:lang w:val="lt-LT"/>
        </w:rPr>
        <w:t>.</w:t>
      </w:r>
    </w:p>
    <w:p w:rsidR="00843657" w:rsidRDefault="00843657" w:rsidP="00843657">
      <w:pPr>
        <w:spacing w:after="0"/>
        <w:ind w:firstLine="851"/>
        <w:jc w:val="right"/>
        <w:rPr>
          <w:rFonts w:eastAsiaTheme="majorEastAsia"/>
          <w:b/>
          <w:bCs/>
          <w:lang w:val="lt-LT"/>
        </w:rPr>
      </w:pPr>
      <w:r>
        <w:rPr>
          <w:rFonts w:eastAsiaTheme="majorEastAsia"/>
          <w:b/>
          <w:bCs/>
          <w:lang w:val="lt-LT"/>
        </w:rPr>
        <w:t>33 lentelė</w:t>
      </w:r>
    </w:p>
    <w:p w:rsidR="00843657" w:rsidRDefault="00572C3E" w:rsidP="005E6E97">
      <w:pPr>
        <w:spacing w:after="0" w:line="240" w:lineRule="auto"/>
        <w:ind w:firstLine="851"/>
        <w:jc w:val="center"/>
        <w:rPr>
          <w:rFonts w:eastAsiaTheme="majorEastAsia"/>
          <w:b/>
          <w:bCs/>
          <w:sz w:val="22"/>
          <w:szCs w:val="20"/>
          <w:lang w:val="lt-LT"/>
        </w:rPr>
      </w:pPr>
      <w:r>
        <w:rPr>
          <w:rFonts w:eastAsiaTheme="majorEastAsia"/>
          <w:b/>
          <w:bCs/>
          <w:sz w:val="22"/>
          <w:szCs w:val="20"/>
          <w:lang w:val="lt-LT"/>
        </w:rPr>
        <w:t xml:space="preserve">Kitų metalo gaminių gamybos ir medienos dirbinių gamybos </w:t>
      </w:r>
      <w:r w:rsidR="005E6E97">
        <w:rPr>
          <w:rFonts w:eastAsiaTheme="majorEastAsia"/>
          <w:b/>
          <w:bCs/>
          <w:sz w:val="22"/>
          <w:szCs w:val="20"/>
          <w:lang w:val="lt-LT"/>
        </w:rPr>
        <w:t>s</w:t>
      </w:r>
      <w:r w:rsidR="00843657">
        <w:rPr>
          <w:rFonts w:eastAsiaTheme="majorEastAsia"/>
          <w:b/>
          <w:bCs/>
          <w:sz w:val="22"/>
          <w:szCs w:val="20"/>
          <w:lang w:val="lt-LT"/>
        </w:rPr>
        <w:t>ektorių</w:t>
      </w:r>
      <w:r w:rsidR="00BE325B">
        <w:rPr>
          <w:rFonts w:eastAsiaTheme="majorEastAsia"/>
          <w:b/>
          <w:bCs/>
          <w:sz w:val="22"/>
          <w:szCs w:val="20"/>
          <w:lang w:val="lt-LT"/>
        </w:rPr>
        <w:t xml:space="preserve">, kuriuose veikia įmonės </w:t>
      </w:r>
      <w:r w:rsidR="00843657">
        <w:rPr>
          <w:rFonts w:eastAsiaTheme="majorEastAsia"/>
          <w:b/>
          <w:bCs/>
          <w:sz w:val="22"/>
          <w:szCs w:val="20"/>
          <w:lang w:val="lt-LT"/>
        </w:rPr>
        <w:t>rangavimas</w:t>
      </w:r>
      <w:r w:rsidR="00BE325B">
        <w:rPr>
          <w:rFonts w:eastAsiaTheme="majorEastAsia"/>
          <w:b/>
          <w:bCs/>
          <w:sz w:val="22"/>
          <w:szCs w:val="20"/>
          <w:lang w:val="lt-LT"/>
        </w:rPr>
        <w:t>,</w:t>
      </w:r>
      <w:r w:rsidR="00843657">
        <w:rPr>
          <w:rFonts w:eastAsiaTheme="majorEastAsia"/>
          <w:b/>
          <w:bCs/>
          <w:sz w:val="22"/>
          <w:szCs w:val="20"/>
          <w:lang w:val="lt-LT"/>
        </w:rPr>
        <w:t xml:space="preserve"> pagal </w:t>
      </w:r>
      <w:r w:rsidR="005E6E97">
        <w:rPr>
          <w:rFonts w:eastAsiaTheme="majorEastAsia"/>
          <w:b/>
          <w:bCs/>
          <w:sz w:val="22"/>
          <w:szCs w:val="20"/>
          <w:lang w:val="lt-LT"/>
        </w:rPr>
        <w:t xml:space="preserve">2013 m. </w:t>
      </w:r>
      <w:r w:rsidR="00843657">
        <w:rPr>
          <w:rFonts w:eastAsiaTheme="majorEastAsia"/>
          <w:b/>
          <w:bCs/>
          <w:sz w:val="22"/>
          <w:szCs w:val="20"/>
          <w:lang w:val="lt-LT"/>
        </w:rPr>
        <w:t>finansinius rodiklius</w:t>
      </w:r>
    </w:p>
    <w:p w:rsidR="00843657" w:rsidRPr="007920A8" w:rsidRDefault="00843657" w:rsidP="00843657">
      <w:pPr>
        <w:spacing w:after="0" w:line="240" w:lineRule="auto"/>
        <w:rPr>
          <w:rFonts w:eastAsiaTheme="majorEastAsia"/>
          <w:sz w:val="20"/>
          <w:szCs w:val="18"/>
          <w:lang w:val="lt-LT"/>
        </w:rPr>
      </w:pPr>
    </w:p>
    <w:tbl>
      <w:tblPr>
        <w:tblStyle w:val="TableGrid"/>
        <w:tblW w:w="5000" w:type="pct"/>
        <w:tblLook w:val="04A0" w:firstRow="1" w:lastRow="0" w:firstColumn="1" w:lastColumn="0" w:noHBand="0" w:noVBand="1"/>
      </w:tblPr>
      <w:tblGrid>
        <w:gridCol w:w="734"/>
        <w:gridCol w:w="1583"/>
        <w:gridCol w:w="1665"/>
        <w:gridCol w:w="1563"/>
        <w:gridCol w:w="1663"/>
        <w:gridCol w:w="886"/>
        <w:gridCol w:w="784"/>
        <w:gridCol w:w="977"/>
      </w:tblGrid>
      <w:tr w:rsidR="00806E51" w:rsidRPr="00291548" w:rsidTr="00806E51">
        <w:tc>
          <w:tcPr>
            <w:tcW w:w="392" w:type="pct"/>
            <w:tcBorders>
              <w:bottom w:val="single" w:sz="18" w:space="0" w:color="auto"/>
              <w:right w:val="single" w:sz="18" w:space="0" w:color="auto"/>
              <w:tl2br w:val="single" w:sz="4" w:space="0" w:color="auto"/>
            </w:tcBorders>
          </w:tcPr>
          <w:p w:rsidR="00806E51" w:rsidRPr="00291548" w:rsidRDefault="00806E51" w:rsidP="00310DFF">
            <w:pPr>
              <w:spacing w:line="240" w:lineRule="auto"/>
              <w:jc w:val="right"/>
              <w:rPr>
                <w:rFonts w:eastAsiaTheme="majorEastAsia"/>
                <w:b/>
                <w:bCs/>
                <w:lang w:val="lt-LT"/>
              </w:rPr>
            </w:pPr>
            <w:r w:rsidRPr="00291548">
              <w:rPr>
                <w:rFonts w:eastAsiaTheme="majorEastAsia"/>
                <w:b/>
                <w:bCs/>
                <w:lang w:val="lt-LT"/>
              </w:rPr>
              <w:t>Rod</w:t>
            </w:r>
          </w:p>
          <w:p w:rsidR="00806E51" w:rsidRPr="00291548" w:rsidRDefault="00806E51" w:rsidP="00843657">
            <w:pPr>
              <w:spacing w:line="240" w:lineRule="auto"/>
              <w:rPr>
                <w:rFonts w:eastAsiaTheme="majorEastAsia"/>
                <w:b/>
                <w:bCs/>
                <w:lang w:val="lt-LT"/>
              </w:rPr>
            </w:pPr>
            <w:r w:rsidRPr="00291548">
              <w:rPr>
                <w:rFonts w:eastAsiaTheme="majorEastAsia"/>
                <w:b/>
                <w:bCs/>
                <w:lang w:val="lt-LT"/>
              </w:rPr>
              <w:t>Įm</w:t>
            </w:r>
            <w:r>
              <w:rPr>
                <w:rFonts w:eastAsiaTheme="majorEastAsia"/>
                <w:b/>
                <w:bCs/>
                <w:lang w:val="lt-LT"/>
              </w:rPr>
              <w:t>.</w:t>
            </w:r>
          </w:p>
        </w:tc>
        <w:tc>
          <w:tcPr>
            <w:tcW w:w="823" w:type="pct"/>
            <w:tcBorders>
              <w:left w:val="single" w:sz="18" w:space="0" w:color="auto"/>
              <w:bottom w:val="single" w:sz="18" w:space="0" w:color="auto"/>
            </w:tcBorders>
            <w:vAlign w:val="center"/>
          </w:tcPr>
          <w:p w:rsidR="00806E51" w:rsidRPr="00291548" w:rsidRDefault="00806E51" w:rsidP="00843657">
            <w:pPr>
              <w:spacing w:line="240" w:lineRule="auto"/>
              <w:jc w:val="center"/>
              <w:rPr>
                <w:rFonts w:asciiTheme="majorBidi" w:hAnsiTheme="majorBidi" w:cstheme="majorBidi"/>
                <w:b/>
                <w:bCs/>
                <w:lang w:val="lt-LT"/>
              </w:rPr>
            </w:pPr>
            <w:r w:rsidRPr="00291548">
              <w:rPr>
                <w:b/>
                <w:bCs/>
                <w:lang w:val="lt-LT"/>
              </w:rPr>
              <w:t>Einamasis likvidumas</w:t>
            </w:r>
          </w:p>
        </w:tc>
        <w:tc>
          <w:tcPr>
            <w:tcW w:w="864" w:type="pct"/>
            <w:tcBorders>
              <w:bottom w:val="single" w:sz="18" w:space="0" w:color="auto"/>
            </w:tcBorders>
            <w:vAlign w:val="center"/>
          </w:tcPr>
          <w:p w:rsidR="00806E51" w:rsidRPr="00291548" w:rsidRDefault="00806E51" w:rsidP="00843657">
            <w:pPr>
              <w:spacing w:line="240" w:lineRule="auto"/>
              <w:ind w:left="-59"/>
              <w:jc w:val="center"/>
              <w:rPr>
                <w:rFonts w:asciiTheme="majorBidi" w:hAnsiTheme="majorBidi" w:cstheme="majorBidi"/>
                <w:b/>
                <w:bCs/>
                <w:lang w:val="lt-LT"/>
              </w:rPr>
            </w:pPr>
            <w:r w:rsidRPr="00291548">
              <w:rPr>
                <w:rFonts w:asciiTheme="majorBidi" w:hAnsiTheme="majorBidi" w:cstheme="majorBidi"/>
                <w:b/>
                <w:bCs/>
                <w:lang w:val="lt-LT"/>
              </w:rPr>
              <w:t>Įsiskolinimų koeficientas</w:t>
            </w:r>
          </w:p>
        </w:tc>
        <w:tc>
          <w:tcPr>
            <w:tcW w:w="755" w:type="pct"/>
            <w:tcBorders>
              <w:bottom w:val="single" w:sz="18" w:space="0" w:color="auto"/>
            </w:tcBorders>
            <w:vAlign w:val="center"/>
          </w:tcPr>
          <w:p w:rsidR="00806E51" w:rsidRPr="00291548" w:rsidRDefault="00806E51" w:rsidP="00843657">
            <w:pPr>
              <w:spacing w:line="240" w:lineRule="auto"/>
              <w:jc w:val="center"/>
              <w:rPr>
                <w:rFonts w:asciiTheme="majorBidi" w:hAnsiTheme="majorBidi" w:cstheme="majorBidi"/>
                <w:b/>
                <w:bCs/>
                <w:lang w:val="lt-LT"/>
              </w:rPr>
            </w:pPr>
            <w:r w:rsidRPr="00291548">
              <w:rPr>
                <w:rFonts w:asciiTheme="majorBidi" w:hAnsiTheme="majorBidi" w:cstheme="majorBidi"/>
                <w:b/>
                <w:bCs/>
                <w:lang w:val="lt-LT"/>
              </w:rPr>
              <w:t xml:space="preserve">Turto </w:t>
            </w:r>
            <w:r>
              <w:rPr>
                <w:rFonts w:asciiTheme="majorBidi" w:hAnsiTheme="majorBidi" w:cstheme="majorBidi"/>
                <w:b/>
                <w:bCs/>
                <w:lang w:val="lt-LT"/>
              </w:rPr>
              <w:t>apyvartumas</w:t>
            </w:r>
          </w:p>
        </w:tc>
        <w:tc>
          <w:tcPr>
            <w:tcW w:w="863" w:type="pct"/>
            <w:tcBorders>
              <w:bottom w:val="single" w:sz="18" w:space="0" w:color="auto"/>
            </w:tcBorders>
            <w:vAlign w:val="center"/>
          </w:tcPr>
          <w:p w:rsidR="00806E51" w:rsidRPr="00291548" w:rsidRDefault="00806E51" w:rsidP="00843657">
            <w:pPr>
              <w:spacing w:line="240" w:lineRule="auto"/>
              <w:jc w:val="center"/>
              <w:rPr>
                <w:b/>
                <w:bCs/>
                <w:lang w:val="lt-LT"/>
              </w:rPr>
            </w:pPr>
            <w:r w:rsidRPr="00291548">
              <w:rPr>
                <w:rFonts w:asciiTheme="majorBidi" w:hAnsiTheme="majorBidi" w:cstheme="majorBidi"/>
                <w:b/>
                <w:bCs/>
                <w:lang w:val="lt-LT"/>
              </w:rPr>
              <w:t>Grynasis pelningumas</w:t>
            </w:r>
          </w:p>
        </w:tc>
        <w:tc>
          <w:tcPr>
            <w:tcW w:w="469" w:type="pct"/>
            <w:tcBorders>
              <w:bottom w:val="single" w:sz="18" w:space="0" w:color="auto"/>
            </w:tcBorders>
            <w:vAlign w:val="center"/>
          </w:tcPr>
          <w:p w:rsidR="00806E51" w:rsidRPr="00291548" w:rsidRDefault="00806E51" w:rsidP="00843657">
            <w:pPr>
              <w:spacing w:line="240" w:lineRule="auto"/>
              <w:jc w:val="center"/>
              <w:rPr>
                <w:b/>
                <w:bCs/>
                <w:lang w:val="lt-LT"/>
              </w:rPr>
            </w:pPr>
            <w:r w:rsidRPr="00291548">
              <w:rPr>
                <w:b/>
                <w:bCs/>
                <w:lang w:val="lt-LT"/>
              </w:rPr>
              <w:t>ROA</w:t>
            </w:r>
          </w:p>
        </w:tc>
        <w:tc>
          <w:tcPr>
            <w:tcW w:w="417" w:type="pct"/>
            <w:tcBorders>
              <w:bottom w:val="single" w:sz="18" w:space="0" w:color="auto"/>
            </w:tcBorders>
            <w:vAlign w:val="center"/>
          </w:tcPr>
          <w:p w:rsidR="00806E51" w:rsidRPr="00291548" w:rsidRDefault="00806E51" w:rsidP="00843657">
            <w:pPr>
              <w:spacing w:line="240" w:lineRule="auto"/>
              <w:jc w:val="center"/>
              <w:rPr>
                <w:b/>
                <w:bCs/>
                <w:lang w:val="lt-LT"/>
              </w:rPr>
            </w:pPr>
            <w:r w:rsidRPr="00291548">
              <w:rPr>
                <w:b/>
                <w:bCs/>
                <w:lang w:val="lt-LT"/>
              </w:rPr>
              <w:t>ROE</w:t>
            </w:r>
          </w:p>
        </w:tc>
        <w:tc>
          <w:tcPr>
            <w:tcW w:w="417" w:type="pct"/>
            <w:tcBorders>
              <w:bottom w:val="single" w:sz="18" w:space="0" w:color="auto"/>
            </w:tcBorders>
          </w:tcPr>
          <w:p w:rsidR="00806E51" w:rsidRPr="00291548" w:rsidRDefault="00806E51" w:rsidP="00843657">
            <w:pPr>
              <w:spacing w:line="240" w:lineRule="auto"/>
              <w:jc w:val="center"/>
              <w:rPr>
                <w:b/>
                <w:bCs/>
                <w:lang w:val="lt-LT"/>
              </w:rPr>
            </w:pPr>
            <w:r>
              <w:rPr>
                <w:b/>
                <w:bCs/>
                <w:lang w:val="lt-LT"/>
              </w:rPr>
              <w:t>Sum. Rangas</w:t>
            </w:r>
          </w:p>
        </w:tc>
      </w:tr>
      <w:tr w:rsidR="00806E51" w:rsidRPr="00291548" w:rsidTr="00806E51">
        <w:tc>
          <w:tcPr>
            <w:tcW w:w="392" w:type="pct"/>
            <w:tcBorders>
              <w:top w:val="single" w:sz="18" w:space="0" w:color="auto"/>
              <w:right w:val="single" w:sz="18" w:space="0" w:color="auto"/>
            </w:tcBorders>
          </w:tcPr>
          <w:p w:rsidR="00806E51" w:rsidRPr="00291548" w:rsidRDefault="00806E51" w:rsidP="00843657">
            <w:pPr>
              <w:spacing w:line="240" w:lineRule="auto"/>
              <w:rPr>
                <w:rFonts w:eastAsiaTheme="majorEastAsia"/>
                <w:b/>
                <w:bCs/>
                <w:lang w:val="lt-LT"/>
              </w:rPr>
            </w:pPr>
            <w:r>
              <w:rPr>
                <w:rFonts w:eastAsiaTheme="majorEastAsia"/>
                <w:b/>
                <w:bCs/>
                <w:lang w:val="lt-LT"/>
              </w:rPr>
              <w:t>B</w:t>
            </w:r>
          </w:p>
        </w:tc>
        <w:tc>
          <w:tcPr>
            <w:tcW w:w="823" w:type="pct"/>
            <w:tcBorders>
              <w:top w:val="single" w:sz="18" w:space="0" w:color="auto"/>
              <w:left w:val="single" w:sz="18" w:space="0" w:color="auto"/>
            </w:tcBorders>
            <w:vAlign w:val="center"/>
          </w:tcPr>
          <w:p w:rsidR="00806E51" w:rsidRPr="007920A8" w:rsidRDefault="00806E51" w:rsidP="00843657">
            <w:pPr>
              <w:spacing w:line="240" w:lineRule="auto"/>
              <w:jc w:val="center"/>
              <w:rPr>
                <w:rFonts w:eastAsiaTheme="majorEastAsia"/>
                <w:lang w:val="en-US"/>
              </w:rPr>
            </w:pPr>
            <w:r>
              <w:rPr>
                <w:rFonts w:eastAsiaTheme="majorEastAsia"/>
                <w:lang w:val="en-US"/>
              </w:rPr>
              <w:t>2</w:t>
            </w:r>
          </w:p>
        </w:tc>
        <w:tc>
          <w:tcPr>
            <w:tcW w:w="864" w:type="pct"/>
            <w:tcBorders>
              <w:top w:val="single" w:sz="18" w:space="0" w:color="auto"/>
            </w:tcBorders>
            <w:vAlign w:val="center"/>
          </w:tcPr>
          <w:p w:rsidR="00806E51" w:rsidRPr="00291548" w:rsidRDefault="00806E51" w:rsidP="00843657">
            <w:pPr>
              <w:spacing w:line="240" w:lineRule="auto"/>
              <w:jc w:val="center"/>
              <w:rPr>
                <w:rFonts w:eastAsiaTheme="majorEastAsia"/>
                <w:lang w:val="lt-LT"/>
              </w:rPr>
            </w:pPr>
            <w:r>
              <w:rPr>
                <w:rFonts w:eastAsiaTheme="majorEastAsia"/>
                <w:lang w:val="lt-LT"/>
              </w:rPr>
              <w:t>2</w:t>
            </w:r>
          </w:p>
        </w:tc>
        <w:tc>
          <w:tcPr>
            <w:tcW w:w="755" w:type="pct"/>
            <w:tcBorders>
              <w:top w:val="single" w:sz="18" w:space="0" w:color="auto"/>
            </w:tcBorders>
            <w:vAlign w:val="center"/>
          </w:tcPr>
          <w:p w:rsidR="00806E51" w:rsidRPr="00291548" w:rsidRDefault="00806E51" w:rsidP="00843657">
            <w:pPr>
              <w:spacing w:line="240" w:lineRule="auto"/>
              <w:jc w:val="center"/>
              <w:rPr>
                <w:rFonts w:eastAsiaTheme="majorEastAsia"/>
                <w:lang w:val="lt-LT"/>
              </w:rPr>
            </w:pPr>
            <w:r>
              <w:rPr>
                <w:rFonts w:eastAsiaTheme="majorEastAsia"/>
                <w:lang w:val="lt-LT"/>
              </w:rPr>
              <w:t>2</w:t>
            </w:r>
          </w:p>
        </w:tc>
        <w:tc>
          <w:tcPr>
            <w:tcW w:w="863" w:type="pct"/>
            <w:tcBorders>
              <w:top w:val="single" w:sz="18" w:space="0" w:color="auto"/>
            </w:tcBorders>
            <w:vAlign w:val="center"/>
          </w:tcPr>
          <w:p w:rsidR="00806E51" w:rsidRPr="00291548" w:rsidRDefault="00806E51" w:rsidP="00843657">
            <w:pPr>
              <w:spacing w:line="240" w:lineRule="auto"/>
              <w:jc w:val="center"/>
              <w:rPr>
                <w:rFonts w:eastAsiaTheme="majorEastAsia"/>
                <w:lang w:val="lt-LT"/>
              </w:rPr>
            </w:pPr>
            <w:r>
              <w:rPr>
                <w:rFonts w:eastAsiaTheme="majorEastAsia"/>
                <w:lang w:val="lt-LT"/>
              </w:rPr>
              <w:t>2</w:t>
            </w:r>
          </w:p>
        </w:tc>
        <w:tc>
          <w:tcPr>
            <w:tcW w:w="469" w:type="pct"/>
            <w:tcBorders>
              <w:top w:val="single" w:sz="18" w:space="0" w:color="auto"/>
            </w:tcBorders>
            <w:vAlign w:val="center"/>
          </w:tcPr>
          <w:p w:rsidR="00806E51" w:rsidRPr="00291548" w:rsidRDefault="00806E51" w:rsidP="00843657">
            <w:pPr>
              <w:spacing w:line="240" w:lineRule="auto"/>
              <w:jc w:val="center"/>
              <w:rPr>
                <w:rFonts w:eastAsiaTheme="majorEastAsia"/>
                <w:lang w:val="lt-LT"/>
              </w:rPr>
            </w:pPr>
            <w:r>
              <w:rPr>
                <w:rFonts w:eastAsiaTheme="majorEastAsia"/>
                <w:lang w:val="lt-LT"/>
              </w:rPr>
              <w:t>2</w:t>
            </w:r>
          </w:p>
        </w:tc>
        <w:tc>
          <w:tcPr>
            <w:tcW w:w="417" w:type="pct"/>
            <w:tcBorders>
              <w:top w:val="single" w:sz="18" w:space="0" w:color="auto"/>
            </w:tcBorders>
            <w:vAlign w:val="center"/>
          </w:tcPr>
          <w:p w:rsidR="00806E51" w:rsidRPr="00291548" w:rsidRDefault="00806E51" w:rsidP="00843657">
            <w:pPr>
              <w:spacing w:line="240" w:lineRule="auto"/>
              <w:jc w:val="center"/>
              <w:rPr>
                <w:rFonts w:eastAsiaTheme="majorEastAsia"/>
                <w:lang w:val="lt-LT"/>
              </w:rPr>
            </w:pPr>
            <w:r>
              <w:rPr>
                <w:rFonts w:eastAsiaTheme="majorEastAsia"/>
                <w:lang w:val="lt-LT"/>
              </w:rPr>
              <w:t>2</w:t>
            </w:r>
          </w:p>
        </w:tc>
        <w:tc>
          <w:tcPr>
            <w:tcW w:w="417" w:type="pct"/>
            <w:tcBorders>
              <w:top w:val="single" w:sz="18" w:space="0" w:color="auto"/>
            </w:tcBorders>
          </w:tcPr>
          <w:p w:rsidR="00806E51" w:rsidRDefault="00806E51" w:rsidP="00843657">
            <w:pPr>
              <w:spacing w:line="240" w:lineRule="auto"/>
              <w:jc w:val="center"/>
              <w:rPr>
                <w:rFonts w:eastAsiaTheme="majorEastAsia"/>
                <w:lang w:val="lt-LT"/>
              </w:rPr>
            </w:pPr>
            <w:r>
              <w:rPr>
                <w:rFonts w:eastAsiaTheme="majorEastAsia"/>
                <w:lang w:val="lt-LT"/>
              </w:rPr>
              <w:t>12</w:t>
            </w:r>
          </w:p>
        </w:tc>
      </w:tr>
      <w:tr w:rsidR="00806E51" w:rsidRPr="00291548" w:rsidTr="00806E51">
        <w:tc>
          <w:tcPr>
            <w:tcW w:w="392" w:type="pct"/>
            <w:tcBorders>
              <w:right w:val="single" w:sz="18" w:space="0" w:color="auto"/>
            </w:tcBorders>
          </w:tcPr>
          <w:p w:rsidR="00806E51" w:rsidRPr="00291548" w:rsidRDefault="00806E51" w:rsidP="00843657">
            <w:pPr>
              <w:spacing w:line="240" w:lineRule="auto"/>
              <w:rPr>
                <w:rFonts w:eastAsiaTheme="majorEastAsia"/>
                <w:b/>
                <w:bCs/>
                <w:lang w:val="lt-LT"/>
              </w:rPr>
            </w:pPr>
            <w:r>
              <w:rPr>
                <w:rFonts w:eastAsiaTheme="majorEastAsia"/>
                <w:b/>
                <w:bCs/>
                <w:lang w:val="lt-LT"/>
              </w:rPr>
              <w:t>C</w:t>
            </w:r>
          </w:p>
        </w:tc>
        <w:tc>
          <w:tcPr>
            <w:tcW w:w="823" w:type="pct"/>
            <w:tcBorders>
              <w:left w:val="single" w:sz="18" w:space="0" w:color="auto"/>
            </w:tcBorders>
            <w:vAlign w:val="center"/>
          </w:tcPr>
          <w:p w:rsidR="00806E51" w:rsidRPr="00732BD8" w:rsidRDefault="00806E51" w:rsidP="00843657">
            <w:pPr>
              <w:spacing w:line="240" w:lineRule="auto"/>
              <w:jc w:val="center"/>
              <w:rPr>
                <w:rFonts w:eastAsiaTheme="majorEastAsia"/>
                <w:lang w:val="en-US"/>
              </w:rPr>
            </w:pPr>
            <w:r>
              <w:rPr>
                <w:rFonts w:eastAsiaTheme="majorEastAsia"/>
                <w:lang w:val="en-US"/>
              </w:rPr>
              <w:t>1</w:t>
            </w:r>
          </w:p>
        </w:tc>
        <w:tc>
          <w:tcPr>
            <w:tcW w:w="864" w:type="pct"/>
            <w:vAlign w:val="center"/>
          </w:tcPr>
          <w:p w:rsidR="00806E51" w:rsidRPr="00291548" w:rsidRDefault="00806E51" w:rsidP="00843657">
            <w:pPr>
              <w:spacing w:line="240" w:lineRule="auto"/>
              <w:jc w:val="center"/>
              <w:rPr>
                <w:rFonts w:eastAsiaTheme="majorEastAsia"/>
                <w:lang w:val="lt-LT"/>
              </w:rPr>
            </w:pPr>
            <w:r>
              <w:rPr>
                <w:rFonts w:eastAsiaTheme="majorEastAsia"/>
                <w:lang w:val="lt-LT"/>
              </w:rPr>
              <w:t>1</w:t>
            </w:r>
          </w:p>
        </w:tc>
        <w:tc>
          <w:tcPr>
            <w:tcW w:w="755" w:type="pct"/>
            <w:vAlign w:val="center"/>
          </w:tcPr>
          <w:p w:rsidR="00806E51" w:rsidRPr="00291548" w:rsidRDefault="00806E51" w:rsidP="00843657">
            <w:pPr>
              <w:spacing w:line="240" w:lineRule="auto"/>
              <w:jc w:val="center"/>
              <w:rPr>
                <w:rFonts w:eastAsiaTheme="majorEastAsia"/>
                <w:lang w:val="lt-LT"/>
              </w:rPr>
            </w:pPr>
            <w:r>
              <w:rPr>
                <w:rFonts w:eastAsiaTheme="majorEastAsia"/>
                <w:lang w:val="lt-LT"/>
              </w:rPr>
              <w:t>1</w:t>
            </w:r>
          </w:p>
        </w:tc>
        <w:tc>
          <w:tcPr>
            <w:tcW w:w="863" w:type="pct"/>
            <w:vAlign w:val="center"/>
          </w:tcPr>
          <w:p w:rsidR="00806E51" w:rsidRPr="00291548" w:rsidRDefault="00806E51" w:rsidP="00843657">
            <w:pPr>
              <w:spacing w:line="240" w:lineRule="auto"/>
              <w:jc w:val="center"/>
              <w:rPr>
                <w:rFonts w:eastAsiaTheme="majorEastAsia"/>
                <w:lang w:val="lt-LT"/>
              </w:rPr>
            </w:pPr>
            <w:r>
              <w:rPr>
                <w:rFonts w:eastAsiaTheme="majorEastAsia"/>
                <w:lang w:val="lt-LT"/>
              </w:rPr>
              <w:t>1</w:t>
            </w:r>
          </w:p>
        </w:tc>
        <w:tc>
          <w:tcPr>
            <w:tcW w:w="469" w:type="pct"/>
            <w:vAlign w:val="center"/>
          </w:tcPr>
          <w:p w:rsidR="00806E51" w:rsidRPr="00291548" w:rsidRDefault="00806E51" w:rsidP="00843657">
            <w:pPr>
              <w:spacing w:line="240" w:lineRule="auto"/>
              <w:jc w:val="center"/>
              <w:rPr>
                <w:rFonts w:eastAsiaTheme="majorEastAsia"/>
                <w:lang w:val="lt-LT"/>
              </w:rPr>
            </w:pPr>
            <w:r>
              <w:rPr>
                <w:rFonts w:eastAsiaTheme="majorEastAsia"/>
                <w:lang w:val="lt-LT"/>
              </w:rPr>
              <w:t>1</w:t>
            </w:r>
          </w:p>
        </w:tc>
        <w:tc>
          <w:tcPr>
            <w:tcW w:w="417" w:type="pct"/>
            <w:vAlign w:val="center"/>
          </w:tcPr>
          <w:p w:rsidR="00806E51" w:rsidRPr="00291548" w:rsidRDefault="00806E51" w:rsidP="00843657">
            <w:pPr>
              <w:spacing w:line="240" w:lineRule="auto"/>
              <w:jc w:val="center"/>
              <w:rPr>
                <w:rFonts w:eastAsiaTheme="majorEastAsia"/>
                <w:lang w:val="lt-LT"/>
              </w:rPr>
            </w:pPr>
            <w:r>
              <w:rPr>
                <w:rFonts w:eastAsiaTheme="majorEastAsia"/>
                <w:lang w:val="lt-LT"/>
              </w:rPr>
              <w:t>1</w:t>
            </w:r>
          </w:p>
        </w:tc>
        <w:tc>
          <w:tcPr>
            <w:tcW w:w="417" w:type="pct"/>
          </w:tcPr>
          <w:p w:rsidR="00806E51" w:rsidRDefault="00806E51" w:rsidP="00843657">
            <w:pPr>
              <w:spacing w:line="240" w:lineRule="auto"/>
              <w:jc w:val="center"/>
              <w:rPr>
                <w:rFonts w:eastAsiaTheme="majorEastAsia"/>
                <w:lang w:val="lt-LT"/>
              </w:rPr>
            </w:pPr>
            <w:r>
              <w:rPr>
                <w:rFonts w:eastAsiaTheme="majorEastAsia"/>
                <w:lang w:val="lt-LT"/>
              </w:rPr>
              <w:t>6</w:t>
            </w:r>
          </w:p>
        </w:tc>
      </w:tr>
    </w:tbl>
    <w:p w:rsidR="00843657" w:rsidRDefault="00843657" w:rsidP="00843657">
      <w:pPr>
        <w:spacing w:after="0" w:line="240" w:lineRule="auto"/>
        <w:rPr>
          <w:rFonts w:eastAsiaTheme="majorEastAsia"/>
          <w:sz w:val="20"/>
          <w:szCs w:val="18"/>
          <w:lang w:val="lt-LT"/>
        </w:rPr>
      </w:pPr>
      <w:r>
        <w:rPr>
          <w:rFonts w:eastAsiaTheme="majorEastAsia"/>
          <w:sz w:val="20"/>
          <w:szCs w:val="18"/>
          <w:lang w:val="lt-LT"/>
        </w:rPr>
        <w:t>Pastaba: lentelė sudaryta autorės.</w:t>
      </w:r>
      <w:r w:rsidR="00BE325B">
        <w:rPr>
          <w:rFonts w:eastAsiaTheme="majorEastAsia"/>
          <w:sz w:val="20"/>
          <w:szCs w:val="18"/>
          <w:lang w:val="lt-LT"/>
        </w:rPr>
        <w:t xml:space="preserve"> Remiamasi Lietuvos S</w:t>
      </w:r>
      <w:r>
        <w:rPr>
          <w:rFonts w:eastAsiaTheme="majorEastAsia"/>
          <w:sz w:val="20"/>
          <w:szCs w:val="18"/>
          <w:lang w:val="lt-LT"/>
        </w:rPr>
        <w:t>tatistikos departame</w:t>
      </w:r>
      <w:r w:rsidR="00BE325B">
        <w:rPr>
          <w:rFonts w:eastAsiaTheme="majorEastAsia"/>
          <w:sz w:val="20"/>
          <w:szCs w:val="18"/>
          <w:lang w:val="lt-LT"/>
        </w:rPr>
        <w:t>nto duomenimis. Joje pateikiami</w:t>
      </w:r>
      <w:r>
        <w:rPr>
          <w:rFonts w:eastAsiaTheme="majorEastAsia"/>
          <w:sz w:val="20"/>
          <w:szCs w:val="18"/>
          <w:lang w:val="lt-LT"/>
        </w:rPr>
        <w:t xml:space="preserve"> </w:t>
      </w:r>
      <w:r w:rsidR="00BE325B">
        <w:rPr>
          <w:rFonts w:eastAsiaTheme="majorEastAsia"/>
          <w:sz w:val="20"/>
          <w:szCs w:val="18"/>
          <w:lang w:val="lt-LT"/>
        </w:rPr>
        <w:t xml:space="preserve">pagal efektyvumą </w:t>
      </w:r>
      <w:r>
        <w:rPr>
          <w:rFonts w:eastAsiaTheme="majorEastAsia"/>
          <w:sz w:val="20"/>
          <w:szCs w:val="18"/>
          <w:lang w:val="lt-LT"/>
        </w:rPr>
        <w:t>suranguot</w:t>
      </w:r>
      <w:r w:rsidR="00BE325B">
        <w:rPr>
          <w:rFonts w:eastAsiaTheme="majorEastAsia"/>
          <w:sz w:val="20"/>
          <w:szCs w:val="18"/>
          <w:lang w:val="lt-LT"/>
        </w:rPr>
        <w:t>i</w:t>
      </w:r>
      <w:r>
        <w:rPr>
          <w:rFonts w:eastAsiaTheme="majorEastAsia"/>
          <w:sz w:val="20"/>
          <w:szCs w:val="18"/>
          <w:lang w:val="lt-LT"/>
        </w:rPr>
        <w:t xml:space="preserve"> sektoriai, 1 – efektyviausia</w:t>
      </w:r>
      <w:r w:rsidR="00BE325B">
        <w:rPr>
          <w:rFonts w:eastAsiaTheme="majorEastAsia"/>
          <w:sz w:val="20"/>
          <w:szCs w:val="18"/>
          <w:lang w:val="lt-LT"/>
        </w:rPr>
        <w:t>s</w:t>
      </w:r>
      <w:r>
        <w:rPr>
          <w:rFonts w:eastAsiaTheme="majorEastAsia"/>
          <w:sz w:val="20"/>
          <w:szCs w:val="18"/>
          <w:lang w:val="lt-LT"/>
        </w:rPr>
        <w:t>, 2 – mažiau efektyv</w:t>
      </w:r>
      <w:r w:rsidR="00BE325B">
        <w:rPr>
          <w:rFonts w:eastAsiaTheme="majorEastAsia"/>
          <w:sz w:val="20"/>
          <w:szCs w:val="18"/>
          <w:lang w:val="lt-LT"/>
        </w:rPr>
        <w:t>us, o įmonių raidės žymi sektorių</w:t>
      </w:r>
      <w:r>
        <w:rPr>
          <w:rFonts w:eastAsiaTheme="majorEastAsia"/>
          <w:sz w:val="20"/>
          <w:szCs w:val="18"/>
          <w:lang w:val="lt-LT"/>
        </w:rPr>
        <w:t>, kuriame jos veikia.</w:t>
      </w:r>
    </w:p>
    <w:p w:rsidR="00843657" w:rsidRPr="00732BD8" w:rsidRDefault="00843657" w:rsidP="00843657">
      <w:pPr>
        <w:spacing w:after="0" w:line="240" w:lineRule="auto"/>
        <w:rPr>
          <w:rFonts w:eastAsiaTheme="majorEastAsia"/>
          <w:sz w:val="14"/>
          <w:szCs w:val="12"/>
          <w:lang w:val="lt-LT"/>
        </w:rPr>
      </w:pPr>
    </w:p>
    <w:p w:rsidR="00EC4E03" w:rsidRPr="00DB1F48" w:rsidRDefault="00C974F9" w:rsidP="00F7446D">
      <w:pPr>
        <w:spacing w:after="0"/>
        <w:ind w:firstLine="851"/>
        <w:rPr>
          <w:rFonts w:eastAsiaTheme="majorEastAsia"/>
          <w:lang w:val="lt-LT"/>
        </w:rPr>
      </w:pPr>
      <w:r>
        <w:rPr>
          <w:rFonts w:eastAsiaTheme="majorEastAsia"/>
          <w:lang w:val="lt-LT"/>
        </w:rPr>
        <w:t>Palyginus kitų metalo gaminių gamybos (B) ir medienos dirbinių gamybos (C) sektorius išsiaiškinta, kad visi</w:t>
      </w:r>
      <w:r w:rsidR="00572C3E">
        <w:rPr>
          <w:rFonts w:eastAsiaTheme="majorEastAsia"/>
          <w:lang w:val="lt-LT"/>
        </w:rPr>
        <w:t xml:space="preserve"> suranguoti</w:t>
      </w:r>
      <w:r>
        <w:rPr>
          <w:rFonts w:eastAsiaTheme="majorEastAsia"/>
          <w:lang w:val="lt-LT"/>
        </w:rPr>
        <w:t xml:space="preserve"> įmonės C sektoriaus </w:t>
      </w:r>
      <w:r w:rsidR="00572C3E">
        <w:rPr>
          <w:rFonts w:eastAsiaTheme="majorEastAsia"/>
          <w:lang w:val="lt-LT"/>
        </w:rPr>
        <w:t xml:space="preserve">finansiniai </w:t>
      </w:r>
      <w:r>
        <w:rPr>
          <w:rFonts w:eastAsiaTheme="majorEastAsia"/>
          <w:lang w:val="lt-LT"/>
        </w:rPr>
        <w:t>rodikliai yra geresni</w:t>
      </w:r>
      <w:r w:rsidR="00806E51">
        <w:rPr>
          <w:rFonts w:eastAsiaTheme="majorEastAsia"/>
          <w:lang w:val="lt-LT"/>
        </w:rPr>
        <w:t xml:space="preserve"> (suminis rangas siekia tik 6)</w:t>
      </w:r>
      <w:r>
        <w:rPr>
          <w:rFonts w:eastAsiaTheme="majorEastAsia"/>
          <w:lang w:val="lt-LT"/>
        </w:rPr>
        <w:t>, nei įmonės B atstovaujamo sektoriau</w:t>
      </w:r>
      <w:r w:rsidR="00572C3E">
        <w:rPr>
          <w:rFonts w:eastAsiaTheme="majorEastAsia"/>
          <w:lang w:val="lt-LT"/>
        </w:rPr>
        <w:t>s</w:t>
      </w:r>
      <w:r>
        <w:rPr>
          <w:rFonts w:eastAsiaTheme="majorEastAsia"/>
          <w:lang w:val="lt-LT"/>
        </w:rPr>
        <w:t xml:space="preserve"> rodikliai.</w:t>
      </w:r>
      <w:r w:rsidR="00E07F6C">
        <w:rPr>
          <w:rFonts w:eastAsiaTheme="majorEastAsia"/>
          <w:lang w:val="lt-LT"/>
        </w:rPr>
        <w:t xml:space="preserve"> Tad galima daryti išvadą, kad medienos dirbi</w:t>
      </w:r>
      <w:r w:rsidR="005E6E97">
        <w:rPr>
          <w:rFonts w:eastAsiaTheme="majorEastAsia"/>
          <w:lang w:val="lt-LT"/>
        </w:rPr>
        <w:t>nių sektorius veikia efekt</w:t>
      </w:r>
      <w:r w:rsidR="00BE325B">
        <w:rPr>
          <w:rFonts w:eastAsiaTheme="majorEastAsia"/>
          <w:lang w:val="lt-LT"/>
        </w:rPr>
        <w:t>yviau.</w:t>
      </w:r>
      <w:r w:rsidR="005E6E97">
        <w:rPr>
          <w:rFonts w:eastAsiaTheme="majorEastAsia"/>
          <w:lang w:val="lt-LT"/>
        </w:rPr>
        <w:t xml:space="preserve"> </w:t>
      </w:r>
      <w:r w:rsidR="00BE325B">
        <w:rPr>
          <w:rFonts w:eastAsiaTheme="majorEastAsia"/>
          <w:lang w:val="lt-LT"/>
        </w:rPr>
        <w:t xml:space="preserve">Vis dėl to, anksčiau efektyviau įvertintai įmonei </w:t>
      </w:r>
      <w:r w:rsidR="005E6E97">
        <w:rPr>
          <w:rFonts w:eastAsiaTheme="majorEastAsia"/>
          <w:lang w:val="lt-LT"/>
        </w:rPr>
        <w:t xml:space="preserve">B kitų metalo gaminių sektoriaus rodikliai poveikio </w:t>
      </w:r>
      <w:r w:rsidR="00BE325B">
        <w:rPr>
          <w:rFonts w:eastAsiaTheme="majorEastAsia"/>
          <w:lang w:val="lt-LT"/>
        </w:rPr>
        <w:t>ne</w:t>
      </w:r>
      <w:r w:rsidR="005E6E97">
        <w:rPr>
          <w:rFonts w:eastAsiaTheme="majorEastAsia"/>
          <w:lang w:val="lt-LT"/>
        </w:rPr>
        <w:t>turi.</w:t>
      </w:r>
    </w:p>
    <w:p w:rsidR="000C45BD" w:rsidRDefault="00310DFF" w:rsidP="005E6E97">
      <w:pPr>
        <w:spacing w:after="0"/>
        <w:ind w:firstLine="851"/>
        <w:rPr>
          <w:rFonts w:eastAsiaTheme="majorEastAsia"/>
          <w:lang w:val="lt-LT"/>
        </w:rPr>
      </w:pPr>
      <w:r>
        <w:rPr>
          <w:rFonts w:eastAsiaTheme="majorEastAsia"/>
          <w:lang w:val="lt-LT"/>
        </w:rPr>
        <w:t xml:space="preserve">Taip pat galima palyginti visas keturias įmones </w:t>
      </w:r>
      <w:r w:rsidR="00572C3E">
        <w:rPr>
          <w:rFonts w:eastAsiaTheme="majorEastAsia"/>
          <w:lang w:val="lt-LT"/>
        </w:rPr>
        <w:t>kartu</w:t>
      </w:r>
      <w:r>
        <w:rPr>
          <w:rFonts w:eastAsiaTheme="majorEastAsia"/>
          <w:lang w:val="lt-LT"/>
        </w:rPr>
        <w:t xml:space="preserve"> ir išsiaiškinti, </w:t>
      </w:r>
      <w:r w:rsidR="000C45BD">
        <w:rPr>
          <w:rFonts w:eastAsiaTheme="majorEastAsia"/>
          <w:lang w:val="lt-LT"/>
        </w:rPr>
        <w:t>kurios įmonės pasižymėjo aukščiausiu efektyvumu</w:t>
      </w:r>
      <w:r w:rsidR="00F56FD8">
        <w:rPr>
          <w:rFonts w:eastAsiaTheme="majorEastAsia"/>
          <w:lang w:val="lt-LT"/>
        </w:rPr>
        <w:t xml:space="preserve"> tarpusavyje </w:t>
      </w:r>
      <w:r w:rsidR="00DE3433">
        <w:rPr>
          <w:rFonts w:eastAsiaTheme="majorEastAsia"/>
          <w:lang w:val="lt-LT"/>
        </w:rPr>
        <w:t>(žr. 12</w:t>
      </w:r>
      <w:r w:rsidR="00F56FD8" w:rsidRPr="003E6E6B">
        <w:rPr>
          <w:rFonts w:eastAsiaTheme="majorEastAsia"/>
          <w:lang w:val="lt-LT"/>
        </w:rPr>
        <w:t xml:space="preserve"> priedą),</w:t>
      </w:r>
      <w:r w:rsidR="00F56FD8">
        <w:rPr>
          <w:rFonts w:eastAsiaTheme="majorEastAsia"/>
          <w:lang w:val="lt-LT"/>
        </w:rPr>
        <w:t xml:space="preserve"> lentelėje išskiriami </w:t>
      </w:r>
      <w:r>
        <w:rPr>
          <w:rFonts w:eastAsiaTheme="majorEastAsia"/>
          <w:lang w:val="lt-LT"/>
        </w:rPr>
        <w:t xml:space="preserve">visi apskaičiuoti </w:t>
      </w:r>
      <w:r w:rsidR="00F56FD8">
        <w:rPr>
          <w:rFonts w:eastAsiaTheme="majorEastAsia"/>
          <w:lang w:val="lt-LT"/>
        </w:rPr>
        <w:t>finansiniai rodikliai ir pagal jų</w:t>
      </w:r>
      <w:r w:rsidR="009644C1">
        <w:rPr>
          <w:rFonts w:eastAsiaTheme="majorEastAsia"/>
          <w:lang w:val="lt-LT"/>
        </w:rPr>
        <w:t xml:space="preserve"> 2013 m. </w:t>
      </w:r>
      <w:r w:rsidR="00F56FD8">
        <w:rPr>
          <w:rFonts w:eastAsiaTheme="majorEastAsia"/>
          <w:lang w:val="lt-LT"/>
        </w:rPr>
        <w:t>reikšmes surangu</w:t>
      </w:r>
      <w:r w:rsidR="003C7B67">
        <w:rPr>
          <w:rFonts w:eastAsiaTheme="majorEastAsia"/>
          <w:lang w:val="lt-LT"/>
        </w:rPr>
        <w:t>otos įmonės. Įvertint</w:t>
      </w:r>
      <w:r w:rsidR="00CD6E74">
        <w:rPr>
          <w:rFonts w:eastAsiaTheme="majorEastAsia"/>
          <w:lang w:val="lt-LT"/>
        </w:rPr>
        <w:t>a</w:t>
      </w:r>
      <w:r w:rsidR="00F56FD8">
        <w:rPr>
          <w:rFonts w:eastAsiaTheme="majorEastAsia"/>
          <w:lang w:val="lt-LT"/>
        </w:rPr>
        <w:t xml:space="preserve">, kad įmonė A </w:t>
      </w:r>
      <w:r w:rsidR="00CD6E74">
        <w:rPr>
          <w:rFonts w:eastAsiaTheme="majorEastAsia"/>
          <w:lang w:val="lt-LT"/>
        </w:rPr>
        <w:t>buvo daugiausiai kartų</w:t>
      </w:r>
      <w:r w:rsidR="00E31DC3">
        <w:rPr>
          <w:rFonts w:eastAsiaTheme="majorEastAsia"/>
          <w:lang w:val="lt-LT"/>
        </w:rPr>
        <w:t xml:space="preserve"> pažymėta, kaip numeris</w:t>
      </w:r>
      <w:r w:rsidR="003C7B67">
        <w:rPr>
          <w:rFonts w:eastAsiaTheme="majorEastAsia"/>
          <w:lang w:val="lt-LT"/>
        </w:rPr>
        <w:t xml:space="preserve"> pirmas (</w:t>
      </w:r>
      <w:r w:rsidR="00E31DC3">
        <w:rPr>
          <w:rFonts w:eastAsiaTheme="majorEastAsia"/>
          <w:lang w:val="lt-LT"/>
        </w:rPr>
        <w:t>6 kartus</w:t>
      </w:r>
      <w:r w:rsidR="003C7B67">
        <w:rPr>
          <w:rFonts w:eastAsiaTheme="majorEastAsia"/>
          <w:lang w:val="lt-LT"/>
        </w:rPr>
        <w:t>)</w:t>
      </w:r>
      <w:r w:rsidR="00E31DC3">
        <w:rPr>
          <w:rFonts w:eastAsiaTheme="majorEastAsia"/>
          <w:lang w:val="lt-LT"/>
        </w:rPr>
        <w:t>. Įmonė A buvo geriausia pagal einamąjį likvidumą, grynąjį pelningumą, EBIT, ROA ir ROE dydį, taip pat vienintelė iš visų įmonių turėjo suformavusi apyvartinį kapitalą, kur</w:t>
      </w:r>
      <w:r>
        <w:rPr>
          <w:rFonts w:eastAsiaTheme="majorEastAsia"/>
          <w:lang w:val="lt-LT"/>
        </w:rPr>
        <w:t>io reikšmė siekė daugiau nei 7.</w:t>
      </w:r>
      <w:r w:rsidR="00E31DC3">
        <w:rPr>
          <w:rFonts w:eastAsiaTheme="majorEastAsia"/>
          <w:lang w:val="lt-LT"/>
        </w:rPr>
        <w:t xml:space="preserve"> </w:t>
      </w:r>
      <w:r w:rsidR="003C7B67">
        <w:rPr>
          <w:rFonts w:eastAsiaTheme="majorEastAsia"/>
          <w:lang w:val="lt-LT"/>
        </w:rPr>
        <w:t xml:space="preserve">Įmonė D priskirta antrai vietai. </w:t>
      </w:r>
      <w:r w:rsidR="00CD6E74">
        <w:rPr>
          <w:rFonts w:eastAsiaTheme="majorEastAsia"/>
          <w:lang w:val="lt-LT"/>
        </w:rPr>
        <w:t xml:space="preserve"> </w:t>
      </w:r>
      <w:r w:rsidR="00E31DC3">
        <w:rPr>
          <w:rFonts w:eastAsiaTheme="majorEastAsia"/>
          <w:lang w:val="lt-LT"/>
        </w:rPr>
        <w:t xml:space="preserve">Trečioje vietoje pagal efektyvumą yra įmonė C, o ketvirtoji – B. Tad galima daryti išvadą, kad efektyvesnės yra tos įmonės, kurios vykdo veiklą ilgiau nei </w:t>
      </w:r>
      <w:r w:rsidR="001642F5">
        <w:rPr>
          <w:rFonts w:eastAsiaTheme="majorEastAsia"/>
          <w:lang w:val="lt-LT"/>
        </w:rPr>
        <w:t>9-10</w:t>
      </w:r>
      <w:r w:rsidR="009644C1">
        <w:rPr>
          <w:rFonts w:eastAsiaTheme="majorEastAsia"/>
          <w:lang w:val="lt-LT"/>
        </w:rPr>
        <w:t xml:space="preserve"> met</w:t>
      </w:r>
      <w:r w:rsidR="001642F5">
        <w:rPr>
          <w:rFonts w:eastAsiaTheme="majorEastAsia"/>
          <w:lang w:val="lt-LT"/>
        </w:rPr>
        <w:t>ų</w:t>
      </w:r>
      <w:r w:rsidR="009644C1">
        <w:rPr>
          <w:rFonts w:eastAsiaTheme="majorEastAsia"/>
          <w:lang w:val="lt-LT"/>
        </w:rPr>
        <w:t>, pavyzdžiui, kaip įm</w:t>
      </w:r>
      <w:r w:rsidR="00CD6E74">
        <w:rPr>
          <w:rFonts w:eastAsiaTheme="majorEastAsia"/>
          <w:lang w:val="lt-LT"/>
        </w:rPr>
        <w:t>onė A</w:t>
      </w:r>
      <w:r w:rsidR="003C7B67">
        <w:rPr>
          <w:rFonts w:eastAsiaTheme="majorEastAsia"/>
          <w:lang w:val="lt-LT"/>
        </w:rPr>
        <w:t xml:space="preserve"> ir D</w:t>
      </w:r>
      <w:r w:rsidR="009644C1">
        <w:rPr>
          <w:rFonts w:eastAsiaTheme="majorEastAsia"/>
          <w:lang w:val="lt-LT"/>
        </w:rPr>
        <w:t>.</w:t>
      </w:r>
      <w:r w:rsidR="001642F5">
        <w:rPr>
          <w:rFonts w:eastAsiaTheme="majorEastAsia"/>
          <w:lang w:val="lt-LT"/>
        </w:rPr>
        <w:t xml:space="preserve"> </w:t>
      </w:r>
    </w:p>
    <w:p w:rsidR="00E07F6C" w:rsidRDefault="00E07F6C" w:rsidP="00DF1DD0">
      <w:pPr>
        <w:spacing w:line="276" w:lineRule="auto"/>
        <w:jc w:val="right"/>
        <w:rPr>
          <w:rFonts w:eastAsiaTheme="majorEastAsia"/>
          <w:b/>
          <w:bCs/>
          <w:lang w:val="lt-LT"/>
        </w:rPr>
      </w:pPr>
      <w:r w:rsidRPr="00E07F6C">
        <w:rPr>
          <w:rFonts w:eastAsiaTheme="majorEastAsia"/>
          <w:b/>
          <w:bCs/>
          <w:lang w:val="lt-LT"/>
        </w:rPr>
        <w:t>34 lentelė</w:t>
      </w:r>
    </w:p>
    <w:p w:rsidR="00E07F6C" w:rsidRDefault="00E07F6C" w:rsidP="00E07F6C">
      <w:pPr>
        <w:spacing w:after="0" w:line="240" w:lineRule="auto"/>
        <w:ind w:firstLine="851"/>
        <w:jc w:val="center"/>
        <w:rPr>
          <w:rFonts w:eastAsiaTheme="majorEastAsia"/>
          <w:b/>
          <w:bCs/>
          <w:sz w:val="22"/>
          <w:szCs w:val="20"/>
          <w:lang w:val="lt-LT"/>
        </w:rPr>
      </w:pPr>
      <w:r>
        <w:rPr>
          <w:rFonts w:eastAsiaTheme="majorEastAsia"/>
          <w:b/>
          <w:bCs/>
          <w:sz w:val="22"/>
          <w:szCs w:val="20"/>
          <w:lang w:val="lt-LT"/>
        </w:rPr>
        <w:t>Darbuotojų skaičius įmonėse A, B, C ir D</w:t>
      </w:r>
    </w:p>
    <w:p w:rsidR="00806E51" w:rsidRDefault="00806E51" w:rsidP="00E07F6C">
      <w:pPr>
        <w:spacing w:after="0" w:line="240" w:lineRule="auto"/>
        <w:ind w:firstLine="851"/>
        <w:jc w:val="center"/>
        <w:rPr>
          <w:rFonts w:eastAsiaTheme="majorEastAsia"/>
          <w:b/>
          <w:bCs/>
          <w:sz w:val="22"/>
          <w:szCs w:val="20"/>
          <w:lang w:val="lt-LT"/>
        </w:rPr>
      </w:pPr>
    </w:p>
    <w:tbl>
      <w:tblPr>
        <w:tblStyle w:val="TableGrid"/>
        <w:tblW w:w="5000" w:type="pct"/>
        <w:tblLook w:val="04A0" w:firstRow="1" w:lastRow="0" w:firstColumn="1" w:lastColumn="0" w:noHBand="0" w:noVBand="1"/>
      </w:tblPr>
      <w:tblGrid>
        <w:gridCol w:w="1002"/>
        <w:gridCol w:w="1321"/>
        <w:gridCol w:w="1001"/>
        <w:gridCol w:w="1021"/>
        <w:gridCol w:w="1453"/>
        <w:gridCol w:w="1068"/>
        <w:gridCol w:w="972"/>
        <w:gridCol w:w="970"/>
        <w:gridCol w:w="1047"/>
      </w:tblGrid>
      <w:tr w:rsidR="00806E51" w:rsidTr="00AA43F5">
        <w:tc>
          <w:tcPr>
            <w:tcW w:w="509" w:type="pct"/>
            <w:tcBorders>
              <w:tl2br w:val="single" w:sz="4" w:space="0" w:color="auto"/>
            </w:tcBorders>
          </w:tcPr>
          <w:p w:rsidR="00AA43F5" w:rsidRDefault="00AA43F5" w:rsidP="00AA43F5">
            <w:pPr>
              <w:spacing w:line="240" w:lineRule="auto"/>
              <w:jc w:val="right"/>
              <w:rPr>
                <w:rFonts w:eastAsiaTheme="majorEastAsia"/>
                <w:b/>
                <w:bCs/>
                <w:sz w:val="20"/>
                <w:szCs w:val="18"/>
                <w:lang w:val="lt-LT"/>
              </w:rPr>
            </w:pPr>
            <w:r>
              <w:rPr>
                <w:rFonts w:eastAsiaTheme="majorEastAsia"/>
                <w:b/>
                <w:bCs/>
                <w:sz w:val="20"/>
                <w:szCs w:val="18"/>
                <w:lang w:val="lt-LT"/>
              </w:rPr>
              <w:t>Rod.</w:t>
            </w:r>
          </w:p>
          <w:p w:rsidR="00AA43F5" w:rsidRDefault="00AA43F5" w:rsidP="00AA43F5">
            <w:pPr>
              <w:spacing w:line="240" w:lineRule="auto"/>
              <w:rPr>
                <w:rFonts w:eastAsiaTheme="majorEastAsia"/>
                <w:b/>
                <w:bCs/>
                <w:sz w:val="20"/>
                <w:szCs w:val="18"/>
                <w:lang w:val="lt-LT"/>
              </w:rPr>
            </w:pPr>
            <w:r>
              <w:rPr>
                <w:rFonts w:eastAsiaTheme="majorEastAsia"/>
                <w:b/>
                <w:bCs/>
                <w:sz w:val="20"/>
                <w:szCs w:val="18"/>
                <w:lang w:val="lt-LT"/>
              </w:rPr>
              <w:t>Įmonė</w:t>
            </w:r>
          </w:p>
        </w:tc>
        <w:tc>
          <w:tcPr>
            <w:tcW w:w="670" w:type="pct"/>
            <w:vAlign w:val="center"/>
          </w:tcPr>
          <w:p w:rsidR="00806E51" w:rsidRDefault="00806E51" w:rsidP="00AA43F5">
            <w:pPr>
              <w:spacing w:line="240" w:lineRule="auto"/>
              <w:jc w:val="center"/>
              <w:rPr>
                <w:rFonts w:eastAsiaTheme="majorEastAsia"/>
                <w:b/>
                <w:bCs/>
                <w:sz w:val="20"/>
                <w:szCs w:val="18"/>
                <w:lang w:val="lt-LT"/>
              </w:rPr>
            </w:pPr>
            <w:r>
              <w:rPr>
                <w:rFonts w:eastAsiaTheme="majorEastAsia"/>
                <w:b/>
                <w:bCs/>
                <w:sz w:val="20"/>
                <w:szCs w:val="18"/>
                <w:lang w:val="lt-LT"/>
              </w:rPr>
              <w:t>Darbuotojų skaičius</w:t>
            </w:r>
          </w:p>
        </w:tc>
        <w:tc>
          <w:tcPr>
            <w:tcW w:w="508" w:type="pct"/>
            <w:vAlign w:val="center"/>
          </w:tcPr>
          <w:p w:rsidR="00806E51" w:rsidRDefault="00806E51" w:rsidP="00AA43F5">
            <w:pPr>
              <w:spacing w:line="240" w:lineRule="auto"/>
              <w:jc w:val="center"/>
              <w:rPr>
                <w:rFonts w:eastAsiaTheme="majorEastAsia"/>
                <w:b/>
                <w:bCs/>
                <w:sz w:val="20"/>
                <w:szCs w:val="18"/>
                <w:lang w:val="lt-LT"/>
              </w:rPr>
            </w:pPr>
            <w:r>
              <w:rPr>
                <w:rFonts w:eastAsiaTheme="majorEastAsia"/>
                <w:b/>
                <w:bCs/>
                <w:sz w:val="20"/>
                <w:szCs w:val="18"/>
                <w:lang w:val="lt-LT"/>
              </w:rPr>
              <w:t>Ein. likvid.</w:t>
            </w:r>
          </w:p>
        </w:tc>
        <w:tc>
          <w:tcPr>
            <w:tcW w:w="518" w:type="pct"/>
            <w:vAlign w:val="center"/>
          </w:tcPr>
          <w:p w:rsidR="00806E51" w:rsidRDefault="00806E51" w:rsidP="00AA43F5">
            <w:pPr>
              <w:spacing w:line="240" w:lineRule="auto"/>
              <w:jc w:val="center"/>
              <w:rPr>
                <w:rFonts w:eastAsiaTheme="majorEastAsia"/>
                <w:b/>
                <w:bCs/>
                <w:sz w:val="20"/>
                <w:szCs w:val="18"/>
                <w:lang w:val="lt-LT"/>
              </w:rPr>
            </w:pPr>
            <w:r>
              <w:rPr>
                <w:rFonts w:eastAsiaTheme="majorEastAsia"/>
                <w:b/>
                <w:bCs/>
                <w:sz w:val="20"/>
                <w:szCs w:val="18"/>
                <w:lang w:val="lt-LT"/>
              </w:rPr>
              <w:t>Įsiskol. koefic.</w:t>
            </w:r>
          </w:p>
        </w:tc>
        <w:tc>
          <w:tcPr>
            <w:tcW w:w="737" w:type="pct"/>
            <w:vAlign w:val="center"/>
          </w:tcPr>
          <w:p w:rsidR="00806E51" w:rsidRDefault="00806E51" w:rsidP="00AA43F5">
            <w:pPr>
              <w:spacing w:line="240" w:lineRule="auto"/>
              <w:jc w:val="center"/>
              <w:rPr>
                <w:rFonts w:eastAsiaTheme="majorEastAsia"/>
                <w:b/>
                <w:bCs/>
                <w:sz w:val="20"/>
                <w:szCs w:val="18"/>
                <w:lang w:val="lt-LT"/>
              </w:rPr>
            </w:pPr>
            <w:r>
              <w:rPr>
                <w:rFonts w:eastAsiaTheme="majorEastAsia"/>
                <w:b/>
                <w:bCs/>
                <w:sz w:val="20"/>
                <w:szCs w:val="18"/>
                <w:lang w:val="lt-LT"/>
              </w:rPr>
              <w:t>Turto apyvartumas</w:t>
            </w:r>
          </w:p>
        </w:tc>
        <w:tc>
          <w:tcPr>
            <w:tcW w:w="542" w:type="pct"/>
            <w:vAlign w:val="center"/>
          </w:tcPr>
          <w:p w:rsidR="00806E51" w:rsidRDefault="00806E51" w:rsidP="00AA43F5">
            <w:pPr>
              <w:spacing w:line="240" w:lineRule="auto"/>
              <w:jc w:val="center"/>
              <w:rPr>
                <w:rFonts w:eastAsiaTheme="majorEastAsia"/>
                <w:b/>
                <w:bCs/>
                <w:sz w:val="20"/>
                <w:szCs w:val="18"/>
                <w:lang w:val="lt-LT"/>
              </w:rPr>
            </w:pPr>
            <w:r>
              <w:rPr>
                <w:rFonts w:eastAsiaTheme="majorEastAsia"/>
                <w:b/>
                <w:bCs/>
                <w:sz w:val="20"/>
                <w:szCs w:val="18"/>
                <w:lang w:val="lt-LT"/>
              </w:rPr>
              <w:t>Grynasis pelning.</w:t>
            </w:r>
          </w:p>
        </w:tc>
        <w:tc>
          <w:tcPr>
            <w:tcW w:w="493" w:type="pct"/>
            <w:vAlign w:val="center"/>
          </w:tcPr>
          <w:p w:rsidR="00806E51" w:rsidRDefault="00806E51" w:rsidP="00AA43F5">
            <w:pPr>
              <w:spacing w:line="240" w:lineRule="auto"/>
              <w:jc w:val="center"/>
              <w:rPr>
                <w:rFonts w:eastAsiaTheme="majorEastAsia"/>
                <w:b/>
                <w:bCs/>
                <w:sz w:val="20"/>
                <w:szCs w:val="18"/>
                <w:lang w:val="lt-LT"/>
              </w:rPr>
            </w:pPr>
            <w:r>
              <w:rPr>
                <w:rFonts w:eastAsiaTheme="majorEastAsia"/>
                <w:b/>
                <w:bCs/>
                <w:sz w:val="20"/>
                <w:szCs w:val="18"/>
                <w:lang w:val="lt-LT"/>
              </w:rPr>
              <w:t>ROA</w:t>
            </w:r>
          </w:p>
        </w:tc>
        <w:tc>
          <w:tcPr>
            <w:tcW w:w="492" w:type="pct"/>
            <w:vAlign w:val="center"/>
          </w:tcPr>
          <w:p w:rsidR="00806E51" w:rsidRDefault="00806E51" w:rsidP="00AA43F5">
            <w:pPr>
              <w:spacing w:line="240" w:lineRule="auto"/>
              <w:jc w:val="center"/>
              <w:rPr>
                <w:rFonts w:eastAsiaTheme="majorEastAsia"/>
                <w:b/>
                <w:bCs/>
                <w:sz w:val="20"/>
                <w:szCs w:val="18"/>
                <w:lang w:val="lt-LT"/>
              </w:rPr>
            </w:pPr>
            <w:r>
              <w:rPr>
                <w:rFonts w:eastAsiaTheme="majorEastAsia"/>
                <w:b/>
                <w:bCs/>
                <w:sz w:val="20"/>
                <w:szCs w:val="18"/>
                <w:lang w:val="lt-LT"/>
              </w:rPr>
              <w:t>ROE</w:t>
            </w:r>
          </w:p>
        </w:tc>
        <w:tc>
          <w:tcPr>
            <w:tcW w:w="531" w:type="pct"/>
            <w:vAlign w:val="center"/>
          </w:tcPr>
          <w:p w:rsidR="00806E51" w:rsidRDefault="00806E51" w:rsidP="00AA43F5">
            <w:pPr>
              <w:spacing w:line="240" w:lineRule="auto"/>
              <w:jc w:val="center"/>
              <w:rPr>
                <w:rFonts w:eastAsiaTheme="majorEastAsia"/>
                <w:b/>
                <w:bCs/>
                <w:sz w:val="20"/>
                <w:szCs w:val="18"/>
                <w:lang w:val="lt-LT"/>
              </w:rPr>
            </w:pPr>
            <w:r>
              <w:rPr>
                <w:rFonts w:eastAsiaTheme="majorEastAsia"/>
                <w:b/>
                <w:bCs/>
                <w:sz w:val="20"/>
                <w:szCs w:val="18"/>
                <w:lang w:val="lt-LT"/>
              </w:rPr>
              <w:t>Suminis rangas</w:t>
            </w:r>
          </w:p>
        </w:tc>
      </w:tr>
      <w:tr w:rsidR="00806E51" w:rsidTr="00AA43F5">
        <w:tc>
          <w:tcPr>
            <w:tcW w:w="509" w:type="pct"/>
          </w:tcPr>
          <w:p w:rsidR="00806E51" w:rsidRDefault="00806E51" w:rsidP="00E07F6C">
            <w:pPr>
              <w:spacing w:line="240" w:lineRule="auto"/>
              <w:jc w:val="center"/>
              <w:rPr>
                <w:rFonts w:eastAsiaTheme="majorEastAsia"/>
                <w:b/>
                <w:bCs/>
                <w:sz w:val="20"/>
                <w:szCs w:val="18"/>
                <w:lang w:val="lt-LT"/>
              </w:rPr>
            </w:pPr>
            <w:r>
              <w:rPr>
                <w:rFonts w:eastAsiaTheme="majorEastAsia"/>
                <w:b/>
                <w:bCs/>
                <w:sz w:val="20"/>
                <w:szCs w:val="18"/>
                <w:lang w:val="lt-LT"/>
              </w:rPr>
              <w:t>Įmonė A</w:t>
            </w:r>
          </w:p>
        </w:tc>
        <w:tc>
          <w:tcPr>
            <w:tcW w:w="670" w:type="pct"/>
            <w:vAlign w:val="center"/>
          </w:tcPr>
          <w:p w:rsidR="00806E51" w:rsidRPr="00AA43F5" w:rsidRDefault="00806E51" w:rsidP="00AA43F5">
            <w:pPr>
              <w:spacing w:line="240" w:lineRule="auto"/>
              <w:jc w:val="center"/>
              <w:rPr>
                <w:rFonts w:eastAsiaTheme="majorEastAsia"/>
                <w:bCs/>
                <w:sz w:val="20"/>
                <w:szCs w:val="18"/>
                <w:lang w:val="lt-LT"/>
              </w:rPr>
            </w:pPr>
            <w:r w:rsidRPr="00AA43F5">
              <w:rPr>
                <w:rFonts w:eastAsiaTheme="majorEastAsia"/>
                <w:bCs/>
                <w:sz w:val="20"/>
                <w:szCs w:val="18"/>
                <w:lang w:val="lt-LT"/>
              </w:rPr>
              <w:t>9</w:t>
            </w:r>
          </w:p>
        </w:tc>
        <w:tc>
          <w:tcPr>
            <w:tcW w:w="508" w:type="pct"/>
            <w:vAlign w:val="center"/>
          </w:tcPr>
          <w:p w:rsidR="00806E51" w:rsidRPr="00AA43F5" w:rsidRDefault="00806E51" w:rsidP="00AA43F5">
            <w:pPr>
              <w:spacing w:line="240" w:lineRule="auto"/>
              <w:jc w:val="center"/>
              <w:rPr>
                <w:rFonts w:eastAsiaTheme="majorEastAsia"/>
                <w:bCs/>
                <w:sz w:val="20"/>
                <w:szCs w:val="18"/>
                <w:lang w:val="lt-LT"/>
              </w:rPr>
            </w:pPr>
            <w:r w:rsidRPr="00AA43F5">
              <w:rPr>
                <w:rFonts w:eastAsiaTheme="majorEastAsia"/>
                <w:bCs/>
                <w:sz w:val="20"/>
                <w:szCs w:val="18"/>
                <w:lang w:val="lt-LT"/>
              </w:rPr>
              <w:t>1</w:t>
            </w:r>
          </w:p>
        </w:tc>
        <w:tc>
          <w:tcPr>
            <w:tcW w:w="518" w:type="pct"/>
            <w:vAlign w:val="center"/>
          </w:tcPr>
          <w:p w:rsidR="00806E51" w:rsidRPr="00AA43F5" w:rsidRDefault="00806E51" w:rsidP="00AA43F5">
            <w:pPr>
              <w:spacing w:line="240" w:lineRule="auto"/>
              <w:jc w:val="center"/>
              <w:rPr>
                <w:rFonts w:eastAsiaTheme="majorEastAsia"/>
                <w:bCs/>
                <w:sz w:val="20"/>
                <w:szCs w:val="18"/>
                <w:lang w:val="lt-LT"/>
              </w:rPr>
            </w:pPr>
            <w:r w:rsidRPr="00AA43F5">
              <w:rPr>
                <w:rFonts w:eastAsiaTheme="majorEastAsia"/>
                <w:bCs/>
                <w:sz w:val="20"/>
                <w:szCs w:val="18"/>
                <w:lang w:val="lt-LT"/>
              </w:rPr>
              <w:t>2</w:t>
            </w:r>
          </w:p>
        </w:tc>
        <w:tc>
          <w:tcPr>
            <w:tcW w:w="737" w:type="pct"/>
            <w:vAlign w:val="center"/>
          </w:tcPr>
          <w:p w:rsidR="00806E51" w:rsidRPr="00AA43F5" w:rsidRDefault="00806E51" w:rsidP="00AA43F5">
            <w:pPr>
              <w:spacing w:line="240" w:lineRule="auto"/>
              <w:jc w:val="center"/>
              <w:rPr>
                <w:rFonts w:eastAsiaTheme="majorEastAsia"/>
                <w:bCs/>
                <w:sz w:val="20"/>
                <w:szCs w:val="18"/>
                <w:lang w:val="lt-LT"/>
              </w:rPr>
            </w:pPr>
            <w:r w:rsidRPr="00AA43F5">
              <w:rPr>
                <w:rFonts w:eastAsiaTheme="majorEastAsia"/>
                <w:bCs/>
                <w:sz w:val="20"/>
                <w:szCs w:val="18"/>
                <w:lang w:val="lt-LT"/>
              </w:rPr>
              <w:t>3</w:t>
            </w:r>
          </w:p>
        </w:tc>
        <w:tc>
          <w:tcPr>
            <w:tcW w:w="542" w:type="pct"/>
            <w:vAlign w:val="center"/>
          </w:tcPr>
          <w:p w:rsidR="00806E51" w:rsidRPr="00AA43F5" w:rsidRDefault="00806E51" w:rsidP="00AA43F5">
            <w:pPr>
              <w:spacing w:line="240" w:lineRule="auto"/>
              <w:jc w:val="center"/>
              <w:rPr>
                <w:rFonts w:eastAsiaTheme="majorEastAsia"/>
                <w:bCs/>
                <w:sz w:val="20"/>
                <w:szCs w:val="18"/>
                <w:lang w:val="lt-LT"/>
              </w:rPr>
            </w:pPr>
            <w:r w:rsidRPr="00AA43F5">
              <w:rPr>
                <w:rFonts w:eastAsiaTheme="majorEastAsia"/>
                <w:bCs/>
                <w:sz w:val="20"/>
                <w:szCs w:val="18"/>
                <w:lang w:val="lt-LT"/>
              </w:rPr>
              <w:t>1</w:t>
            </w:r>
          </w:p>
        </w:tc>
        <w:tc>
          <w:tcPr>
            <w:tcW w:w="493" w:type="pct"/>
            <w:vAlign w:val="center"/>
          </w:tcPr>
          <w:p w:rsidR="00806E51" w:rsidRPr="00AA43F5" w:rsidRDefault="00806E51" w:rsidP="00AA43F5">
            <w:pPr>
              <w:spacing w:line="240" w:lineRule="auto"/>
              <w:jc w:val="center"/>
              <w:rPr>
                <w:rFonts w:eastAsiaTheme="majorEastAsia"/>
                <w:bCs/>
                <w:sz w:val="20"/>
                <w:szCs w:val="18"/>
                <w:lang w:val="lt-LT"/>
              </w:rPr>
            </w:pPr>
            <w:r w:rsidRPr="00AA43F5">
              <w:rPr>
                <w:rFonts w:eastAsiaTheme="majorEastAsia"/>
                <w:bCs/>
                <w:sz w:val="20"/>
                <w:szCs w:val="18"/>
                <w:lang w:val="lt-LT"/>
              </w:rPr>
              <w:t>1</w:t>
            </w:r>
          </w:p>
        </w:tc>
        <w:tc>
          <w:tcPr>
            <w:tcW w:w="492" w:type="pct"/>
            <w:vAlign w:val="center"/>
          </w:tcPr>
          <w:p w:rsidR="00806E51" w:rsidRPr="00AA43F5" w:rsidRDefault="00806E51" w:rsidP="00AA43F5">
            <w:pPr>
              <w:spacing w:line="240" w:lineRule="auto"/>
              <w:jc w:val="center"/>
              <w:rPr>
                <w:rFonts w:eastAsiaTheme="majorEastAsia"/>
                <w:bCs/>
                <w:sz w:val="20"/>
                <w:szCs w:val="18"/>
                <w:lang w:val="lt-LT"/>
              </w:rPr>
            </w:pPr>
            <w:r w:rsidRPr="00AA43F5">
              <w:rPr>
                <w:rFonts w:eastAsiaTheme="majorEastAsia"/>
                <w:bCs/>
                <w:sz w:val="20"/>
                <w:szCs w:val="18"/>
                <w:lang w:val="lt-LT"/>
              </w:rPr>
              <w:t>1</w:t>
            </w:r>
          </w:p>
        </w:tc>
        <w:tc>
          <w:tcPr>
            <w:tcW w:w="531" w:type="pct"/>
            <w:vAlign w:val="center"/>
          </w:tcPr>
          <w:p w:rsidR="00806E51" w:rsidRPr="00AA43F5" w:rsidRDefault="00806E51" w:rsidP="00AA43F5">
            <w:pPr>
              <w:spacing w:line="240" w:lineRule="auto"/>
              <w:jc w:val="center"/>
              <w:rPr>
                <w:rFonts w:eastAsiaTheme="majorEastAsia"/>
                <w:bCs/>
                <w:sz w:val="20"/>
                <w:szCs w:val="18"/>
                <w:lang w:val="lt-LT"/>
              </w:rPr>
            </w:pPr>
            <w:r w:rsidRPr="00AA43F5">
              <w:rPr>
                <w:rFonts w:eastAsiaTheme="majorEastAsia"/>
                <w:bCs/>
                <w:sz w:val="20"/>
                <w:szCs w:val="18"/>
                <w:lang w:val="lt-LT"/>
              </w:rPr>
              <w:t>9</w:t>
            </w:r>
          </w:p>
        </w:tc>
      </w:tr>
      <w:tr w:rsidR="00806E51" w:rsidTr="00AA43F5">
        <w:tc>
          <w:tcPr>
            <w:tcW w:w="509" w:type="pct"/>
          </w:tcPr>
          <w:p w:rsidR="00806E51" w:rsidRDefault="00806E51" w:rsidP="00E07F6C">
            <w:pPr>
              <w:spacing w:line="240" w:lineRule="auto"/>
              <w:jc w:val="center"/>
              <w:rPr>
                <w:rFonts w:eastAsiaTheme="majorEastAsia"/>
                <w:b/>
                <w:bCs/>
                <w:sz w:val="20"/>
                <w:szCs w:val="18"/>
                <w:lang w:val="lt-LT"/>
              </w:rPr>
            </w:pPr>
            <w:r>
              <w:rPr>
                <w:rFonts w:eastAsiaTheme="majorEastAsia"/>
                <w:b/>
                <w:bCs/>
                <w:sz w:val="20"/>
                <w:szCs w:val="18"/>
                <w:lang w:val="lt-LT"/>
              </w:rPr>
              <w:t>Įmonė B</w:t>
            </w:r>
          </w:p>
        </w:tc>
        <w:tc>
          <w:tcPr>
            <w:tcW w:w="670" w:type="pct"/>
            <w:vAlign w:val="center"/>
          </w:tcPr>
          <w:p w:rsidR="00806E51" w:rsidRPr="00AA43F5" w:rsidRDefault="00806E51" w:rsidP="00AA43F5">
            <w:pPr>
              <w:spacing w:line="240" w:lineRule="auto"/>
              <w:jc w:val="center"/>
              <w:rPr>
                <w:rFonts w:eastAsiaTheme="majorEastAsia"/>
                <w:bCs/>
                <w:sz w:val="20"/>
                <w:szCs w:val="18"/>
                <w:lang w:val="lt-LT"/>
              </w:rPr>
            </w:pPr>
            <w:r w:rsidRPr="00AA43F5">
              <w:rPr>
                <w:rFonts w:eastAsiaTheme="majorEastAsia"/>
                <w:bCs/>
                <w:sz w:val="20"/>
                <w:szCs w:val="18"/>
                <w:lang w:val="lt-LT"/>
              </w:rPr>
              <w:t>5</w:t>
            </w:r>
          </w:p>
        </w:tc>
        <w:tc>
          <w:tcPr>
            <w:tcW w:w="508" w:type="pct"/>
            <w:vAlign w:val="center"/>
          </w:tcPr>
          <w:p w:rsidR="00806E51" w:rsidRPr="00AA43F5" w:rsidRDefault="00806E51" w:rsidP="00AA43F5">
            <w:pPr>
              <w:spacing w:line="240" w:lineRule="auto"/>
              <w:jc w:val="center"/>
              <w:rPr>
                <w:rFonts w:eastAsiaTheme="majorEastAsia"/>
                <w:bCs/>
                <w:sz w:val="20"/>
                <w:szCs w:val="18"/>
                <w:lang w:val="lt-LT"/>
              </w:rPr>
            </w:pPr>
            <w:r w:rsidRPr="00AA43F5">
              <w:rPr>
                <w:rFonts w:eastAsiaTheme="majorEastAsia"/>
                <w:bCs/>
                <w:sz w:val="20"/>
                <w:szCs w:val="18"/>
                <w:lang w:val="lt-LT"/>
              </w:rPr>
              <w:t>4</w:t>
            </w:r>
          </w:p>
        </w:tc>
        <w:tc>
          <w:tcPr>
            <w:tcW w:w="518" w:type="pct"/>
            <w:vAlign w:val="center"/>
          </w:tcPr>
          <w:p w:rsidR="00806E51" w:rsidRPr="00AA43F5" w:rsidRDefault="00806E51" w:rsidP="00AA43F5">
            <w:pPr>
              <w:spacing w:line="240" w:lineRule="auto"/>
              <w:jc w:val="center"/>
              <w:rPr>
                <w:rFonts w:eastAsiaTheme="majorEastAsia"/>
                <w:bCs/>
                <w:sz w:val="20"/>
                <w:szCs w:val="18"/>
                <w:lang w:val="lt-LT"/>
              </w:rPr>
            </w:pPr>
            <w:r w:rsidRPr="00AA43F5">
              <w:rPr>
                <w:rFonts w:eastAsiaTheme="majorEastAsia"/>
                <w:bCs/>
                <w:sz w:val="20"/>
                <w:szCs w:val="18"/>
                <w:lang w:val="lt-LT"/>
              </w:rPr>
              <w:t>4</w:t>
            </w:r>
          </w:p>
        </w:tc>
        <w:tc>
          <w:tcPr>
            <w:tcW w:w="737" w:type="pct"/>
            <w:vAlign w:val="center"/>
          </w:tcPr>
          <w:p w:rsidR="00806E51" w:rsidRPr="00AA43F5" w:rsidRDefault="00806E51" w:rsidP="00AA43F5">
            <w:pPr>
              <w:spacing w:line="240" w:lineRule="auto"/>
              <w:jc w:val="center"/>
              <w:rPr>
                <w:rFonts w:eastAsiaTheme="majorEastAsia"/>
                <w:bCs/>
                <w:sz w:val="20"/>
                <w:szCs w:val="18"/>
                <w:lang w:val="lt-LT"/>
              </w:rPr>
            </w:pPr>
            <w:r w:rsidRPr="00AA43F5">
              <w:rPr>
                <w:rFonts w:eastAsiaTheme="majorEastAsia"/>
                <w:bCs/>
                <w:sz w:val="20"/>
                <w:szCs w:val="18"/>
                <w:lang w:val="lt-LT"/>
              </w:rPr>
              <w:t>4</w:t>
            </w:r>
          </w:p>
        </w:tc>
        <w:tc>
          <w:tcPr>
            <w:tcW w:w="542" w:type="pct"/>
            <w:vAlign w:val="center"/>
          </w:tcPr>
          <w:p w:rsidR="00806E51" w:rsidRPr="00AA43F5" w:rsidRDefault="00806E51" w:rsidP="00AA43F5">
            <w:pPr>
              <w:spacing w:line="240" w:lineRule="auto"/>
              <w:jc w:val="center"/>
              <w:rPr>
                <w:rFonts w:eastAsiaTheme="majorEastAsia"/>
                <w:bCs/>
                <w:sz w:val="20"/>
                <w:szCs w:val="18"/>
                <w:lang w:val="lt-LT"/>
              </w:rPr>
            </w:pPr>
            <w:r w:rsidRPr="00AA43F5">
              <w:rPr>
                <w:rFonts w:eastAsiaTheme="majorEastAsia"/>
                <w:bCs/>
                <w:sz w:val="20"/>
                <w:szCs w:val="18"/>
                <w:lang w:val="lt-LT"/>
              </w:rPr>
              <w:t>4</w:t>
            </w:r>
          </w:p>
        </w:tc>
        <w:tc>
          <w:tcPr>
            <w:tcW w:w="493" w:type="pct"/>
            <w:vAlign w:val="center"/>
          </w:tcPr>
          <w:p w:rsidR="00806E51" w:rsidRPr="00AA43F5" w:rsidRDefault="00806E51" w:rsidP="00AA43F5">
            <w:pPr>
              <w:spacing w:line="240" w:lineRule="auto"/>
              <w:jc w:val="center"/>
              <w:rPr>
                <w:rFonts w:eastAsiaTheme="majorEastAsia"/>
                <w:bCs/>
                <w:sz w:val="20"/>
                <w:szCs w:val="18"/>
                <w:lang w:val="lt-LT"/>
              </w:rPr>
            </w:pPr>
            <w:r w:rsidRPr="00AA43F5">
              <w:rPr>
                <w:rFonts w:eastAsiaTheme="majorEastAsia"/>
                <w:bCs/>
                <w:sz w:val="20"/>
                <w:szCs w:val="18"/>
                <w:lang w:val="lt-LT"/>
              </w:rPr>
              <w:t>2</w:t>
            </w:r>
          </w:p>
        </w:tc>
        <w:tc>
          <w:tcPr>
            <w:tcW w:w="492" w:type="pct"/>
            <w:vAlign w:val="center"/>
          </w:tcPr>
          <w:p w:rsidR="00806E51" w:rsidRPr="00AA43F5" w:rsidRDefault="00806E51" w:rsidP="00AA43F5">
            <w:pPr>
              <w:spacing w:line="240" w:lineRule="auto"/>
              <w:jc w:val="center"/>
              <w:rPr>
                <w:rFonts w:eastAsiaTheme="majorEastAsia"/>
                <w:bCs/>
                <w:sz w:val="20"/>
                <w:szCs w:val="18"/>
                <w:lang w:val="lt-LT"/>
              </w:rPr>
            </w:pPr>
            <w:r w:rsidRPr="00AA43F5">
              <w:rPr>
                <w:rFonts w:eastAsiaTheme="majorEastAsia"/>
                <w:bCs/>
                <w:sz w:val="20"/>
                <w:szCs w:val="18"/>
                <w:lang w:val="lt-LT"/>
              </w:rPr>
              <w:t>2</w:t>
            </w:r>
          </w:p>
        </w:tc>
        <w:tc>
          <w:tcPr>
            <w:tcW w:w="531" w:type="pct"/>
            <w:vAlign w:val="center"/>
          </w:tcPr>
          <w:p w:rsidR="00806E51" w:rsidRPr="00AA43F5" w:rsidRDefault="00806E51" w:rsidP="00AA43F5">
            <w:pPr>
              <w:spacing w:line="240" w:lineRule="auto"/>
              <w:jc w:val="center"/>
              <w:rPr>
                <w:rFonts w:eastAsiaTheme="majorEastAsia"/>
                <w:bCs/>
                <w:sz w:val="20"/>
                <w:szCs w:val="18"/>
                <w:lang w:val="lt-LT"/>
              </w:rPr>
            </w:pPr>
            <w:r w:rsidRPr="00AA43F5">
              <w:rPr>
                <w:rFonts w:eastAsiaTheme="majorEastAsia"/>
                <w:bCs/>
                <w:sz w:val="20"/>
                <w:szCs w:val="18"/>
                <w:lang w:val="lt-LT"/>
              </w:rPr>
              <w:t>20</w:t>
            </w:r>
          </w:p>
        </w:tc>
      </w:tr>
      <w:tr w:rsidR="00806E51" w:rsidTr="00AA43F5">
        <w:tc>
          <w:tcPr>
            <w:tcW w:w="509" w:type="pct"/>
          </w:tcPr>
          <w:p w:rsidR="00806E51" w:rsidRDefault="00806E51" w:rsidP="00E07F6C">
            <w:pPr>
              <w:spacing w:line="240" w:lineRule="auto"/>
              <w:jc w:val="center"/>
              <w:rPr>
                <w:rFonts w:eastAsiaTheme="majorEastAsia"/>
                <w:b/>
                <w:bCs/>
                <w:sz w:val="20"/>
                <w:szCs w:val="18"/>
                <w:lang w:val="lt-LT"/>
              </w:rPr>
            </w:pPr>
            <w:r>
              <w:rPr>
                <w:rFonts w:eastAsiaTheme="majorEastAsia"/>
                <w:b/>
                <w:bCs/>
                <w:sz w:val="20"/>
                <w:szCs w:val="18"/>
                <w:lang w:val="lt-LT"/>
              </w:rPr>
              <w:t>Įmonė C</w:t>
            </w:r>
          </w:p>
        </w:tc>
        <w:tc>
          <w:tcPr>
            <w:tcW w:w="670" w:type="pct"/>
            <w:vAlign w:val="center"/>
          </w:tcPr>
          <w:p w:rsidR="00806E51" w:rsidRPr="00AA43F5" w:rsidRDefault="00806E51" w:rsidP="00AA43F5">
            <w:pPr>
              <w:spacing w:line="240" w:lineRule="auto"/>
              <w:jc w:val="center"/>
              <w:rPr>
                <w:rFonts w:eastAsiaTheme="majorEastAsia"/>
                <w:bCs/>
                <w:sz w:val="20"/>
                <w:szCs w:val="18"/>
                <w:lang w:val="lt-LT"/>
              </w:rPr>
            </w:pPr>
            <w:r w:rsidRPr="00AA43F5">
              <w:rPr>
                <w:rFonts w:eastAsiaTheme="majorEastAsia"/>
                <w:bCs/>
                <w:sz w:val="20"/>
                <w:szCs w:val="18"/>
                <w:lang w:val="lt-LT"/>
              </w:rPr>
              <w:t>12</w:t>
            </w:r>
          </w:p>
        </w:tc>
        <w:tc>
          <w:tcPr>
            <w:tcW w:w="508" w:type="pct"/>
            <w:vAlign w:val="center"/>
          </w:tcPr>
          <w:p w:rsidR="00806E51" w:rsidRPr="00AA43F5" w:rsidRDefault="00806E51" w:rsidP="00AA43F5">
            <w:pPr>
              <w:spacing w:line="240" w:lineRule="auto"/>
              <w:jc w:val="center"/>
              <w:rPr>
                <w:rFonts w:eastAsiaTheme="majorEastAsia"/>
                <w:bCs/>
                <w:sz w:val="20"/>
                <w:szCs w:val="18"/>
                <w:lang w:val="lt-LT"/>
              </w:rPr>
            </w:pPr>
            <w:r w:rsidRPr="00AA43F5">
              <w:rPr>
                <w:rFonts w:eastAsiaTheme="majorEastAsia"/>
                <w:bCs/>
                <w:sz w:val="20"/>
                <w:szCs w:val="18"/>
                <w:lang w:val="lt-LT"/>
              </w:rPr>
              <w:t>3</w:t>
            </w:r>
          </w:p>
        </w:tc>
        <w:tc>
          <w:tcPr>
            <w:tcW w:w="518" w:type="pct"/>
            <w:vAlign w:val="center"/>
          </w:tcPr>
          <w:p w:rsidR="00806E51" w:rsidRPr="00AA43F5" w:rsidRDefault="00806E51" w:rsidP="00AA43F5">
            <w:pPr>
              <w:spacing w:line="240" w:lineRule="auto"/>
              <w:jc w:val="center"/>
              <w:rPr>
                <w:rFonts w:eastAsiaTheme="majorEastAsia"/>
                <w:bCs/>
                <w:sz w:val="20"/>
                <w:szCs w:val="18"/>
                <w:lang w:val="lt-LT"/>
              </w:rPr>
            </w:pPr>
            <w:r w:rsidRPr="00AA43F5">
              <w:rPr>
                <w:rFonts w:eastAsiaTheme="majorEastAsia"/>
                <w:bCs/>
                <w:sz w:val="20"/>
                <w:szCs w:val="18"/>
                <w:lang w:val="lt-LT"/>
              </w:rPr>
              <w:t>1</w:t>
            </w:r>
          </w:p>
        </w:tc>
        <w:tc>
          <w:tcPr>
            <w:tcW w:w="737" w:type="pct"/>
            <w:vAlign w:val="center"/>
          </w:tcPr>
          <w:p w:rsidR="00806E51" w:rsidRPr="00AA43F5" w:rsidRDefault="00806E51" w:rsidP="00AA43F5">
            <w:pPr>
              <w:spacing w:line="240" w:lineRule="auto"/>
              <w:jc w:val="center"/>
              <w:rPr>
                <w:rFonts w:eastAsiaTheme="majorEastAsia"/>
                <w:bCs/>
                <w:sz w:val="20"/>
                <w:szCs w:val="18"/>
                <w:lang w:val="lt-LT"/>
              </w:rPr>
            </w:pPr>
            <w:r w:rsidRPr="00AA43F5">
              <w:rPr>
                <w:rFonts w:eastAsiaTheme="majorEastAsia"/>
                <w:bCs/>
                <w:sz w:val="20"/>
                <w:szCs w:val="18"/>
                <w:lang w:val="lt-LT"/>
              </w:rPr>
              <w:t>2</w:t>
            </w:r>
          </w:p>
        </w:tc>
        <w:tc>
          <w:tcPr>
            <w:tcW w:w="542" w:type="pct"/>
            <w:vAlign w:val="center"/>
          </w:tcPr>
          <w:p w:rsidR="00806E51" w:rsidRPr="00AA43F5" w:rsidRDefault="00806E51" w:rsidP="00AA43F5">
            <w:pPr>
              <w:spacing w:line="240" w:lineRule="auto"/>
              <w:jc w:val="center"/>
              <w:rPr>
                <w:rFonts w:eastAsiaTheme="majorEastAsia"/>
                <w:bCs/>
                <w:sz w:val="20"/>
                <w:szCs w:val="18"/>
                <w:lang w:val="lt-LT"/>
              </w:rPr>
            </w:pPr>
            <w:r w:rsidRPr="00AA43F5">
              <w:rPr>
                <w:rFonts w:eastAsiaTheme="majorEastAsia"/>
                <w:bCs/>
                <w:sz w:val="20"/>
                <w:szCs w:val="18"/>
                <w:lang w:val="lt-LT"/>
              </w:rPr>
              <w:t>2</w:t>
            </w:r>
          </w:p>
        </w:tc>
        <w:tc>
          <w:tcPr>
            <w:tcW w:w="493" w:type="pct"/>
            <w:vAlign w:val="center"/>
          </w:tcPr>
          <w:p w:rsidR="00806E51" w:rsidRPr="00AA43F5" w:rsidRDefault="00806E51" w:rsidP="00AA43F5">
            <w:pPr>
              <w:spacing w:line="240" w:lineRule="auto"/>
              <w:jc w:val="center"/>
              <w:rPr>
                <w:rFonts w:eastAsiaTheme="majorEastAsia"/>
                <w:bCs/>
                <w:sz w:val="20"/>
                <w:szCs w:val="18"/>
                <w:lang w:val="lt-LT"/>
              </w:rPr>
            </w:pPr>
            <w:r w:rsidRPr="00AA43F5">
              <w:rPr>
                <w:rFonts w:eastAsiaTheme="majorEastAsia"/>
                <w:bCs/>
                <w:sz w:val="20"/>
                <w:szCs w:val="18"/>
                <w:lang w:val="lt-LT"/>
              </w:rPr>
              <w:t>3</w:t>
            </w:r>
          </w:p>
        </w:tc>
        <w:tc>
          <w:tcPr>
            <w:tcW w:w="492" w:type="pct"/>
            <w:vAlign w:val="center"/>
          </w:tcPr>
          <w:p w:rsidR="00806E51" w:rsidRPr="00AA43F5" w:rsidRDefault="00806E51" w:rsidP="00AA43F5">
            <w:pPr>
              <w:spacing w:line="240" w:lineRule="auto"/>
              <w:jc w:val="center"/>
              <w:rPr>
                <w:rFonts w:eastAsiaTheme="majorEastAsia"/>
                <w:bCs/>
                <w:sz w:val="20"/>
                <w:szCs w:val="18"/>
                <w:lang w:val="lt-LT"/>
              </w:rPr>
            </w:pPr>
            <w:r w:rsidRPr="00AA43F5">
              <w:rPr>
                <w:rFonts w:eastAsiaTheme="majorEastAsia"/>
                <w:bCs/>
                <w:sz w:val="20"/>
                <w:szCs w:val="18"/>
                <w:lang w:val="lt-LT"/>
              </w:rPr>
              <w:t>3</w:t>
            </w:r>
          </w:p>
        </w:tc>
        <w:tc>
          <w:tcPr>
            <w:tcW w:w="531" w:type="pct"/>
            <w:vAlign w:val="center"/>
          </w:tcPr>
          <w:p w:rsidR="00806E51" w:rsidRPr="00AA43F5" w:rsidRDefault="00806E51" w:rsidP="00AA43F5">
            <w:pPr>
              <w:spacing w:line="240" w:lineRule="auto"/>
              <w:jc w:val="center"/>
              <w:rPr>
                <w:rFonts w:eastAsiaTheme="majorEastAsia"/>
                <w:bCs/>
                <w:sz w:val="20"/>
                <w:szCs w:val="18"/>
                <w:lang w:val="lt-LT"/>
              </w:rPr>
            </w:pPr>
            <w:r w:rsidRPr="00AA43F5">
              <w:rPr>
                <w:rFonts w:eastAsiaTheme="majorEastAsia"/>
                <w:bCs/>
                <w:sz w:val="20"/>
                <w:szCs w:val="18"/>
                <w:lang w:val="lt-LT"/>
              </w:rPr>
              <w:t>14</w:t>
            </w:r>
          </w:p>
        </w:tc>
      </w:tr>
      <w:tr w:rsidR="00806E51" w:rsidTr="00AA43F5">
        <w:tc>
          <w:tcPr>
            <w:tcW w:w="509" w:type="pct"/>
          </w:tcPr>
          <w:p w:rsidR="00806E51" w:rsidRDefault="00806E51" w:rsidP="00E07F6C">
            <w:pPr>
              <w:spacing w:line="240" w:lineRule="auto"/>
              <w:jc w:val="center"/>
              <w:rPr>
                <w:rFonts w:eastAsiaTheme="majorEastAsia"/>
                <w:b/>
                <w:bCs/>
                <w:sz w:val="20"/>
                <w:szCs w:val="18"/>
                <w:lang w:val="lt-LT"/>
              </w:rPr>
            </w:pPr>
            <w:r>
              <w:rPr>
                <w:rFonts w:eastAsiaTheme="majorEastAsia"/>
                <w:b/>
                <w:bCs/>
                <w:sz w:val="20"/>
                <w:szCs w:val="18"/>
                <w:lang w:val="lt-LT"/>
              </w:rPr>
              <w:t>Įmonė D</w:t>
            </w:r>
          </w:p>
        </w:tc>
        <w:tc>
          <w:tcPr>
            <w:tcW w:w="670" w:type="pct"/>
            <w:vAlign w:val="center"/>
          </w:tcPr>
          <w:p w:rsidR="00806E51" w:rsidRPr="00AA43F5" w:rsidRDefault="00806E51" w:rsidP="00AA43F5">
            <w:pPr>
              <w:spacing w:line="240" w:lineRule="auto"/>
              <w:jc w:val="center"/>
              <w:rPr>
                <w:rFonts w:eastAsiaTheme="majorEastAsia"/>
                <w:bCs/>
                <w:sz w:val="20"/>
                <w:szCs w:val="18"/>
                <w:lang w:val="lt-LT"/>
              </w:rPr>
            </w:pPr>
            <w:r w:rsidRPr="00AA43F5">
              <w:rPr>
                <w:rFonts w:eastAsiaTheme="majorEastAsia"/>
                <w:bCs/>
                <w:sz w:val="20"/>
                <w:szCs w:val="18"/>
                <w:lang w:val="lt-LT"/>
              </w:rPr>
              <w:t>6</w:t>
            </w:r>
          </w:p>
        </w:tc>
        <w:tc>
          <w:tcPr>
            <w:tcW w:w="508" w:type="pct"/>
            <w:vAlign w:val="center"/>
          </w:tcPr>
          <w:p w:rsidR="00806E51" w:rsidRPr="00AA43F5" w:rsidRDefault="00806E51" w:rsidP="00AA43F5">
            <w:pPr>
              <w:spacing w:line="240" w:lineRule="auto"/>
              <w:jc w:val="center"/>
              <w:rPr>
                <w:rFonts w:eastAsiaTheme="majorEastAsia"/>
                <w:bCs/>
                <w:sz w:val="20"/>
                <w:szCs w:val="18"/>
                <w:lang w:val="lt-LT"/>
              </w:rPr>
            </w:pPr>
            <w:r w:rsidRPr="00AA43F5">
              <w:rPr>
                <w:rFonts w:eastAsiaTheme="majorEastAsia"/>
                <w:bCs/>
                <w:sz w:val="20"/>
                <w:szCs w:val="18"/>
                <w:lang w:val="lt-LT"/>
              </w:rPr>
              <w:t>2</w:t>
            </w:r>
          </w:p>
        </w:tc>
        <w:tc>
          <w:tcPr>
            <w:tcW w:w="518" w:type="pct"/>
            <w:vAlign w:val="center"/>
          </w:tcPr>
          <w:p w:rsidR="00806E51" w:rsidRPr="00AA43F5" w:rsidRDefault="00806E51" w:rsidP="00AA43F5">
            <w:pPr>
              <w:spacing w:line="240" w:lineRule="auto"/>
              <w:jc w:val="center"/>
              <w:rPr>
                <w:rFonts w:eastAsiaTheme="majorEastAsia"/>
                <w:bCs/>
                <w:sz w:val="20"/>
                <w:szCs w:val="18"/>
                <w:lang w:val="lt-LT"/>
              </w:rPr>
            </w:pPr>
            <w:r w:rsidRPr="00AA43F5">
              <w:rPr>
                <w:rFonts w:eastAsiaTheme="majorEastAsia"/>
                <w:bCs/>
                <w:sz w:val="20"/>
                <w:szCs w:val="18"/>
                <w:lang w:val="lt-LT"/>
              </w:rPr>
              <w:t>3</w:t>
            </w:r>
          </w:p>
        </w:tc>
        <w:tc>
          <w:tcPr>
            <w:tcW w:w="737" w:type="pct"/>
            <w:vAlign w:val="center"/>
          </w:tcPr>
          <w:p w:rsidR="00806E51" w:rsidRPr="00AA43F5" w:rsidRDefault="00806E51" w:rsidP="00AA43F5">
            <w:pPr>
              <w:spacing w:line="240" w:lineRule="auto"/>
              <w:jc w:val="center"/>
              <w:rPr>
                <w:rFonts w:eastAsiaTheme="majorEastAsia"/>
                <w:bCs/>
                <w:sz w:val="20"/>
                <w:szCs w:val="18"/>
                <w:lang w:val="lt-LT"/>
              </w:rPr>
            </w:pPr>
            <w:r w:rsidRPr="00AA43F5">
              <w:rPr>
                <w:rFonts w:eastAsiaTheme="majorEastAsia"/>
                <w:bCs/>
                <w:sz w:val="20"/>
                <w:szCs w:val="18"/>
                <w:lang w:val="lt-LT"/>
              </w:rPr>
              <w:t>1</w:t>
            </w:r>
          </w:p>
        </w:tc>
        <w:tc>
          <w:tcPr>
            <w:tcW w:w="542" w:type="pct"/>
            <w:vAlign w:val="center"/>
          </w:tcPr>
          <w:p w:rsidR="00806E51" w:rsidRPr="00AA43F5" w:rsidRDefault="00806E51" w:rsidP="00AA43F5">
            <w:pPr>
              <w:spacing w:line="240" w:lineRule="auto"/>
              <w:jc w:val="center"/>
              <w:rPr>
                <w:rFonts w:eastAsiaTheme="majorEastAsia"/>
                <w:bCs/>
                <w:sz w:val="20"/>
                <w:szCs w:val="18"/>
                <w:lang w:val="lt-LT"/>
              </w:rPr>
            </w:pPr>
            <w:r w:rsidRPr="00AA43F5">
              <w:rPr>
                <w:rFonts w:eastAsiaTheme="majorEastAsia"/>
                <w:bCs/>
                <w:sz w:val="20"/>
                <w:szCs w:val="18"/>
                <w:lang w:val="lt-LT"/>
              </w:rPr>
              <w:t>3</w:t>
            </w:r>
          </w:p>
        </w:tc>
        <w:tc>
          <w:tcPr>
            <w:tcW w:w="493" w:type="pct"/>
            <w:vAlign w:val="center"/>
          </w:tcPr>
          <w:p w:rsidR="00806E51" w:rsidRPr="00AA43F5" w:rsidRDefault="00806E51" w:rsidP="00AA43F5">
            <w:pPr>
              <w:spacing w:line="240" w:lineRule="auto"/>
              <w:jc w:val="center"/>
              <w:rPr>
                <w:rFonts w:eastAsiaTheme="majorEastAsia"/>
                <w:bCs/>
                <w:sz w:val="20"/>
                <w:szCs w:val="18"/>
                <w:lang w:val="lt-LT"/>
              </w:rPr>
            </w:pPr>
            <w:r w:rsidRPr="00AA43F5">
              <w:rPr>
                <w:rFonts w:eastAsiaTheme="majorEastAsia"/>
                <w:bCs/>
                <w:sz w:val="20"/>
                <w:szCs w:val="18"/>
                <w:lang w:val="lt-LT"/>
              </w:rPr>
              <w:t>4</w:t>
            </w:r>
          </w:p>
        </w:tc>
        <w:tc>
          <w:tcPr>
            <w:tcW w:w="492" w:type="pct"/>
            <w:vAlign w:val="center"/>
          </w:tcPr>
          <w:p w:rsidR="00806E51" w:rsidRPr="00AA43F5" w:rsidRDefault="00806E51" w:rsidP="00AA43F5">
            <w:pPr>
              <w:spacing w:line="240" w:lineRule="auto"/>
              <w:jc w:val="center"/>
              <w:rPr>
                <w:rFonts w:eastAsiaTheme="majorEastAsia"/>
                <w:bCs/>
                <w:sz w:val="20"/>
                <w:szCs w:val="18"/>
                <w:lang w:val="lt-LT"/>
              </w:rPr>
            </w:pPr>
            <w:r w:rsidRPr="00AA43F5">
              <w:rPr>
                <w:rFonts w:eastAsiaTheme="majorEastAsia"/>
                <w:bCs/>
                <w:sz w:val="20"/>
                <w:szCs w:val="18"/>
                <w:lang w:val="lt-LT"/>
              </w:rPr>
              <w:t>4</w:t>
            </w:r>
          </w:p>
        </w:tc>
        <w:tc>
          <w:tcPr>
            <w:tcW w:w="531" w:type="pct"/>
            <w:vAlign w:val="center"/>
          </w:tcPr>
          <w:p w:rsidR="00806E51" w:rsidRPr="00AA43F5" w:rsidRDefault="00806E51" w:rsidP="00AA43F5">
            <w:pPr>
              <w:spacing w:line="240" w:lineRule="auto"/>
              <w:jc w:val="center"/>
              <w:rPr>
                <w:rFonts w:eastAsiaTheme="majorEastAsia"/>
                <w:bCs/>
                <w:sz w:val="20"/>
                <w:szCs w:val="18"/>
                <w:lang w:val="lt-LT"/>
              </w:rPr>
            </w:pPr>
            <w:r w:rsidRPr="00AA43F5">
              <w:rPr>
                <w:rFonts w:eastAsiaTheme="majorEastAsia"/>
                <w:bCs/>
                <w:sz w:val="20"/>
                <w:szCs w:val="18"/>
                <w:lang w:val="lt-LT"/>
              </w:rPr>
              <w:t>17</w:t>
            </w:r>
          </w:p>
        </w:tc>
      </w:tr>
    </w:tbl>
    <w:p w:rsidR="00E07F6C" w:rsidRDefault="00E07F6C" w:rsidP="00AA43F5">
      <w:pPr>
        <w:spacing w:after="0" w:line="240" w:lineRule="auto"/>
        <w:ind w:right="1558"/>
        <w:jc w:val="left"/>
        <w:rPr>
          <w:rFonts w:eastAsiaTheme="majorEastAsia"/>
          <w:sz w:val="20"/>
          <w:szCs w:val="18"/>
          <w:lang w:val="lt-LT"/>
        </w:rPr>
      </w:pPr>
      <w:r w:rsidRPr="00E07F6C">
        <w:rPr>
          <w:rFonts w:eastAsiaTheme="majorEastAsia"/>
          <w:sz w:val="20"/>
          <w:szCs w:val="18"/>
          <w:lang w:val="lt-LT"/>
        </w:rPr>
        <w:t>Pastaba: lentelė sudaryta autorės, re</w:t>
      </w:r>
      <w:r w:rsidR="00AA43F5">
        <w:rPr>
          <w:rFonts w:eastAsiaTheme="majorEastAsia"/>
          <w:sz w:val="20"/>
          <w:szCs w:val="18"/>
          <w:lang w:val="lt-LT"/>
        </w:rPr>
        <w:t>miantis ES paramos paraiškomis.</w:t>
      </w:r>
    </w:p>
    <w:p w:rsidR="00AA43F5" w:rsidRPr="00AA43F5" w:rsidRDefault="00AA43F5" w:rsidP="00AA43F5">
      <w:pPr>
        <w:spacing w:after="0" w:line="240" w:lineRule="auto"/>
        <w:ind w:right="1558"/>
        <w:jc w:val="left"/>
        <w:rPr>
          <w:rFonts w:eastAsiaTheme="majorEastAsia"/>
          <w:sz w:val="14"/>
          <w:szCs w:val="12"/>
          <w:lang w:val="lt-LT"/>
        </w:rPr>
      </w:pPr>
    </w:p>
    <w:p w:rsidR="00E07F6C" w:rsidRDefault="00E07F6C" w:rsidP="005E6E97">
      <w:pPr>
        <w:spacing w:after="0"/>
        <w:ind w:firstLine="851"/>
        <w:rPr>
          <w:rFonts w:eastAsiaTheme="majorEastAsia"/>
          <w:lang w:val="lt-LT"/>
        </w:rPr>
      </w:pPr>
      <w:r>
        <w:rPr>
          <w:rFonts w:eastAsiaTheme="majorEastAsia"/>
          <w:lang w:val="lt-LT"/>
        </w:rPr>
        <w:lastRenderedPageBreak/>
        <w:t>Taip pat vertinant įmonės efektyvumą buvo palygin</w:t>
      </w:r>
      <w:r w:rsidR="00134ED6">
        <w:rPr>
          <w:rFonts w:eastAsiaTheme="majorEastAsia"/>
          <w:lang w:val="lt-LT"/>
        </w:rPr>
        <w:t>ta, kiek įmonės turi darbuotojų ir ar darbuotoj</w:t>
      </w:r>
      <w:r w:rsidR="00F67BF0">
        <w:rPr>
          <w:rFonts w:eastAsiaTheme="majorEastAsia"/>
          <w:lang w:val="lt-LT"/>
        </w:rPr>
        <w:t>ų</w:t>
      </w:r>
      <w:r w:rsidR="00134ED6">
        <w:rPr>
          <w:rFonts w:eastAsiaTheme="majorEastAsia"/>
          <w:lang w:val="lt-LT"/>
        </w:rPr>
        <w:t xml:space="preserve"> skaičius daro</w:t>
      </w:r>
      <w:r w:rsidR="005E6E97">
        <w:rPr>
          <w:rFonts w:eastAsiaTheme="majorEastAsia"/>
          <w:lang w:val="lt-LT"/>
        </w:rPr>
        <w:t xml:space="preserve"> tam</w:t>
      </w:r>
      <w:r w:rsidR="00134ED6">
        <w:rPr>
          <w:rFonts w:eastAsiaTheme="majorEastAsia"/>
          <w:lang w:val="lt-LT"/>
        </w:rPr>
        <w:t xml:space="preserve"> poveikį.</w:t>
      </w:r>
      <w:r w:rsidR="00AA43F5">
        <w:rPr>
          <w:rFonts w:eastAsiaTheme="majorEastAsia"/>
          <w:lang w:val="lt-LT"/>
        </w:rPr>
        <w:t xml:space="preserve"> Paaiškėjo, kad įmonės</w:t>
      </w:r>
      <w:r w:rsidR="005E6E97">
        <w:rPr>
          <w:rFonts w:eastAsiaTheme="majorEastAsia"/>
          <w:lang w:val="lt-LT"/>
        </w:rPr>
        <w:t xml:space="preserve"> A efektyv</w:t>
      </w:r>
      <w:r w:rsidR="00AA43F5">
        <w:rPr>
          <w:rFonts w:eastAsiaTheme="majorEastAsia"/>
          <w:lang w:val="lt-LT"/>
        </w:rPr>
        <w:t xml:space="preserve">umui darbuotojų skaičius poveikį </w:t>
      </w:r>
      <w:r w:rsidR="005E6E97">
        <w:rPr>
          <w:rFonts w:eastAsiaTheme="majorEastAsia"/>
          <w:lang w:val="lt-LT"/>
        </w:rPr>
        <w:t>turėjo.</w:t>
      </w:r>
    </w:p>
    <w:p w:rsidR="00CD6E74" w:rsidRDefault="00CD6E74" w:rsidP="00CD6E74">
      <w:pPr>
        <w:spacing w:after="0"/>
        <w:ind w:firstLine="851"/>
        <w:rPr>
          <w:rFonts w:eastAsiaTheme="majorEastAsia"/>
          <w:lang w:val="lt-LT"/>
        </w:rPr>
      </w:pPr>
      <w:r w:rsidRPr="00CD6E74">
        <w:rPr>
          <w:rFonts w:eastAsiaTheme="majorEastAsia"/>
          <w:lang w:val="lt-LT"/>
        </w:rPr>
        <w:t>Atlikta analizė parodė, kad</w:t>
      </w:r>
      <w:r>
        <w:rPr>
          <w:rFonts w:eastAsiaTheme="majorEastAsia"/>
          <w:lang w:val="lt-LT"/>
        </w:rPr>
        <w:t xml:space="preserve"> efektyviausiai ES finansinę paramą verslo plėtrai panaudojo įmonė A, taip pat pastebėta, kad pramoninių mašinų ir įrenginių įrengimo sektoriaus rodikliai buvo efektyvesni, nei įmonės D atstovaujamo sektoriaus. Vertinant</w:t>
      </w:r>
      <w:r w:rsidR="00F67BF0">
        <w:rPr>
          <w:rFonts w:eastAsiaTheme="majorEastAsia"/>
          <w:lang w:val="lt-LT"/>
        </w:rPr>
        <w:t xml:space="preserve"> </w:t>
      </w:r>
      <w:r w:rsidR="005E6E97">
        <w:rPr>
          <w:rFonts w:eastAsiaTheme="majorEastAsia"/>
          <w:lang w:val="lt-LT"/>
        </w:rPr>
        <w:t>ES finansinės paramos efektyvum</w:t>
      </w:r>
      <w:r w:rsidR="00200EB6">
        <w:rPr>
          <w:rFonts w:eastAsiaTheme="majorEastAsia"/>
          <w:lang w:val="lt-LT"/>
        </w:rPr>
        <w:t>ą</w:t>
      </w:r>
      <w:r w:rsidR="005E6E97">
        <w:rPr>
          <w:rFonts w:eastAsiaTheme="majorEastAsia"/>
          <w:lang w:val="lt-LT"/>
        </w:rPr>
        <w:t xml:space="preserve"> verslo kūrimui</w:t>
      </w:r>
      <w:r w:rsidR="00200EB6">
        <w:rPr>
          <w:rFonts w:eastAsiaTheme="majorEastAsia"/>
          <w:lang w:val="lt-LT"/>
        </w:rPr>
        <w:t xml:space="preserve"> padaryta išvada, kad efektyviausia buvo įmonė B, kuriai sektorius poveikio neturėjo. </w:t>
      </w:r>
      <w:r w:rsidR="00F67BF0">
        <w:rPr>
          <w:rFonts w:eastAsiaTheme="majorEastAsia"/>
          <w:lang w:val="lt-LT"/>
        </w:rPr>
        <w:t>Tačiau</w:t>
      </w:r>
      <w:r w:rsidR="00326126">
        <w:rPr>
          <w:rFonts w:eastAsiaTheme="majorEastAsia"/>
          <w:lang w:val="lt-LT"/>
        </w:rPr>
        <w:t xml:space="preserve"> atlikta</w:t>
      </w:r>
      <w:r w:rsidR="00F67BF0">
        <w:rPr>
          <w:rFonts w:eastAsiaTheme="majorEastAsia"/>
          <w:lang w:val="lt-LT"/>
        </w:rPr>
        <w:t xml:space="preserve"> analizė </w:t>
      </w:r>
      <w:r w:rsidR="00200EB6">
        <w:rPr>
          <w:rFonts w:eastAsiaTheme="majorEastAsia"/>
          <w:lang w:val="lt-LT"/>
        </w:rPr>
        <w:t>yra</w:t>
      </w:r>
      <w:r w:rsidR="00F67BF0">
        <w:rPr>
          <w:rFonts w:eastAsiaTheme="majorEastAsia"/>
          <w:lang w:val="lt-LT"/>
        </w:rPr>
        <w:t xml:space="preserve"> ribota dėl tyrime dalyvavusių tik keturių įmonių.</w:t>
      </w:r>
    </w:p>
    <w:p w:rsidR="00411B33" w:rsidRDefault="00326126" w:rsidP="00411B33">
      <w:pPr>
        <w:spacing w:after="0"/>
        <w:ind w:firstLine="851"/>
        <w:rPr>
          <w:rFonts w:eastAsiaTheme="majorEastAsia"/>
          <w:lang w:val="lt-LT"/>
        </w:rPr>
      </w:pPr>
      <w:r>
        <w:rPr>
          <w:rFonts w:eastAsiaTheme="majorEastAsia"/>
          <w:lang w:val="lt-LT"/>
        </w:rPr>
        <w:t>Visų</w:t>
      </w:r>
      <w:r w:rsidR="00411B33">
        <w:rPr>
          <w:rFonts w:eastAsiaTheme="majorEastAsia"/>
          <w:lang w:val="lt-LT"/>
        </w:rPr>
        <w:t xml:space="preserve"> įmonių </w:t>
      </w:r>
      <w:r>
        <w:rPr>
          <w:rFonts w:eastAsiaTheme="majorEastAsia"/>
          <w:lang w:val="lt-LT"/>
        </w:rPr>
        <w:t xml:space="preserve">A, B, C ir D, </w:t>
      </w:r>
      <w:r w:rsidR="00411B33">
        <w:rPr>
          <w:rFonts w:eastAsiaTheme="majorEastAsia"/>
          <w:lang w:val="lt-LT"/>
        </w:rPr>
        <w:t>gavusių ES finansinę paramą Panevėžio rajone</w:t>
      </w:r>
      <w:r>
        <w:rPr>
          <w:rFonts w:eastAsiaTheme="majorEastAsia"/>
          <w:lang w:val="lt-LT"/>
        </w:rPr>
        <w:t>,</w:t>
      </w:r>
      <w:r w:rsidR="00411B33">
        <w:rPr>
          <w:rFonts w:eastAsiaTheme="majorEastAsia"/>
          <w:lang w:val="lt-LT"/>
        </w:rPr>
        <w:t xml:space="preserve"> probl</w:t>
      </w:r>
      <w:r>
        <w:rPr>
          <w:rFonts w:eastAsiaTheme="majorEastAsia"/>
          <w:lang w:val="lt-LT"/>
        </w:rPr>
        <w:t xml:space="preserve">emine sritimi galima įvardinti </w:t>
      </w:r>
      <w:r w:rsidR="00411B33">
        <w:rPr>
          <w:rFonts w:eastAsiaTheme="majorEastAsia"/>
          <w:lang w:val="lt-LT"/>
        </w:rPr>
        <w:t xml:space="preserve">pelningumo rodiklius – grynąjį pelningumą, EBIT, ROA ir ROE. Taip pat apyvartinio kapitalo trūkumą </w:t>
      </w:r>
      <w:r w:rsidR="003F6D49">
        <w:rPr>
          <w:rFonts w:eastAsiaTheme="majorEastAsia"/>
          <w:lang w:val="lt-LT"/>
        </w:rPr>
        <w:t>(</w:t>
      </w:r>
      <w:r w:rsidR="00411B33">
        <w:rPr>
          <w:rFonts w:eastAsiaTheme="majorEastAsia"/>
          <w:lang w:val="lt-LT"/>
        </w:rPr>
        <w:t>išskyrus įmonę A)</w:t>
      </w:r>
      <w:r w:rsidR="003F6D49">
        <w:rPr>
          <w:rFonts w:eastAsiaTheme="majorEastAsia"/>
          <w:lang w:val="lt-LT"/>
        </w:rPr>
        <w:t>, aukštą sąnaudų lygį.</w:t>
      </w:r>
    </w:p>
    <w:p w:rsidR="00C75BAE" w:rsidRPr="00326126" w:rsidRDefault="003F6D49" w:rsidP="00326126">
      <w:pPr>
        <w:spacing w:after="0"/>
        <w:ind w:firstLine="851"/>
        <w:rPr>
          <w:rFonts w:eastAsiaTheme="majorEastAsia"/>
          <w:lang w:val="lt-LT"/>
        </w:rPr>
      </w:pPr>
      <w:r>
        <w:rPr>
          <w:rFonts w:eastAsiaTheme="majorEastAsia"/>
          <w:lang w:val="lt-LT"/>
        </w:rPr>
        <w:t xml:space="preserve">Šio „ES finansinės paramos smulkiam ir vidutiniam verslui efektyvumo vertinimo Panevėžio rajone“ darbo palyginti su kitų autorių atliktais tyrimais neįmanoma dėl tyrimų </w:t>
      </w:r>
      <w:r w:rsidR="00326126">
        <w:rPr>
          <w:rFonts w:eastAsiaTheme="majorEastAsia"/>
          <w:lang w:val="lt-LT"/>
        </w:rPr>
        <w:t>stokos</w:t>
      </w:r>
      <w:r>
        <w:rPr>
          <w:rFonts w:eastAsiaTheme="majorEastAsia"/>
          <w:lang w:val="lt-LT"/>
        </w:rPr>
        <w:t>, t. y.</w:t>
      </w:r>
      <w:r w:rsidR="003C7B67">
        <w:rPr>
          <w:rFonts w:eastAsiaTheme="majorEastAsia"/>
          <w:lang w:val="lt-LT"/>
        </w:rPr>
        <w:t xml:space="preserve"> </w:t>
      </w:r>
      <w:r>
        <w:rPr>
          <w:rFonts w:eastAsiaTheme="majorEastAsia"/>
          <w:lang w:val="lt-LT"/>
        </w:rPr>
        <w:t>nebuvo rasta ši</w:t>
      </w:r>
      <w:r w:rsidR="00326126">
        <w:rPr>
          <w:rFonts w:eastAsiaTheme="majorEastAsia"/>
          <w:lang w:val="lt-LT"/>
        </w:rPr>
        <w:t>o pobūdžio tyrimų. Kiti autoriai</w:t>
      </w:r>
      <w:r w:rsidR="00200EB6">
        <w:rPr>
          <w:rFonts w:eastAsiaTheme="majorEastAsia"/>
          <w:lang w:val="lt-LT"/>
        </w:rPr>
        <w:t xml:space="preserve"> atliko tyrimus</w:t>
      </w:r>
      <w:r w:rsidR="003C7B67">
        <w:rPr>
          <w:rFonts w:eastAsiaTheme="majorEastAsia"/>
          <w:lang w:val="lt-LT"/>
        </w:rPr>
        <w:t xml:space="preserve"> regioniniu</w:t>
      </w:r>
      <w:r w:rsidR="00326126">
        <w:rPr>
          <w:rFonts w:eastAsiaTheme="majorEastAsia"/>
          <w:lang w:val="lt-LT"/>
        </w:rPr>
        <w:t xml:space="preserve"> </w:t>
      </w:r>
      <w:r w:rsidR="003C7B67">
        <w:rPr>
          <w:rFonts w:eastAsiaTheme="majorEastAsia"/>
          <w:lang w:val="lt-LT"/>
        </w:rPr>
        <w:t xml:space="preserve">ar valstybiniu lygmeniu </w:t>
      </w:r>
      <w:r>
        <w:rPr>
          <w:rFonts w:eastAsiaTheme="majorEastAsia"/>
          <w:lang w:val="lt-LT"/>
        </w:rPr>
        <w:t>vertinant ES</w:t>
      </w:r>
      <w:r w:rsidR="003C7B67">
        <w:rPr>
          <w:rFonts w:eastAsiaTheme="majorEastAsia"/>
          <w:lang w:val="lt-LT"/>
        </w:rPr>
        <w:t xml:space="preserve"> finansinės paramos efektyvumą.</w:t>
      </w:r>
      <w:r w:rsidR="00326126">
        <w:rPr>
          <w:rFonts w:eastAsiaTheme="majorEastAsia"/>
          <w:b/>
          <w:bCs/>
          <w:lang w:val="lt-LT"/>
        </w:rPr>
        <w:t xml:space="preserve"> </w:t>
      </w:r>
      <w:r w:rsidR="003C7B67">
        <w:rPr>
          <w:rFonts w:eastAsiaTheme="majorEastAsia"/>
          <w:lang w:val="lt-LT"/>
        </w:rPr>
        <w:t>Jų tyrimų</w:t>
      </w:r>
      <w:r w:rsidR="00326126">
        <w:rPr>
          <w:rFonts w:eastAsiaTheme="majorEastAsia"/>
          <w:lang w:val="lt-LT"/>
        </w:rPr>
        <w:t xml:space="preserve"> rezultatai atskleidė, kad ES finansinė parama prisideda prie BVP vienam gyventojui augmo (M. Percoco, 2005).</w:t>
      </w:r>
    </w:p>
    <w:p w:rsidR="003F6D49" w:rsidRDefault="003F6D49">
      <w:pPr>
        <w:spacing w:line="276" w:lineRule="auto"/>
        <w:jc w:val="left"/>
        <w:rPr>
          <w:rFonts w:eastAsiaTheme="majorEastAsia" w:cstheme="majorBidi"/>
          <w:b/>
          <w:bCs/>
          <w:caps/>
          <w:sz w:val="32"/>
          <w:szCs w:val="28"/>
          <w:lang w:val="lt-LT"/>
        </w:rPr>
      </w:pPr>
      <w:r>
        <w:rPr>
          <w:lang w:val="lt-LT"/>
        </w:rPr>
        <w:br w:type="page"/>
      </w:r>
    </w:p>
    <w:p w:rsidR="00FB6BD6" w:rsidRDefault="00FB6BD6" w:rsidP="00183C4E">
      <w:pPr>
        <w:pStyle w:val="Heading1"/>
        <w:spacing w:before="0"/>
        <w:rPr>
          <w:lang w:val="lt-LT"/>
        </w:rPr>
      </w:pPr>
      <w:bookmarkStart w:id="14" w:name="_Toc419534703"/>
      <w:r>
        <w:rPr>
          <w:lang w:val="lt-LT"/>
        </w:rPr>
        <w:lastRenderedPageBreak/>
        <w:t>IŠVADOS IR REKOMENDACIJOS</w:t>
      </w:r>
      <w:bookmarkEnd w:id="14"/>
    </w:p>
    <w:p w:rsidR="003F6951" w:rsidRDefault="003F6951" w:rsidP="003F6951">
      <w:pPr>
        <w:spacing w:after="0"/>
        <w:ind w:firstLine="851"/>
        <w:rPr>
          <w:rFonts w:eastAsiaTheme="majorEastAsia"/>
          <w:lang w:val="lt-LT"/>
        </w:rPr>
      </w:pPr>
    </w:p>
    <w:p w:rsidR="00FB6BD6" w:rsidRDefault="003F6951" w:rsidP="003F6951">
      <w:pPr>
        <w:spacing w:after="0"/>
        <w:ind w:firstLine="851"/>
        <w:rPr>
          <w:rFonts w:eastAsiaTheme="majorEastAsia"/>
          <w:lang w:val="lt-LT"/>
        </w:rPr>
      </w:pPr>
      <w:r>
        <w:rPr>
          <w:rFonts w:eastAsiaTheme="majorEastAsia"/>
          <w:lang w:val="lt-LT"/>
        </w:rPr>
        <w:t>Smulkus ir vidutinis verslas yra labai svarbus valstybės ekonomikai. Būtent SVV geba greičiau prisitaikyti prie politinių ir ekonominių šalies pokyčių bei turi jiems lemiamą poveikį, taip pat sukuria daugiausiai darbo vietų. Tad ES įvertinusi SVV svarbą nusprendė daugiau dėmesio skirti būtent jam ir paskątinti jų kūrimąsi.</w:t>
      </w:r>
    </w:p>
    <w:p w:rsidR="003F6951" w:rsidRDefault="003F6951" w:rsidP="00AC2401">
      <w:pPr>
        <w:spacing w:after="0"/>
        <w:ind w:firstLine="851"/>
        <w:rPr>
          <w:rFonts w:eastAsiaTheme="majorEastAsia"/>
          <w:lang w:val="lt-LT"/>
        </w:rPr>
      </w:pPr>
      <w:r>
        <w:rPr>
          <w:rFonts w:eastAsiaTheme="majorEastAsia"/>
          <w:lang w:val="lt-LT"/>
        </w:rPr>
        <w:t xml:space="preserve">Įmonių steigimasis ir plėtra reikalauja didelių investicijų, tai viena iš priežasčių, kodėl </w:t>
      </w:r>
      <w:r w:rsidR="005D5907">
        <w:rPr>
          <w:rFonts w:eastAsiaTheme="majorEastAsia"/>
          <w:lang w:val="lt-LT"/>
        </w:rPr>
        <w:t xml:space="preserve">susilaikoma nuo verslo kūrimo. Tačiau aptariant verslo finansavimo finansines galimybes, kurias nurodo teoriniai šaltiniai ir atliktos apklausos rezultatai atskleidžia, kad vieni iš svarbiausių šaltinių yra gaunamas pelnas arba kitaip įvardinamos savos lėšos. Po to jau vardinamos banko bei kredito unijų teikiamas paskolos. Taip pat galima kreiptis į INVEGĄ dėl ES struktūrinių fondų paramos gavimo, tačiau ji taip pat yra paskolos forma, kurią reikia grąžinti. Valstybė skatindama SVV taiko mokestines lengvatas: mažesnį PVM, darbo užmokesčio darbuotojams kompensavimą, padengia parodų bei mugių išlaidas, kuriose įmonė save reprezentuoja. Prie nefinansinių šaltinių priskiriama INVEGOS teikiama paskolos garantija. </w:t>
      </w:r>
      <w:r w:rsidR="00AC2401">
        <w:rPr>
          <w:rFonts w:eastAsiaTheme="majorEastAsia"/>
          <w:lang w:val="lt-LT"/>
        </w:rPr>
        <w:t>Ši paslauga garantuoja bankui, kad paskola bus grąžinta, tai užtikrina, kad įmonės plėtros ar steigimosi darbai nesustos, taip sukuriant gerovę regionui.</w:t>
      </w:r>
    </w:p>
    <w:p w:rsidR="00C54DFA" w:rsidRDefault="00AC2401" w:rsidP="00C54DFA">
      <w:pPr>
        <w:spacing w:after="0"/>
        <w:ind w:firstLine="851"/>
        <w:rPr>
          <w:rFonts w:eastAsiaTheme="majorEastAsia"/>
          <w:lang w:val="lt-LT"/>
        </w:rPr>
      </w:pPr>
      <w:r>
        <w:rPr>
          <w:rFonts w:eastAsiaTheme="majorEastAsia"/>
          <w:lang w:val="lt-LT"/>
        </w:rPr>
        <w:t>ES finansinės paramos pagrindiniais tikslais galima įvardinti naujų pajamų šaltinių ir naujų darbo vietų kūrimą, taip skatinant verslų įvairovę ne regionų centruose. Daugelį projektų skatinant kaimo vietov</w:t>
      </w:r>
      <w:r w:rsidR="00C54DFA">
        <w:rPr>
          <w:rFonts w:eastAsiaTheme="majorEastAsia"/>
          <w:lang w:val="lt-LT"/>
        </w:rPr>
        <w:t>ėse</w:t>
      </w:r>
      <w:r>
        <w:rPr>
          <w:rFonts w:eastAsiaTheme="majorEastAsia"/>
          <w:lang w:val="lt-LT"/>
        </w:rPr>
        <w:t xml:space="preserve"> </w:t>
      </w:r>
      <w:r w:rsidR="00C54DFA">
        <w:rPr>
          <w:rFonts w:eastAsiaTheme="majorEastAsia"/>
          <w:lang w:val="lt-LT"/>
        </w:rPr>
        <w:t>verslo kūrimą ir plėtrą</w:t>
      </w:r>
      <w:r>
        <w:rPr>
          <w:rFonts w:eastAsiaTheme="majorEastAsia"/>
          <w:lang w:val="lt-LT"/>
        </w:rPr>
        <w:t xml:space="preserve"> administruoja Nacionalinė mokėjimo agentūra. Jai teikiamos paraiškos dėl ES finansin</w:t>
      </w:r>
      <w:r w:rsidR="00C54DFA">
        <w:rPr>
          <w:rFonts w:eastAsiaTheme="majorEastAsia"/>
          <w:lang w:val="lt-LT"/>
        </w:rPr>
        <w:t>ė</w:t>
      </w:r>
      <w:r>
        <w:rPr>
          <w:rFonts w:eastAsiaTheme="majorEastAsia"/>
          <w:lang w:val="lt-LT"/>
        </w:rPr>
        <w:t>s paramos teikimo.</w:t>
      </w:r>
      <w:r w:rsidR="00C54DFA">
        <w:rPr>
          <w:rFonts w:eastAsiaTheme="majorEastAsia"/>
          <w:lang w:val="lt-LT"/>
        </w:rPr>
        <w:t xml:space="preserve"> Teikiama finansinė parama dažniausiai padengia tik 65-75 proc. numatytų išlaidų, tad kitą dalį turi padengti pats pareiškėjas. Numatyta finansuoti naujų pastatų statybos, rekonstrukcijos darbus, naujos įrangos, technikos, baldų įsigijimą ir internetinės svetainės sukūrimą. Taip pat ES siūlo galimybę pasinaudoti ne finansine parama – verslininko ugdymu, sudarant galimybę pažvelgti į kitų vykdomą verslą, mokytis ir užmegzti reikiamų ryšių.</w:t>
      </w:r>
    </w:p>
    <w:p w:rsidR="00C54DFA" w:rsidRDefault="006D15CF" w:rsidP="00326126">
      <w:pPr>
        <w:spacing w:after="0"/>
        <w:ind w:firstLine="851"/>
        <w:rPr>
          <w:rFonts w:eastAsiaTheme="majorEastAsia"/>
          <w:lang w:val="lt-LT"/>
        </w:rPr>
      </w:pPr>
      <w:r>
        <w:rPr>
          <w:rFonts w:eastAsiaTheme="majorEastAsia"/>
          <w:lang w:val="lt-LT"/>
        </w:rPr>
        <w:t xml:space="preserve">ES finansinę paramą bei jos efektyvumą galima vertinti įvairiai. Dauguma literatūros šaltinių </w:t>
      </w:r>
      <w:r w:rsidR="00326126">
        <w:rPr>
          <w:rFonts w:eastAsiaTheme="majorEastAsia"/>
          <w:lang w:val="lt-LT"/>
        </w:rPr>
        <w:t>pateikia</w:t>
      </w:r>
      <w:r>
        <w:rPr>
          <w:rFonts w:eastAsiaTheme="majorEastAsia"/>
          <w:lang w:val="lt-LT"/>
        </w:rPr>
        <w:t xml:space="preserve"> efektyvumo vertinimą makroekonominiu lygiu, t .y. kokį poveikį ES finansinė parama turėjo regioniniam, valstybiniam lygmeniui, taip pat išskiriami ekonominiai, socialiniai veiksniai. Šiame darbe ES struktūrinių fondų finansinė parama vertinama iš įmonių pusės, ar joms ji buvo naudinga ir jos gavimas pasiteisino. Tam atlikti buvo naudojami įmonių finansiniai rodikliai: likvidumo, finansinio sverto, pelningumo ir veiklos efektyvumo rodikliai. </w:t>
      </w:r>
    </w:p>
    <w:p w:rsidR="006D15CF" w:rsidRDefault="00C97291" w:rsidP="00C97291">
      <w:pPr>
        <w:spacing w:after="0"/>
        <w:ind w:firstLine="851"/>
        <w:rPr>
          <w:rFonts w:eastAsiaTheme="majorEastAsia"/>
          <w:lang w:val="lt-LT"/>
        </w:rPr>
      </w:pPr>
      <w:r>
        <w:rPr>
          <w:rFonts w:eastAsiaTheme="majorEastAsia"/>
          <w:lang w:val="lt-LT"/>
        </w:rPr>
        <w:t xml:space="preserve">Atlikta anketinė apklausa </w:t>
      </w:r>
      <w:r w:rsidR="006D15CF">
        <w:rPr>
          <w:rFonts w:eastAsiaTheme="majorEastAsia"/>
          <w:lang w:val="lt-LT"/>
        </w:rPr>
        <w:t xml:space="preserve">apie ES finansinės paramos </w:t>
      </w:r>
      <w:r>
        <w:rPr>
          <w:rFonts w:eastAsiaTheme="majorEastAsia"/>
          <w:lang w:val="lt-LT"/>
        </w:rPr>
        <w:t xml:space="preserve">SVV </w:t>
      </w:r>
      <w:r w:rsidR="006D15CF">
        <w:rPr>
          <w:rFonts w:eastAsiaTheme="majorEastAsia"/>
          <w:lang w:val="lt-LT"/>
        </w:rPr>
        <w:t>efektyvumą</w:t>
      </w:r>
      <w:r>
        <w:rPr>
          <w:rFonts w:eastAsiaTheme="majorEastAsia"/>
          <w:lang w:val="lt-LT"/>
        </w:rPr>
        <w:t xml:space="preserve"> įmonėms, kurioje dalyvavo ES finansinę paramą gavusios įmonės,</w:t>
      </w:r>
      <w:r w:rsidR="006D15CF">
        <w:rPr>
          <w:rFonts w:eastAsiaTheme="majorEastAsia"/>
          <w:lang w:val="lt-LT"/>
        </w:rPr>
        <w:t xml:space="preserve"> atkleidė, kad daugiausiai parama pasinaudojo </w:t>
      </w:r>
      <w:r w:rsidR="006D15CF">
        <w:rPr>
          <w:rFonts w:eastAsiaTheme="majorEastAsia"/>
          <w:lang w:val="lt-LT"/>
        </w:rPr>
        <w:lastRenderedPageBreak/>
        <w:t>įmonės užsiimančios maisto produktų gamyba</w:t>
      </w:r>
      <w:r w:rsidR="00987626">
        <w:rPr>
          <w:rFonts w:eastAsiaTheme="majorEastAsia"/>
          <w:lang w:val="lt-LT"/>
        </w:rPr>
        <w:t>.</w:t>
      </w:r>
      <w:r w:rsidR="006D15CF">
        <w:rPr>
          <w:rFonts w:eastAsiaTheme="majorEastAsia"/>
          <w:lang w:val="lt-LT"/>
        </w:rPr>
        <w:t xml:space="preserve"> </w:t>
      </w:r>
      <w:r w:rsidR="00987626">
        <w:rPr>
          <w:rFonts w:eastAsiaTheme="majorEastAsia"/>
          <w:lang w:val="lt-LT"/>
        </w:rPr>
        <w:t>Didžioji dalis verslininkų, pasinaudojusių ES finansine parama 2007-2013 m. laikotarpiu, domisi nauju 2014-2020 m. laikotarpiu. Daugiausiai respondentų nurodė, kad apie ES finansinę paramą sužinojo vieni iš kitų bei internetinių šaltinių. Net 58,8 proc. apklaustųjų paramą panaudojo naujos technikos, į</w:t>
      </w:r>
      <w:r>
        <w:rPr>
          <w:rFonts w:eastAsiaTheme="majorEastAsia"/>
          <w:lang w:val="lt-LT"/>
        </w:rPr>
        <w:t>rangos įsigijimui. D</w:t>
      </w:r>
      <w:r w:rsidR="005C78D8">
        <w:rPr>
          <w:rFonts w:eastAsiaTheme="majorEastAsia"/>
          <w:lang w:val="lt-LT"/>
        </w:rPr>
        <w:t>ėl investi</w:t>
      </w:r>
      <w:r w:rsidR="00987626">
        <w:rPr>
          <w:rFonts w:eastAsiaTheme="majorEastAsia"/>
          <w:lang w:val="lt-LT"/>
        </w:rPr>
        <w:t xml:space="preserve">cijų finansavimo šaltinių, didžioji dalis apklaustųjų (51 proc.) </w:t>
      </w:r>
      <w:r>
        <w:rPr>
          <w:rFonts w:eastAsiaTheme="majorEastAsia"/>
          <w:lang w:val="lt-LT"/>
        </w:rPr>
        <w:t xml:space="preserve">pagrindiniu </w:t>
      </w:r>
      <w:r w:rsidR="00987626">
        <w:rPr>
          <w:rFonts w:eastAsiaTheme="majorEastAsia"/>
          <w:lang w:val="lt-LT"/>
        </w:rPr>
        <w:t>nurodė gaunamą pelną. Didžiausia nauda įmonėms po ES finansinės paramos įsisavin</w:t>
      </w:r>
      <w:r>
        <w:rPr>
          <w:rFonts w:eastAsiaTheme="majorEastAsia"/>
          <w:lang w:val="lt-LT"/>
        </w:rPr>
        <w:t>imo pasireiškė našumo padidėjimu</w:t>
      </w:r>
      <w:r w:rsidR="00987626">
        <w:rPr>
          <w:rFonts w:eastAsiaTheme="majorEastAsia"/>
          <w:lang w:val="lt-LT"/>
        </w:rPr>
        <w:t xml:space="preserve"> (56,9 proc.) ir pagerėjusi</w:t>
      </w:r>
      <w:r>
        <w:rPr>
          <w:rFonts w:eastAsiaTheme="majorEastAsia"/>
          <w:lang w:val="lt-LT"/>
        </w:rPr>
        <w:t>a produkto kokybe</w:t>
      </w:r>
      <w:r w:rsidR="00987626">
        <w:rPr>
          <w:rFonts w:eastAsiaTheme="majorEastAsia"/>
          <w:lang w:val="lt-LT"/>
        </w:rPr>
        <w:t xml:space="preserve"> (31,4 proc.). Taip pat verslininkai nurodė, kad labiausiai po</w:t>
      </w:r>
      <w:r>
        <w:rPr>
          <w:rFonts w:eastAsiaTheme="majorEastAsia"/>
          <w:lang w:val="lt-LT"/>
        </w:rPr>
        <w:t xml:space="preserve"> ES finansinės</w:t>
      </w:r>
      <w:r w:rsidR="00987626">
        <w:rPr>
          <w:rFonts w:eastAsiaTheme="majorEastAsia"/>
          <w:lang w:val="lt-LT"/>
        </w:rPr>
        <w:t xml:space="preserve"> paramos gavimo pakito pardavimų</w:t>
      </w:r>
      <w:r>
        <w:rPr>
          <w:rFonts w:eastAsiaTheme="majorEastAsia"/>
          <w:lang w:val="lt-LT"/>
        </w:rPr>
        <w:t xml:space="preserve"> apimties ir apyvartos rodikliai.</w:t>
      </w:r>
    </w:p>
    <w:p w:rsidR="00987626" w:rsidRDefault="005C78D8" w:rsidP="00987626">
      <w:pPr>
        <w:spacing w:after="0"/>
        <w:ind w:firstLine="851"/>
        <w:rPr>
          <w:rFonts w:eastAsiaTheme="majorEastAsia"/>
          <w:lang w:val="lt-LT"/>
        </w:rPr>
      </w:pPr>
      <w:r>
        <w:rPr>
          <w:rFonts w:eastAsiaTheme="majorEastAsia"/>
          <w:lang w:val="lt-LT"/>
        </w:rPr>
        <w:t xml:space="preserve">Apskaičiavus finansinius rodiklius ir apžvelgus jų kitimo tendenciją buvo gauta, kad sėkmingiausiai ir efektyviausiai ES finansinę paramą panaudojo įmonės A ir B. Bet palyginus įmonių rodiklius su sektorių, paaiškėjo, kad pagal tai geriausiai įvertintos įmonės būtų A ir D. Dėl atliktų skaičiavimų sutapimo įmonės A atžvilgiu priimama išvada, kad ji įstengė </w:t>
      </w:r>
      <w:r w:rsidR="003535CE">
        <w:rPr>
          <w:rFonts w:eastAsiaTheme="majorEastAsia"/>
          <w:lang w:val="lt-LT"/>
        </w:rPr>
        <w:t xml:space="preserve">geriausiai </w:t>
      </w:r>
      <w:r>
        <w:rPr>
          <w:rFonts w:eastAsiaTheme="majorEastAsia"/>
          <w:lang w:val="lt-LT"/>
        </w:rPr>
        <w:t>gautas lėšas nukreipti efektyvumo didinimo linkme.</w:t>
      </w:r>
    </w:p>
    <w:p w:rsidR="003535CE" w:rsidRDefault="003535CE" w:rsidP="00D95FDC">
      <w:pPr>
        <w:spacing w:after="0"/>
        <w:ind w:firstLine="851"/>
        <w:rPr>
          <w:rFonts w:eastAsiaTheme="majorEastAsia"/>
          <w:lang w:val="lt-LT"/>
        </w:rPr>
      </w:pPr>
      <w:r>
        <w:rPr>
          <w:rFonts w:eastAsiaTheme="majorEastAsia"/>
          <w:lang w:val="lt-LT"/>
        </w:rPr>
        <w:t xml:space="preserve">Atliekant įmonių A, B, C ir D rangavimą pagal tarpusavyje apskaičiuotus finansinius rodiklius, paaiškėjo, kad geriausiai savo veiklą vykdė </w:t>
      </w:r>
      <w:r w:rsidR="00C97291">
        <w:rPr>
          <w:rFonts w:eastAsiaTheme="majorEastAsia"/>
          <w:lang w:val="lt-LT"/>
        </w:rPr>
        <w:t xml:space="preserve">įmonė </w:t>
      </w:r>
      <w:r>
        <w:rPr>
          <w:rFonts w:eastAsiaTheme="majorEastAsia"/>
          <w:lang w:val="lt-LT"/>
        </w:rPr>
        <w:t>A,</w:t>
      </w:r>
      <w:r w:rsidR="00C97291">
        <w:rPr>
          <w:rFonts w:eastAsiaTheme="majorEastAsia"/>
          <w:lang w:val="lt-LT"/>
        </w:rPr>
        <w:t xml:space="preserve"> kuri ES finansinę paramą panaudojo efektyviausiai</w:t>
      </w:r>
      <w:r w:rsidR="00D95FDC">
        <w:rPr>
          <w:rFonts w:eastAsiaTheme="majorEastAsia"/>
          <w:lang w:val="lt-LT"/>
        </w:rPr>
        <w:t>, taip pat šios įmonės sektoriaus rodikliai lyginant su įmonės D sektoriumi</w:t>
      </w:r>
      <w:r>
        <w:rPr>
          <w:rFonts w:eastAsiaTheme="majorEastAsia"/>
          <w:lang w:val="lt-LT"/>
        </w:rPr>
        <w:t xml:space="preserve"> </w:t>
      </w:r>
      <w:r w:rsidR="00D95FDC">
        <w:rPr>
          <w:rFonts w:eastAsiaTheme="majorEastAsia"/>
          <w:lang w:val="lt-LT"/>
        </w:rPr>
        <w:t>taip pat buvo efektyviausi. Vertinant ES finansinę paramą verslo kūrimui ir plėtrai, paaiškėjo, kad efektyviausia buvo įmonė B, kurios finansiniai rodikliai buvo aukštesni už įmonės C. Tačiau įmonės B sektoriaus poveikis jai nenustatytas. Atlikus įmonių darbuotojų skaičiaus palyginimą, paaiškėjo, kad jų skaičius įmonės efektyvumui reikšmės neturėjo.</w:t>
      </w:r>
      <w:r>
        <w:rPr>
          <w:rFonts w:eastAsiaTheme="majorEastAsia"/>
          <w:lang w:val="lt-LT"/>
        </w:rPr>
        <w:t xml:space="preserve"> </w:t>
      </w:r>
    </w:p>
    <w:p w:rsidR="009E2757" w:rsidRDefault="009E2757" w:rsidP="00D95FDC">
      <w:pPr>
        <w:spacing w:after="0"/>
        <w:ind w:firstLine="851"/>
        <w:rPr>
          <w:rFonts w:eastAsiaTheme="majorEastAsia"/>
          <w:lang w:val="lt-LT"/>
        </w:rPr>
      </w:pPr>
      <w:r>
        <w:rPr>
          <w:rFonts w:eastAsiaTheme="majorEastAsia"/>
          <w:lang w:val="lt-LT"/>
        </w:rPr>
        <w:t>Tad toliau skirstant, kurioms smulkioms ir vidutinėms įmonėms skirti ES finansinę paramą verslo kūrimui ir  plėtrai, rekomenduojama atlikti platesnius</w:t>
      </w:r>
      <w:r w:rsidR="00473699">
        <w:rPr>
          <w:rFonts w:eastAsiaTheme="majorEastAsia"/>
          <w:lang w:val="lt-LT"/>
        </w:rPr>
        <w:t xml:space="preserve"> bei išsamesnius</w:t>
      </w:r>
      <w:r>
        <w:rPr>
          <w:rFonts w:eastAsiaTheme="majorEastAsia"/>
          <w:lang w:val="lt-LT"/>
        </w:rPr>
        <w:t xml:space="preserve"> tyrimus ir įvertinimus ar tikrai vienai ar kitai įmonei parama bus efektyvi ir panaudojama sėkmingai. Taip būtų ES paramos lėšos</w:t>
      </w:r>
      <w:r w:rsidR="00473699">
        <w:rPr>
          <w:rFonts w:eastAsiaTheme="majorEastAsia"/>
          <w:lang w:val="lt-LT"/>
        </w:rPr>
        <w:t xml:space="preserve"> </w:t>
      </w:r>
      <w:bookmarkStart w:id="15" w:name="_GoBack"/>
      <w:bookmarkEnd w:id="15"/>
      <w:r w:rsidR="00473699">
        <w:rPr>
          <w:rFonts w:eastAsiaTheme="majorEastAsia"/>
          <w:lang w:val="lt-LT"/>
        </w:rPr>
        <w:t>skirstomos</w:t>
      </w:r>
      <w:r>
        <w:rPr>
          <w:rFonts w:eastAsiaTheme="majorEastAsia"/>
          <w:lang w:val="lt-LT"/>
        </w:rPr>
        <w:t xml:space="preserve"> panaudojamos efektyviau.</w:t>
      </w:r>
    </w:p>
    <w:p w:rsidR="003535CE" w:rsidRDefault="003535CE" w:rsidP="004B1C39">
      <w:pPr>
        <w:spacing w:after="0"/>
        <w:ind w:firstLine="851"/>
        <w:rPr>
          <w:rFonts w:eastAsiaTheme="majorEastAsia"/>
          <w:lang w:val="lt-LT"/>
        </w:rPr>
      </w:pPr>
      <w:r>
        <w:rPr>
          <w:rFonts w:eastAsiaTheme="majorEastAsia"/>
          <w:lang w:val="lt-LT"/>
        </w:rPr>
        <w:t xml:space="preserve">Šis tyrimas gali būti naudojamas plėtojant </w:t>
      </w:r>
      <w:r w:rsidR="004B1C39">
        <w:rPr>
          <w:rFonts w:eastAsiaTheme="majorEastAsia"/>
          <w:lang w:val="lt-LT"/>
        </w:rPr>
        <w:t xml:space="preserve">temą dėl </w:t>
      </w:r>
      <w:r>
        <w:rPr>
          <w:rFonts w:eastAsiaTheme="majorEastAsia"/>
          <w:lang w:val="lt-LT"/>
        </w:rPr>
        <w:t>ES finansinę paramą gavusių įmonių vertinim</w:t>
      </w:r>
      <w:r w:rsidR="004B1C39">
        <w:rPr>
          <w:rFonts w:eastAsiaTheme="majorEastAsia"/>
          <w:lang w:val="lt-LT"/>
        </w:rPr>
        <w:t>o ir efektyvumo nustatymo. Galima atlikti tolesnius tyrimus apimant visas regione esančias įmones ir įvertinant tuomet ne tik mikro lygiu par</w:t>
      </w:r>
      <w:r w:rsidR="009A03CF">
        <w:rPr>
          <w:rFonts w:eastAsiaTheme="majorEastAsia"/>
          <w:lang w:val="lt-LT"/>
        </w:rPr>
        <w:t>amos poveikį, tačiau ir regiono</w:t>
      </w:r>
      <w:r w:rsidR="004B1C39">
        <w:rPr>
          <w:rFonts w:eastAsiaTheme="majorEastAsia"/>
          <w:lang w:val="lt-LT"/>
        </w:rPr>
        <w:t>.</w:t>
      </w:r>
      <w:r w:rsidR="009A03CF">
        <w:rPr>
          <w:rFonts w:eastAsiaTheme="majorEastAsia"/>
          <w:lang w:val="lt-LT"/>
        </w:rPr>
        <w:t xml:space="preserve"> </w:t>
      </w:r>
      <w:r w:rsidR="004B1C39">
        <w:rPr>
          <w:rFonts w:eastAsiaTheme="majorEastAsia"/>
          <w:lang w:val="lt-LT"/>
        </w:rPr>
        <w:t>Siekiant visapusiško įvertinimo siūloma apskaičiuoti visų įmonių gavusių ES finansinę SVV skatinimui Lietuvoje 2007-2013 m.</w:t>
      </w:r>
      <w:r w:rsidR="009A03CF">
        <w:rPr>
          <w:rFonts w:eastAsiaTheme="majorEastAsia"/>
          <w:lang w:val="lt-LT"/>
        </w:rPr>
        <w:t xml:space="preserve"> laikotarpiu</w:t>
      </w:r>
      <w:r w:rsidR="004B1C39">
        <w:rPr>
          <w:rFonts w:eastAsiaTheme="majorEastAsia"/>
          <w:lang w:val="lt-LT"/>
        </w:rPr>
        <w:t>, tuomet būtų gauti tiksliausi rezultatai dėl ES finansinės paramos efektyvumo.</w:t>
      </w:r>
    </w:p>
    <w:p w:rsidR="004B1C39" w:rsidRDefault="004B1C39">
      <w:pPr>
        <w:spacing w:line="276" w:lineRule="auto"/>
        <w:jc w:val="left"/>
        <w:rPr>
          <w:rFonts w:eastAsiaTheme="majorEastAsia" w:cstheme="majorBidi"/>
          <w:b/>
          <w:bCs/>
          <w:caps/>
          <w:sz w:val="32"/>
          <w:szCs w:val="24"/>
          <w:lang w:val="lt-LT"/>
        </w:rPr>
      </w:pPr>
    </w:p>
    <w:p w:rsidR="00C30B52" w:rsidRDefault="00C30B52">
      <w:pPr>
        <w:spacing w:line="276" w:lineRule="auto"/>
        <w:jc w:val="left"/>
        <w:rPr>
          <w:rFonts w:eastAsiaTheme="majorEastAsia" w:cstheme="majorBidi"/>
          <w:b/>
          <w:bCs/>
          <w:caps/>
          <w:sz w:val="32"/>
          <w:szCs w:val="24"/>
          <w:lang w:val="lt-LT"/>
        </w:rPr>
      </w:pPr>
      <w:r>
        <w:rPr>
          <w:szCs w:val="24"/>
          <w:lang w:val="lt-LT"/>
        </w:rPr>
        <w:br w:type="page"/>
      </w:r>
    </w:p>
    <w:p w:rsidR="004A39CD" w:rsidRPr="000C45BD" w:rsidRDefault="00FB6BD6" w:rsidP="00FB6BD6">
      <w:pPr>
        <w:pStyle w:val="Heading1"/>
        <w:rPr>
          <w:szCs w:val="24"/>
          <w:lang w:val="lt-LT"/>
        </w:rPr>
      </w:pPr>
      <w:bookmarkStart w:id="16" w:name="_Toc419534704"/>
      <w:r w:rsidRPr="000C45BD">
        <w:rPr>
          <w:szCs w:val="24"/>
          <w:lang w:val="lt-LT"/>
        </w:rPr>
        <w:lastRenderedPageBreak/>
        <w:t>Literatūros sąrašas</w:t>
      </w:r>
      <w:bookmarkEnd w:id="16"/>
    </w:p>
    <w:p w:rsidR="00FB6BD6" w:rsidRPr="000C45BD" w:rsidRDefault="00FB6BD6" w:rsidP="00FB6BD6">
      <w:pPr>
        <w:rPr>
          <w:lang w:val="lt-LT"/>
        </w:rPr>
      </w:pPr>
    </w:p>
    <w:p w:rsidR="00C30B52" w:rsidRPr="00FA25B2" w:rsidRDefault="00C30B52" w:rsidP="002D73B2">
      <w:pPr>
        <w:pStyle w:val="ListParagraph"/>
        <w:numPr>
          <w:ilvl w:val="0"/>
          <w:numId w:val="12"/>
        </w:numPr>
        <w:spacing w:after="0"/>
        <w:ind w:left="0" w:firstLine="284"/>
        <w:rPr>
          <w:szCs w:val="24"/>
          <w:lang w:val="lt-LT"/>
        </w:rPr>
      </w:pPr>
      <w:r w:rsidRPr="00FA25B2">
        <w:rPr>
          <w:szCs w:val="24"/>
          <w:lang w:val="lt-LT"/>
        </w:rPr>
        <w:t>A „Small Business Act For Europe“. Prisijungta per Internetą: &lt;</w:t>
      </w:r>
      <w:hyperlink r:id="rId24" w:history="1">
        <w:r w:rsidRPr="00FA25B2">
          <w:rPr>
            <w:rStyle w:val="Hyperlink"/>
            <w:color w:val="auto"/>
            <w:szCs w:val="24"/>
            <w:u w:val="none"/>
            <w:lang w:val="lt-LT"/>
          </w:rPr>
          <w:t>http://eur-lex.europa.eu/LexUriServ/LexUriServ.do?uri=COM:2008:0394:FIN:EN:PDF</w:t>
        </w:r>
      </w:hyperlink>
      <w:r w:rsidRPr="00FA25B2">
        <w:t>&gt;,</w:t>
      </w:r>
      <w:r w:rsidRPr="00FA25B2">
        <w:rPr>
          <w:szCs w:val="24"/>
          <w:lang w:val="lt-LT"/>
        </w:rPr>
        <w:t xml:space="preserve"> (prisijungta 2015 02 17).</w:t>
      </w:r>
    </w:p>
    <w:p w:rsidR="00C30B52" w:rsidRPr="00FA25B2" w:rsidRDefault="00C30B52" w:rsidP="0074277F">
      <w:pPr>
        <w:pStyle w:val="ListParagraph"/>
        <w:numPr>
          <w:ilvl w:val="0"/>
          <w:numId w:val="12"/>
        </w:numPr>
        <w:ind w:left="0" w:firstLine="284"/>
        <w:rPr>
          <w:szCs w:val="24"/>
          <w:lang w:val="lt-LT"/>
        </w:rPr>
      </w:pPr>
      <w:r w:rsidRPr="00FA25B2">
        <w:rPr>
          <w:szCs w:val="24"/>
          <w:lang w:val="lt-LT"/>
        </w:rPr>
        <w:t xml:space="preserve">Adamonienė R., Makutėnienė D., Trifonova J. (2008). Smulkaus ir vidutinio verslo kaimo vietovėse finansavimo galimybės ir ypatumai. </w:t>
      </w:r>
      <w:r w:rsidRPr="00FA25B2">
        <w:rPr>
          <w:szCs w:val="24"/>
          <w:lang w:val="pt-PT"/>
        </w:rPr>
        <w:t>Prieiga per Internetą:</w:t>
      </w:r>
      <w:hyperlink r:id="rId25" w:history="1">
        <w:r w:rsidRPr="00FA25B2">
          <w:rPr>
            <w:rStyle w:val="Hyperlink"/>
            <w:color w:val="auto"/>
            <w:szCs w:val="24"/>
            <w:u w:val="none"/>
            <w:lang w:val="lt-LT"/>
          </w:rPr>
          <w:t xml:space="preserve"> &lt;http://etalpykla.lituanistikadb.lt/fedora/objects/LT-LDB-0001:J.04~2008~1367164719885/datastreams/DS.002.0.01.ARTIC/content</w:t>
        </w:r>
      </w:hyperlink>
      <w:r w:rsidRPr="00FA25B2">
        <w:rPr>
          <w:szCs w:val="24"/>
          <w:lang w:val="lt-LT"/>
        </w:rPr>
        <w:t>&gt; (prisijungta 2015 02 22).</w:t>
      </w:r>
    </w:p>
    <w:p w:rsidR="00C30B52" w:rsidRDefault="00C30B52" w:rsidP="0009272E">
      <w:pPr>
        <w:pStyle w:val="ListParagraph"/>
        <w:numPr>
          <w:ilvl w:val="0"/>
          <w:numId w:val="12"/>
        </w:numPr>
        <w:autoSpaceDE w:val="0"/>
        <w:autoSpaceDN w:val="0"/>
        <w:adjustRightInd w:val="0"/>
        <w:spacing w:after="0"/>
        <w:ind w:left="0" w:firstLine="284"/>
        <w:rPr>
          <w:szCs w:val="24"/>
          <w:lang w:val="en-US"/>
        </w:rPr>
      </w:pPr>
      <w:r w:rsidRPr="00FA25B2">
        <w:rPr>
          <w:szCs w:val="24"/>
          <w:lang w:val="en-US"/>
        </w:rPr>
        <w:t>Andriejūtė S., Snieška V. (2004). Institutional Financing Solutions for Small and Medium - Sized Enterprises in European Countries from Lithuanian Perspective. Prieiga per Internetą: &lt;</w:t>
      </w:r>
      <w:r w:rsidRPr="006A7328">
        <w:rPr>
          <w:szCs w:val="24"/>
          <w:lang w:val="en-US"/>
        </w:rPr>
        <w:t>http://etalpykla.lituanistikadb.lt/fedora/objects/LT-LDB-0001:J.04~2004~1367186290069/datastreams/DS.002.1.01.ARTIC/content</w:t>
      </w:r>
      <w:r w:rsidRPr="00FA25B2">
        <w:rPr>
          <w:lang w:val="en-US"/>
        </w:rPr>
        <w:t>&gt;,</w:t>
      </w:r>
      <w:r w:rsidRPr="00FA25B2">
        <w:rPr>
          <w:szCs w:val="24"/>
          <w:lang w:val="en-US"/>
        </w:rPr>
        <w:t xml:space="preserve"> (prisijungta 2015 02 20).</w:t>
      </w:r>
    </w:p>
    <w:p w:rsidR="00C30B52" w:rsidRPr="00FA25B2" w:rsidRDefault="00C30B52" w:rsidP="002D73B2">
      <w:pPr>
        <w:pStyle w:val="ListParagraph"/>
        <w:numPr>
          <w:ilvl w:val="0"/>
          <w:numId w:val="12"/>
        </w:numPr>
        <w:spacing w:after="0"/>
        <w:ind w:left="0" w:firstLine="284"/>
        <w:rPr>
          <w:szCs w:val="24"/>
          <w:lang w:val="lt-LT"/>
        </w:rPr>
      </w:pPr>
      <w:r w:rsidRPr="00FA25B2">
        <w:rPr>
          <w:szCs w:val="24"/>
          <w:lang w:val="lt-LT"/>
        </w:rPr>
        <w:t>Atviras kreditų fondas. Prisijungta per Internetą: &lt;</w:t>
      </w:r>
      <w:hyperlink r:id="rId26" w:history="1">
        <w:r w:rsidRPr="00FA25B2">
          <w:rPr>
            <w:rStyle w:val="Hyperlink"/>
            <w:color w:val="auto"/>
            <w:szCs w:val="24"/>
            <w:u w:val="none"/>
            <w:lang w:val="lt-LT"/>
          </w:rPr>
          <w:t>http://www.invega.lt/lt/paslaugos/lengvatines-paskolos/atviras-kreditu-fondas.htm</w:t>
        </w:r>
      </w:hyperlink>
      <w:r w:rsidRPr="00DC35C0">
        <w:rPr>
          <w:szCs w:val="24"/>
          <w:lang w:val="pt-PT"/>
        </w:rPr>
        <w:t>&gt;,</w:t>
      </w:r>
      <w:r w:rsidRPr="00FA25B2">
        <w:rPr>
          <w:szCs w:val="24"/>
          <w:lang w:val="lt-LT"/>
        </w:rPr>
        <w:t xml:space="preserve"> (prisijungta 2015 02 18).</w:t>
      </w:r>
    </w:p>
    <w:p w:rsidR="00C30B52" w:rsidRPr="00FA25B2" w:rsidRDefault="00C30B52" w:rsidP="00A33FD2">
      <w:pPr>
        <w:pStyle w:val="ListParagraph"/>
        <w:numPr>
          <w:ilvl w:val="0"/>
          <w:numId w:val="12"/>
        </w:numPr>
        <w:spacing w:after="0"/>
        <w:ind w:left="0" w:firstLine="284"/>
        <w:rPr>
          <w:szCs w:val="24"/>
          <w:lang w:val="lt-LT"/>
        </w:rPr>
      </w:pPr>
      <w:r w:rsidRPr="00FA25B2">
        <w:rPr>
          <w:szCs w:val="24"/>
          <w:lang w:val="lt-LT"/>
        </w:rPr>
        <w:t xml:space="preserve">Baltušnikienė J., Astrauskas A. ir kt. (2006). Savivaldos institucijų socialinis politinis veiksmingumas. Prieiga per Internetą: </w:t>
      </w:r>
      <w:hyperlink r:id="rId27" w:history="1">
        <w:r w:rsidRPr="00FA25B2">
          <w:rPr>
            <w:rStyle w:val="Hyperlink"/>
            <w:color w:val="auto"/>
            <w:szCs w:val="24"/>
            <w:u w:val="none"/>
            <w:lang w:val="lt-LT"/>
          </w:rPr>
          <w:t>http://www.mruni.eu/lt/mokslas/leidyba/leidiniai/dl_n.php?sfile=103917&amp;id=13967</w:t>
        </w:r>
      </w:hyperlink>
      <w:r w:rsidRPr="00FA25B2">
        <w:rPr>
          <w:szCs w:val="24"/>
          <w:lang w:val="lt-LT"/>
        </w:rPr>
        <w:t>, (prisijungta 2015 02 03).</w:t>
      </w:r>
    </w:p>
    <w:p w:rsidR="00C30B52" w:rsidRDefault="00C30B52" w:rsidP="00481AC4">
      <w:pPr>
        <w:pStyle w:val="ListParagraph"/>
        <w:numPr>
          <w:ilvl w:val="0"/>
          <w:numId w:val="12"/>
        </w:numPr>
        <w:spacing w:after="0"/>
        <w:ind w:left="0" w:firstLine="284"/>
        <w:rPr>
          <w:rFonts w:asciiTheme="majorBidi" w:hAnsiTheme="majorBidi" w:cstheme="majorBidi"/>
          <w:szCs w:val="24"/>
          <w:lang w:val="lt-LT"/>
        </w:rPr>
      </w:pPr>
      <w:r>
        <w:rPr>
          <w:rFonts w:asciiTheme="majorBidi" w:hAnsiTheme="majorBidi" w:cstheme="majorBidi"/>
          <w:szCs w:val="24"/>
          <w:lang w:val="lt-LT"/>
        </w:rPr>
        <w:t>Beržinskienė D. ir kt. (2012). ES struktūrinių fondų paramos įsisavinimo intensyvumas Lietuvos smulkaus ir vidutinio verslo sektoriuje. Prieiga per Internetą: &lt;</w:t>
      </w:r>
      <w:r w:rsidRPr="00A469D2">
        <w:rPr>
          <w:rFonts w:ascii="Tahoma" w:hAnsi="Tahoma" w:cs="Tahoma"/>
          <w:color w:val="000000"/>
          <w:sz w:val="20"/>
          <w:szCs w:val="20"/>
          <w:lang w:val="pt-PT"/>
        </w:rPr>
        <w:t xml:space="preserve"> http://vddb.library.lt/fedora/get/LT-eLABa-0001:J.04~2012~ISSN_1648-9098.N_4_28.PG_53-64/DS.002.0.01.ARTIC</w:t>
      </w:r>
      <w:r>
        <w:rPr>
          <w:rFonts w:asciiTheme="majorBidi" w:hAnsiTheme="majorBidi" w:cstheme="majorBidi"/>
          <w:szCs w:val="24"/>
          <w:lang w:val="lt-LT"/>
        </w:rPr>
        <w:t>&gt;, (prisijungta 2015 03 14).</w:t>
      </w:r>
    </w:p>
    <w:p w:rsidR="00C30B52" w:rsidRPr="00FA25B2" w:rsidRDefault="00C30B52" w:rsidP="004B5FE0">
      <w:pPr>
        <w:pStyle w:val="ListParagraph"/>
        <w:numPr>
          <w:ilvl w:val="0"/>
          <w:numId w:val="12"/>
        </w:numPr>
        <w:spacing w:after="0"/>
        <w:ind w:left="0" w:firstLine="284"/>
        <w:rPr>
          <w:szCs w:val="24"/>
          <w:lang w:val="lt-LT"/>
        </w:rPr>
      </w:pPr>
      <w:r w:rsidRPr="00FA25B2">
        <w:rPr>
          <w:szCs w:val="24"/>
          <w:lang w:val="en-US"/>
        </w:rPr>
        <w:t>Brewer E. III, Genay H. and Worthington P. R.. How are small firls financed? Evidence from small business investment companies.</w:t>
      </w:r>
      <w:r w:rsidRPr="00FA25B2">
        <w:rPr>
          <w:szCs w:val="24"/>
          <w:lang w:val="lt-LT"/>
        </w:rPr>
        <w:t xml:space="preserve"> Prisijungta per Internetą: &lt;</w:t>
      </w:r>
      <w:hyperlink r:id="rId28" w:anchor="db=a9h&amp;AN=9612136238" w:history="1">
        <w:r w:rsidRPr="00FA25B2">
          <w:rPr>
            <w:rStyle w:val="Hyperlink"/>
            <w:color w:val="auto"/>
            <w:szCs w:val="24"/>
            <w:u w:val="none"/>
            <w:lang w:val="lt-LT"/>
          </w:rPr>
          <w:t>http://web.a.ebscohost.com.ezproxy.vdu.lt/ehost/detail/detail?vid=8&amp;sid=e4c2634c-2f1d-47d8-86bb-3e170e6639ea%40sessionmgr4002&amp;hid=4114&amp;bdata=JnNpdGU9ZWhvc3QtbGl2ZQ%3d%3d#db=a9h&amp;AN=9612136238</w:t>
        </w:r>
      </w:hyperlink>
      <w:r w:rsidRPr="00FA25B2">
        <w:rPr>
          <w:lang w:val="lt-LT"/>
        </w:rPr>
        <w:t>&gt;,</w:t>
      </w:r>
      <w:r w:rsidRPr="00FA25B2">
        <w:rPr>
          <w:szCs w:val="24"/>
          <w:lang w:val="lt-LT"/>
        </w:rPr>
        <w:t xml:space="preserve"> (prisijungta 2015 02 22).</w:t>
      </w:r>
    </w:p>
    <w:p w:rsidR="00C30B52" w:rsidRPr="00FA25B2" w:rsidRDefault="00C30B52" w:rsidP="00FD12EE">
      <w:pPr>
        <w:pStyle w:val="ListParagraph"/>
        <w:numPr>
          <w:ilvl w:val="0"/>
          <w:numId w:val="12"/>
        </w:numPr>
        <w:spacing w:after="0"/>
        <w:ind w:left="0" w:firstLine="284"/>
        <w:rPr>
          <w:rFonts w:asciiTheme="majorBidi" w:hAnsiTheme="majorBidi" w:cstheme="majorBidi"/>
          <w:szCs w:val="24"/>
          <w:lang w:val="lt-LT"/>
        </w:rPr>
      </w:pPr>
      <w:r w:rsidRPr="00FA25B2">
        <w:rPr>
          <w:rFonts w:asciiTheme="majorBidi" w:hAnsiTheme="majorBidi" w:cstheme="majorBidi"/>
          <w:szCs w:val="24"/>
          <w:lang w:val="lt-LT"/>
        </w:rPr>
        <w:lastRenderedPageBreak/>
        <w:t>Buškevičiūtė E., Kanapickienė R., Patašius M.. Finansinių rezultatų analizė. Kaunas: Technologija, 2010.</w:t>
      </w:r>
    </w:p>
    <w:p w:rsidR="00C30B52" w:rsidRPr="00FA25B2" w:rsidRDefault="00C30B52" w:rsidP="00DD0CDA">
      <w:pPr>
        <w:pStyle w:val="ListParagraph"/>
        <w:numPr>
          <w:ilvl w:val="0"/>
          <w:numId w:val="12"/>
        </w:numPr>
        <w:spacing w:after="0"/>
        <w:ind w:left="0" w:firstLine="284"/>
        <w:rPr>
          <w:szCs w:val="24"/>
          <w:lang w:val="lt-LT"/>
        </w:rPr>
      </w:pPr>
      <w:r w:rsidRPr="00FA25B2">
        <w:rPr>
          <w:szCs w:val="24"/>
          <w:lang w:val="lt-LT"/>
        </w:rPr>
        <w:t>C. V. Howkins, (2011). Local economic development joint ventures and metropolitan networks. Prieiga per Internetą: &lt;http://web.a.ebscohost.com.ezproxy.vdu.lt/ehost/pdfviewer/pdfviewer?vid=3&amp;sid=7433809d-77b4-4c7a-afbc-d360c23b2439%40sessionmgr4002&amp;hid=4204&gt;, (prisijungta 2015 02 11).</w:t>
      </w:r>
    </w:p>
    <w:p w:rsidR="00C30B52" w:rsidRPr="00FA25B2" w:rsidRDefault="00C30B52" w:rsidP="004B5FE0">
      <w:pPr>
        <w:pStyle w:val="ListParagraph"/>
        <w:numPr>
          <w:ilvl w:val="0"/>
          <w:numId w:val="12"/>
        </w:numPr>
        <w:spacing w:after="0"/>
        <w:ind w:left="0" w:firstLine="284"/>
        <w:rPr>
          <w:rFonts w:asciiTheme="majorBidi" w:hAnsiTheme="majorBidi" w:cstheme="majorBidi"/>
          <w:szCs w:val="24"/>
          <w:lang w:val="da-DK"/>
        </w:rPr>
      </w:pPr>
      <w:r w:rsidRPr="00FA25B2">
        <w:rPr>
          <w:rFonts w:asciiTheme="majorBidi" w:hAnsiTheme="majorBidi" w:cstheme="majorBidi"/>
          <w:szCs w:val="24"/>
          <w:lang w:val="en-US"/>
        </w:rPr>
        <w:t xml:space="preserve">Carpenter R. E., B. C. Petersen (2001). Is the growth of small firms constrained by internal finance? </w:t>
      </w:r>
      <w:r w:rsidRPr="00FA25B2">
        <w:rPr>
          <w:szCs w:val="24"/>
          <w:lang w:val="lt-LT"/>
        </w:rPr>
        <w:t>Prisijungta per Internetą:</w:t>
      </w:r>
      <w:r w:rsidRPr="00FA25B2">
        <w:rPr>
          <w:rFonts w:asciiTheme="majorBidi" w:hAnsiTheme="majorBidi" w:cstheme="majorBidi"/>
          <w:szCs w:val="24"/>
          <w:lang w:val="da-DK"/>
        </w:rPr>
        <w:t xml:space="preserve"> &lt;</w:t>
      </w:r>
      <w:hyperlink r:id="rId29" w:history="1">
        <w:r w:rsidRPr="00FA25B2">
          <w:rPr>
            <w:rStyle w:val="Hyperlink"/>
            <w:rFonts w:asciiTheme="majorBidi" w:hAnsiTheme="majorBidi" w:cstheme="majorBidi"/>
            <w:color w:val="auto"/>
            <w:szCs w:val="24"/>
            <w:u w:val="none"/>
            <w:lang w:val="da-DK"/>
          </w:rPr>
          <w:t>http://193.206.48.5/eventi/innovarepercompetere/carpenter-petersen-gsmf.pdf</w:t>
        </w:r>
      </w:hyperlink>
      <w:r w:rsidRPr="00FA25B2">
        <w:rPr>
          <w:rFonts w:asciiTheme="majorBidi" w:hAnsiTheme="majorBidi" w:cstheme="majorBidi"/>
          <w:lang w:val="da-DK"/>
        </w:rPr>
        <w:t>&gt;, (prisijungta 2015 03 25).</w:t>
      </w:r>
    </w:p>
    <w:p w:rsidR="00C30B52" w:rsidRPr="00FA25B2" w:rsidRDefault="00C30B52" w:rsidP="002D73B2">
      <w:pPr>
        <w:pStyle w:val="ListParagraph"/>
        <w:numPr>
          <w:ilvl w:val="0"/>
          <w:numId w:val="12"/>
        </w:numPr>
        <w:spacing w:after="0"/>
        <w:ind w:left="0" w:firstLine="284"/>
        <w:rPr>
          <w:szCs w:val="24"/>
          <w:lang w:val="lt-LT"/>
        </w:rPr>
      </w:pPr>
      <w:r w:rsidRPr="00FA25B2">
        <w:rPr>
          <w:szCs w:val="24"/>
          <w:lang w:val="lt-LT"/>
        </w:rPr>
        <w:t>Communication from The Commission to The Council, The European Parlament, The European Economic and Social Committee and The Committee of The Regions „Overcoming the stigma of business failure – for a second chance policy. Implementing the Lisbon Partnership for Growth and Jobs“. Prisijungta per Internetą: &lt;</w:t>
      </w:r>
      <w:hyperlink r:id="rId30" w:history="1">
        <w:r w:rsidRPr="00FA25B2">
          <w:rPr>
            <w:rStyle w:val="Hyperlink"/>
            <w:color w:val="auto"/>
            <w:szCs w:val="24"/>
            <w:u w:val="none"/>
            <w:lang w:val="lt-LT"/>
          </w:rPr>
          <w:t>http://eur-lex.europa.eu/legal-content/EN/TXT/PDF/?uri=CELEX:52007DC0584&amp;from=EN</w:t>
        </w:r>
      </w:hyperlink>
      <w:r w:rsidRPr="00FA25B2">
        <w:rPr>
          <w:szCs w:val="24"/>
        </w:rPr>
        <w:t>&gt;,</w:t>
      </w:r>
      <w:r w:rsidRPr="00FA25B2">
        <w:rPr>
          <w:szCs w:val="24"/>
          <w:lang w:val="lt-LT"/>
        </w:rPr>
        <w:t xml:space="preserve"> (prisijungta 2015 02 17).</w:t>
      </w:r>
    </w:p>
    <w:p w:rsidR="00C30B52" w:rsidRPr="00FA25B2" w:rsidRDefault="00C30B52" w:rsidP="002D73B2">
      <w:pPr>
        <w:pStyle w:val="ListParagraph"/>
        <w:numPr>
          <w:ilvl w:val="0"/>
          <w:numId w:val="12"/>
        </w:numPr>
        <w:spacing w:after="0"/>
        <w:ind w:left="0" w:firstLine="284"/>
        <w:rPr>
          <w:szCs w:val="24"/>
          <w:lang w:val="lt-LT"/>
        </w:rPr>
      </w:pPr>
      <w:r w:rsidRPr="00FA25B2">
        <w:rPr>
          <w:szCs w:val="24"/>
          <w:lang w:val="lt-LT"/>
        </w:rPr>
        <w:t>EK leidinys „5 Years of Erasmus for Young Entrepreneurs“. Prieiga per Internetą:  &lt;</w:t>
      </w:r>
      <w:hyperlink r:id="rId31" w:history="1">
        <w:r w:rsidRPr="00FA25B2">
          <w:rPr>
            <w:rStyle w:val="Hyperlink"/>
            <w:color w:val="auto"/>
            <w:szCs w:val="24"/>
            <w:u w:val="none"/>
            <w:lang w:val="lt-LT"/>
          </w:rPr>
          <w:t>http://www.ukmin.lt/uploads/documents/Erasmus%20Entrepreneurs%20Anniversary%20Brochure_1.pdf</w:t>
        </w:r>
      </w:hyperlink>
      <w:r w:rsidRPr="00C30B52">
        <w:rPr>
          <w:lang w:val="en-US"/>
        </w:rPr>
        <w:t xml:space="preserve">&gt;, </w:t>
      </w:r>
      <w:r w:rsidRPr="00FA25B2">
        <w:rPr>
          <w:szCs w:val="24"/>
          <w:lang w:val="lt-LT"/>
        </w:rPr>
        <w:t>(prisijungta 2015 02 18).</w:t>
      </w:r>
    </w:p>
    <w:p w:rsidR="00C30B52" w:rsidRPr="00FA25B2" w:rsidRDefault="00C30B52" w:rsidP="002D73B2">
      <w:pPr>
        <w:pStyle w:val="ListParagraph"/>
        <w:numPr>
          <w:ilvl w:val="0"/>
          <w:numId w:val="12"/>
        </w:numPr>
        <w:spacing w:after="0"/>
        <w:ind w:left="0" w:firstLine="284"/>
        <w:rPr>
          <w:szCs w:val="24"/>
          <w:lang w:val="lt-LT"/>
        </w:rPr>
      </w:pPr>
      <w:r w:rsidRPr="00FA25B2">
        <w:rPr>
          <w:szCs w:val="24"/>
          <w:lang w:val="lt-LT"/>
        </w:rPr>
        <w:t>EK leidinys „Sėkmės paslaptis 2012-2013 m.“. Prisijungta per Internetą:  &lt;</w:t>
      </w:r>
      <w:hyperlink r:id="rId32" w:history="1">
        <w:r w:rsidRPr="00FA25B2">
          <w:rPr>
            <w:rStyle w:val="Hyperlink"/>
            <w:color w:val="auto"/>
            <w:szCs w:val="24"/>
            <w:u w:val="none"/>
            <w:lang w:val="lt-LT"/>
          </w:rPr>
          <w:t>http://ec.europa.eu/enterprise/initiatives/sme-week/documents/portraits/2012/secret2012_web_lt.pdf</w:t>
        </w:r>
      </w:hyperlink>
      <w:r w:rsidRPr="00C30B52">
        <w:rPr>
          <w:lang w:val="lt-LT"/>
        </w:rPr>
        <w:t>&gt;,</w:t>
      </w:r>
      <w:r w:rsidRPr="00FA25B2">
        <w:rPr>
          <w:szCs w:val="24"/>
          <w:lang w:val="lt-LT"/>
        </w:rPr>
        <w:t xml:space="preserve"> (prisijungta 2015 02 18).</w:t>
      </w:r>
    </w:p>
    <w:p w:rsidR="00C30B52" w:rsidRPr="00FA25B2" w:rsidRDefault="00C30B52" w:rsidP="00DD0CDA">
      <w:pPr>
        <w:pStyle w:val="ListParagraph"/>
        <w:numPr>
          <w:ilvl w:val="0"/>
          <w:numId w:val="12"/>
        </w:numPr>
        <w:spacing w:after="0"/>
        <w:ind w:left="0" w:firstLine="284"/>
        <w:rPr>
          <w:szCs w:val="24"/>
          <w:lang w:val="lt-LT"/>
        </w:rPr>
      </w:pPr>
      <w:r w:rsidRPr="00FA25B2">
        <w:rPr>
          <w:szCs w:val="24"/>
          <w:lang w:val="lt-LT"/>
        </w:rPr>
        <w:t>Entrepreneurship in the EU and beyond. Prisijungta per Internetą: &lt;</w:t>
      </w:r>
      <w:r w:rsidRPr="00FA25B2">
        <w:rPr>
          <w:szCs w:val="24"/>
        </w:rPr>
        <w:t>http://ec.europa.eu/enterprise/policies/sme/facts-figures-analysis/eurobarometer/ese_2009_en.htm&gt;,</w:t>
      </w:r>
      <w:r w:rsidRPr="00FA25B2">
        <w:rPr>
          <w:szCs w:val="24"/>
          <w:lang w:val="lt-LT"/>
        </w:rPr>
        <w:t xml:space="preserve"> (prisijungta 2015 02 17).</w:t>
      </w:r>
    </w:p>
    <w:p w:rsidR="00C30B52" w:rsidRPr="00FA25B2" w:rsidRDefault="00C30B52" w:rsidP="002D73B2">
      <w:pPr>
        <w:pStyle w:val="ListParagraph"/>
        <w:numPr>
          <w:ilvl w:val="0"/>
          <w:numId w:val="12"/>
        </w:numPr>
        <w:spacing w:after="0"/>
        <w:ind w:left="0" w:firstLine="284"/>
        <w:rPr>
          <w:szCs w:val="24"/>
          <w:lang w:val="lt-LT"/>
        </w:rPr>
      </w:pPr>
      <w:r w:rsidRPr="00FA25B2">
        <w:rPr>
          <w:szCs w:val="24"/>
          <w:lang w:val="lt-LT"/>
        </w:rPr>
        <w:t>Erasmus for Young Entrepreneurs. The programme and its benefits. Prisijungta per Internetą: &lt;</w:t>
      </w:r>
      <w:hyperlink r:id="rId33" w:anchor=".VOhDCP9QvuQ" w:history="1">
        <w:r w:rsidRPr="00FA25B2">
          <w:rPr>
            <w:rStyle w:val="Hyperlink"/>
            <w:color w:val="auto"/>
            <w:szCs w:val="24"/>
            <w:u w:val="none"/>
            <w:lang w:val="lt-LT"/>
          </w:rPr>
          <w:t>http://www.erasmus-entrepreneurs.eu/page.php?cid=2#.VOhDCP9QvuQ</w:t>
        </w:r>
      </w:hyperlink>
      <w:r w:rsidRPr="00FA25B2">
        <w:t>&gt;,</w:t>
      </w:r>
      <w:r w:rsidRPr="00FA25B2">
        <w:rPr>
          <w:szCs w:val="24"/>
          <w:lang w:val="lt-LT"/>
        </w:rPr>
        <w:t xml:space="preserve"> (prisijungta 2015 02 18).</w:t>
      </w:r>
    </w:p>
    <w:p w:rsidR="00C30B52" w:rsidRPr="00FA25B2" w:rsidRDefault="00C30B52" w:rsidP="002D73B2">
      <w:pPr>
        <w:pStyle w:val="ListParagraph"/>
        <w:numPr>
          <w:ilvl w:val="0"/>
          <w:numId w:val="12"/>
        </w:numPr>
        <w:spacing w:after="0"/>
        <w:ind w:left="0" w:firstLine="284"/>
        <w:rPr>
          <w:szCs w:val="24"/>
          <w:lang w:val="lt-LT"/>
        </w:rPr>
      </w:pPr>
      <w:r w:rsidRPr="00FA25B2">
        <w:rPr>
          <w:szCs w:val="24"/>
          <w:lang w:val="lt-LT"/>
        </w:rPr>
        <w:t>Erasmus jauniems verslininkams. Prisijungta per Internetą: &lt;</w:t>
      </w:r>
      <w:hyperlink r:id="rId34" w:history="1">
        <w:r w:rsidRPr="00FA25B2">
          <w:rPr>
            <w:rStyle w:val="Hyperlink"/>
            <w:color w:val="auto"/>
            <w:szCs w:val="24"/>
            <w:u w:val="none"/>
            <w:lang w:val="lt-LT"/>
          </w:rPr>
          <w:t>http://www.ukmin.lt/web/lt/verslo_aplinka/smulkaus-ir-vidutinio-verslo-politika/verslumo-skatinimas/erasmus_jauniesiems_verslininkams</w:t>
        </w:r>
      </w:hyperlink>
      <w:r w:rsidRPr="00FA25B2">
        <w:rPr>
          <w:lang w:val="lt-LT"/>
        </w:rPr>
        <w:t>&gt;,</w:t>
      </w:r>
      <w:r w:rsidRPr="00FA25B2">
        <w:rPr>
          <w:szCs w:val="24"/>
          <w:lang w:val="lt-LT"/>
        </w:rPr>
        <w:t xml:space="preserve"> (prisijungta 2015 02 18).</w:t>
      </w:r>
    </w:p>
    <w:p w:rsidR="00C30B52" w:rsidRPr="00FA25B2" w:rsidRDefault="00C30B52" w:rsidP="0074277F">
      <w:pPr>
        <w:pStyle w:val="ListParagraph"/>
        <w:numPr>
          <w:ilvl w:val="0"/>
          <w:numId w:val="12"/>
        </w:numPr>
        <w:ind w:left="0" w:firstLine="284"/>
        <w:rPr>
          <w:szCs w:val="24"/>
          <w:lang w:val="lt-LT"/>
        </w:rPr>
      </w:pPr>
      <w:r w:rsidRPr="00FA25B2">
        <w:rPr>
          <w:szCs w:val="24"/>
          <w:lang w:val="lt-LT"/>
        </w:rPr>
        <w:t xml:space="preserve">European investment fund.  JEREMIE.  </w:t>
      </w:r>
      <w:r w:rsidRPr="00DC35C0">
        <w:rPr>
          <w:szCs w:val="24"/>
          <w:lang w:val="en-US"/>
        </w:rPr>
        <w:t>Prieiga per Internetą: &lt;</w:t>
      </w:r>
      <w:hyperlink r:id="rId35" w:history="1">
        <w:r w:rsidRPr="00FA25B2">
          <w:rPr>
            <w:rStyle w:val="Hyperlink"/>
            <w:color w:val="auto"/>
            <w:szCs w:val="24"/>
            <w:u w:val="none"/>
            <w:lang w:val="lt-LT"/>
          </w:rPr>
          <w:t>http://www.eif.org/news_centre/publications/Jeremie_leaflet_files/jeremie_leaflet_lt.pdf</w:t>
        </w:r>
      </w:hyperlink>
      <w:r w:rsidRPr="00DC35C0">
        <w:rPr>
          <w:lang w:val="en-US"/>
        </w:rPr>
        <w:t>&gt;,</w:t>
      </w:r>
      <w:r w:rsidRPr="00FA25B2">
        <w:rPr>
          <w:szCs w:val="24"/>
          <w:lang w:val="lt-LT"/>
        </w:rPr>
        <w:t xml:space="preserve"> (prisijungta 2015 02 21). </w:t>
      </w:r>
    </w:p>
    <w:p w:rsidR="00C30B52" w:rsidRPr="00FA25B2" w:rsidRDefault="00C30B52" w:rsidP="00A33FD2">
      <w:pPr>
        <w:pStyle w:val="ListParagraph"/>
        <w:numPr>
          <w:ilvl w:val="0"/>
          <w:numId w:val="12"/>
        </w:numPr>
        <w:ind w:left="0" w:firstLine="284"/>
        <w:rPr>
          <w:szCs w:val="24"/>
          <w:lang w:val="lt-LT"/>
        </w:rPr>
      </w:pPr>
      <w:r w:rsidRPr="00FA25B2">
        <w:rPr>
          <w:smallCaps/>
          <w:szCs w:val="24"/>
          <w:shd w:val="clear" w:color="auto" w:fill="FFFFFF"/>
          <w:lang w:val="lt-LT"/>
        </w:rPr>
        <w:lastRenderedPageBreak/>
        <w:t>EUROPOS VIETOS SAVIVALDOS CHARTIJA</w:t>
      </w:r>
      <w:r w:rsidRPr="00FA25B2">
        <w:rPr>
          <w:caps/>
          <w:szCs w:val="24"/>
          <w:shd w:val="clear" w:color="auto" w:fill="FFFFFF"/>
          <w:lang w:val="lt-LT"/>
        </w:rPr>
        <w:t>.  P</w:t>
      </w:r>
      <w:r w:rsidRPr="00FA25B2">
        <w:rPr>
          <w:szCs w:val="24"/>
          <w:shd w:val="clear" w:color="auto" w:fill="FFFFFF"/>
          <w:lang w:val="lt-LT"/>
        </w:rPr>
        <w:t>risijungta per Internetą: &lt;</w:t>
      </w:r>
      <w:hyperlink r:id="rId36" w:history="1">
        <w:r w:rsidRPr="00FA25B2">
          <w:rPr>
            <w:rStyle w:val="Hyperlink"/>
            <w:color w:val="auto"/>
            <w:szCs w:val="24"/>
            <w:u w:val="none"/>
            <w:lang w:val="lt-LT"/>
          </w:rPr>
          <w:t>http://www3.lrs.lt/pls/inter3/oldsearch.preps2?Condition1=48874&amp;Condition2</w:t>
        </w:r>
      </w:hyperlink>
      <w:r w:rsidRPr="00FA25B2">
        <w:rPr>
          <w:szCs w:val="24"/>
          <w:lang w:val="lt-LT"/>
        </w:rPr>
        <w:t>=&gt;, (prisijungta 2015 02 02).</w:t>
      </w:r>
    </w:p>
    <w:p w:rsidR="00C30B52" w:rsidRPr="00FA25B2" w:rsidRDefault="00C30B52" w:rsidP="002D73B2">
      <w:pPr>
        <w:pStyle w:val="ListParagraph"/>
        <w:numPr>
          <w:ilvl w:val="0"/>
          <w:numId w:val="12"/>
        </w:numPr>
        <w:spacing w:after="0"/>
        <w:ind w:left="0" w:firstLine="284"/>
        <w:rPr>
          <w:szCs w:val="24"/>
          <w:lang w:val="lt-LT"/>
        </w:rPr>
      </w:pPr>
      <w:r w:rsidRPr="00FA25B2">
        <w:rPr>
          <w:szCs w:val="24"/>
          <w:lang w:val="lt-LT"/>
        </w:rPr>
        <w:t>Flash Eurobarometer 354 (2012). Entrepreneurship in the EU and beyond. Prieiga per Internetą: &lt;</w:t>
      </w:r>
      <w:hyperlink r:id="rId37" w:history="1">
        <w:r w:rsidRPr="00FA25B2">
          <w:rPr>
            <w:rStyle w:val="Hyperlink"/>
            <w:color w:val="auto"/>
            <w:szCs w:val="24"/>
            <w:u w:val="none"/>
            <w:lang w:val="lt-LT"/>
          </w:rPr>
          <w:t>http://ec.europa.eu/public_opinion/flash/fl_354_en.pdf</w:t>
        </w:r>
      </w:hyperlink>
      <w:r w:rsidRPr="00FA25B2">
        <w:rPr>
          <w:lang w:val="pt-PT"/>
        </w:rPr>
        <w:t>&gt;,</w:t>
      </w:r>
      <w:r w:rsidRPr="00FA25B2">
        <w:rPr>
          <w:szCs w:val="24"/>
          <w:lang w:val="lt-LT"/>
        </w:rPr>
        <w:t xml:space="preserve"> (prisijungta 2015 02 17).</w:t>
      </w:r>
    </w:p>
    <w:p w:rsidR="00C30B52" w:rsidRPr="00FA25B2" w:rsidRDefault="00C30B52" w:rsidP="002D73B2">
      <w:pPr>
        <w:pStyle w:val="ListParagraph"/>
        <w:numPr>
          <w:ilvl w:val="0"/>
          <w:numId w:val="12"/>
        </w:numPr>
        <w:spacing w:after="0"/>
        <w:ind w:left="0" w:firstLine="284"/>
        <w:rPr>
          <w:szCs w:val="24"/>
          <w:lang w:val="lt-LT"/>
        </w:rPr>
      </w:pPr>
      <w:r w:rsidRPr="00FA25B2">
        <w:rPr>
          <w:szCs w:val="24"/>
          <w:lang w:val="lt-LT"/>
        </w:rPr>
        <w:t>Garantijos SVV. Prisijungta per Internetą: &lt;</w:t>
      </w:r>
      <w:hyperlink r:id="rId38" w:history="1">
        <w:r w:rsidRPr="00FA25B2">
          <w:rPr>
            <w:rStyle w:val="Hyperlink"/>
            <w:color w:val="auto"/>
            <w:szCs w:val="24"/>
            <w:u w:val="none"/>
            <w:lang w:val="lt-LT"/>
          </w:rPr>
          <w:t>http://www.invega.lt/lt/center-top/garantijos.htm</w:t>
        </w:r>
      </w:hyperlink>
      <w:r w:rsidRPr="00FA25B2">
        <w:rPr>
          <w:szCs w:val="24"/>
        </w:rPr>
        <w:t>&gt;,</w:t>
      </w:r>
      <w:r w:rsidRPr="00FA25B2">
        <w:rPr>
          <w:szCs w:val="24"/>
          <w:lang w:val="lt-LT"/>
        </w:rPr>
        <w:t xml:space="preserve"> (prisijungta 2015 02 19).</w:t>
      </w:r>
    </w:p>
    <w:p w:rsidR="00C30B52" w:rsidRPr="004B1C39" w:rsidRDefault="00C30B52" w:rsidP="004B1C39">
      <w:pPr>
        <w:pStyle w:val="ListParagraph"/>
        <w:numPr>
          <w:ilvl w:val="0"/>
          <w:numId w:val="12"/>
        </w:numPr>
        <w:spacing w:after="0"/>
        <w:ind w:left="0" w:firstLine="284"/>
        <w:rPr>
          <w:rFonts w:asciiTheme="majorBidi" w:hAnsiTheme="majorBidi" w:cstheme="majorBidi"/>
          <w:szCs w:val="24"/>
          <w:lang w:val="lt-LT"/>
        </w:rPr>
      </w:pPr>
      <w:r>
        <w:rPr>
          <w:rFonts w:asciiTheme="majorBidi" w:hAnsiTheme="majorBidi" w:cstheme="majorBidi"/>
          <w:szCs w:val="24"/>
          <w:lang w:val="lt-LT"/>
        </w:rPr>
        <w:t>Giriūnas L. ir kt. (2013). Analytical study and modeling of statistical methods for finansial data analysis: theoreticak aspect. Prieiga per Internetą: &lt;</w:t>
      </w:r>
      <w:r w:rsidRPr="004330B4">
        <w:rPr>
          <w:rFonts w:asciiTheme="majorBidi" w:hAnsiTheme="majorBidi" w:cstheme="majorBidi"/>
          <w:szCs w:val="24"/>
          <w:lang w:val="lt-LT"/>
        </w:rPr>
        <w:t>http://www.jssidoi.org/dok/2013%203%20(1)%20September/Journal%20of%20Security%20and%20Sustainability%20Issues%202013%20Vol%203%20Nr1%20September.pdf</w:t>
      </w:r>
      <w:r>
        <w:rPr>
          <w:rFonts w:asciiTheme="majorBidi" w:hAnsiTheme="majorBidi" w:cstheme="majorBidi"/>
          <w:szCs w:val="24"/>
          <w:lang w:val="lt-LT"/>
        </w:rPr>
        <w:t>&gt;, (prisijungta 2015 03 03).</w:t>
      </w:r>
    </w:p>
    <w:p w:rsidR="00C30B52" w:rsidRPr="00FA25B2" w:rsidRDefault="00C30B52" w:rsidP="00A33FD2">
      <w:pPr>
        <w:pStyle w:val="ListParagraph"/>
        <w:numPr>
          <w:ilvl w:val="0"/>
          <w:numId w:val="12"/>
        </w:numPr>
        <w:spacing w:after="0"/>
        <w:ind w:left="0" w:firstLine="284"/>
        <w:rPr>
          <w:szCs w:val="24"/>
          <w:lang w:val="lt-LT"/>
        </w:rPr>
      </w:pPr>
      <w:r w:rsidRPr="00FA25B2">
        <w:rPr>
          <w:szCs w:val="24"/>
          <w:lang w:val="en-US"/>
        </w:rPr>
        <w:t xml:space="preserve">IULA WORLD WIDE DECLARATION OF LOCAL SELF-GOVERNMENT. </w:t>
      </w:r>
      <w:r w:rsidRPr="00C30B52">
        <w:rPr>
          <w:szCs w:val="24"/>
          <w:lang w:val="en-US"/>
        </w:rPr>
        <w:t>Prieiga per Internetą: &lt;</w:t>
      </w:r>
      <w:hyperlink r:id="rId39" w:history="1">
        <w:r w:rsidRPr="00FA25B2">
          <w:rPr>
            <w:rStyle w:val="Hyperlink"/>
            <w:color w:val="auto"/>
            <w:szCs w:val="24"/>
            <w:u w:val="none"/>
            <w:lang w:val="lt-LT"/>
          </w:rPr>
          <w:t>http://www.bunken.nga.gr.jp/siryousitu/eturansitu/charter/iula_decl_txt.html</w:t>
        </w:r>
      </w:hyperlink>
      <w:r w:rsidRPr="00C30B52">
        <w:rPr>
          <w:lang w:val="en-US"/>
        </w:rPr>
        <w:t>&gt;,</w:t>
      </w:r>
      <w:r w:rsidRPr="00FA25B2">
        <w:rPr>
          <w:szCs w:val="24"/>
          <w:lang w:val="lt-LT"/>
        </w:rPr>
        <w:t xml:space="preserve"> (prisijungta 2015 02 03).</w:t>
      </w:r>
    </w:p>
    <w:p w:rsidR="00C30B52" w:rsidRPr="00FA25B2" w:rsidRDefault="00C30B52" w:rsidP="002D73B2">
      <w:pPr>
        <w:pStyle w:val="ListParagraph"/>
        <w:numPr>
          <w:ilvl w:val="0"/>
          <w:numId w:val="12"/>
        </w:numPr>
        <w:spacing w:after="0"/>
        <w:ind w:left="0" w:firstLine="284"/>
        <w:rPr>
          <w:szCs w:val="24"/>
          <w:lang w:val="lt-LT"/>
        </w:rPr>
      </w:pPr>
      <w:r w:rsidRPr="00FA25B2">
        <w:rPr>
          <w:szCs w:val="24"/>
          <w:lang w:val="lt-LT"/>
        </w:rPr>
        <w:t>Lietuvos Respublikos valstybės kontrolė. Valstybinio audito ataskaita: mokesčių lengvatos. Prisijungta per Internetą: &lt;</w:t>
      </w:r>
      <w:hyperlink r:id="rId40" w:history="1">
        <w:r w:rsidRPr="00FA25B2">
          <w:rPr>
            <w:rStyle w:val="Hyperlink"/>
            <w:color w:val="auto"/>
            <w:szCs w:val="24"/>
            <w:u w:val="none"/>
            <w:lang w:val="lt-LT"/>
          </w:rPr>
          <w:t>https://www.google.com/url?sa=t&amp;rct=j&amp;q=&amp;esrc=s&amp;source=web&amp;cd=1&amp;ved=0CB0QFjAA&amp;url=http%3A%2F%2Fwww.vkontrole.lt%2Ffailas.aspx%3Fid%3D2852&amp;ei=fGr7VPjMDqmqywP8roGwDw&amp;usg=AFQjCNG8hEtfaG9Ppp-LC57I_5nbV-_Bsw&amp;sig2=0NdmcNBa7GDhoZ-hc0kaHg&amp;bvm=bv.87611401,d.bGQ&amp;cad=rja</w:t>
        </w:r>
      </w:hyperlink>
      <w:r w:rsidRPr="00FA25B2">
        <w:rPr>
          <w:szCs w:val="24"/>
          <w:lang w:val="lt-LT"/>
        </w:rPr>
        <w:t>&gt;, (prisijungta 2015 02 19).</w:t>
      </w:r>
    </w:p>
    <w:p w:rsidR="00C30B52" w:rsidRPr="00FA25B2" w:rsidRDefault="00C30B52" w:rsidP="00FA25B2">
      <w:pPr>
        <w:pStyle w:val="ListParagraph"/>
        <w:numPr>
          <w:ilvl w:val="0"/>
          <w:numId w:val="12"/>
        </w:numPr>
        <w:spacing w:after="0"/>
        <w:ind w:left="0" w:firstLine="284"/>
        <w:rPr>
          <w:rFonts w:asciiTheme="majorBidi" w:hAnsiTheme="majorBidi" w:cstheme="majorBidi"/>
          <w:szCs w:val="24"/>
          <w:lang w:val="pt-PT"/>
        </w:rPr>
      </w:pPr>
      <w:r w:rsidRPr="00A70D05">
        <w:rPr>
          <w:rFonts w:asciiTheme="majorBidi" w:hAnsiTheme="majorBidi" w:cstheme="majorBidi"/>
          <w:szCs w:val="24"/>
          <w:lang w:val="lt-LT"/>
        </w:rPr>
        <w:t xml:space="preserve">Mackevičius J.. Įmonių veikos analizė. </w:t>
      </w:r>
      <w:r w:rsidRPr="00FA25B2">
        <w:rPr>
          <w:rFonts w:asciiTheme="majorBidi" w:hAnsiTheme="majorBidi" w:cstheme="majorBidi"/>
          <w:szCs w:val="24"/>
          <w:lang w:val="pt-PT"/>
        </w:rPr>
        <w:t>Vilnius: Katalikų pasaulis, 2005.</w:t>
      </w:r>
    </w:p>
    <w:p w:rsidR="00C30B52" w:rsidRPr="00FA25B2" w:rsidRDefault="00C30B52" w:rsidP="004B5FE0">
      <w:pPr>
        <w:pStyle w:val="ListParagraph"/>
        <w:numPr>
          <w:ilvl w:val="0"/>
          <w:numId w:val="12"/>
        </w:numPr>
        <w:spacing w:after="0"/>
        <w:ind w:left="0" w:firstLine="284"/>
        <w:rPr>
          <w:rFonts w:asciiTheme="majorBidi" w:hAnsiTheme="majorBidi" w:cstheme="majorBidi"/>
          <w:szCs w:val="24"/>
          <w:lang w:val="lt-LT"/>
        </w:rPr>
      </w:pPr>
      <w:r w:rsidRPr="00FA25B2">
        <w:rPr>
          <w:rFonts w:asciiTheme="majorBidi" w:hAnsiTheme="majorBidi" w:cstheme="majorBidi"/>
          <w:szCs w:val="24"/>
          <w:lang w:val="lt-LT"/>
        </w:rPr>
        <w:t xml:space="preserve">Martinkus B., Žilinskas V. (2001). </w:t>
      </w:r>
      <w:r w:rsidRPr="00FA25B2">
        <w:rPr>
          <w:rFonts w:asciiTheme="majorBidi" w:hAnsiTheme="majorBidi" w:cstheme="majorBidi"/>
          <w:i/>
          <w:iCs/>
          <w:szCs w:val="24"/>
          <w:lang w:val="lt-LT"/>
        </w:rPr>
        <w:t xml:space="preserve">Ekonomikos pagrindai. </w:t>
      </w:r>
      <w:r w:rsidRPr="00FA25B2">
        <w:rPr>
          <w:rFonts w:asciiTheme="majorBidi" w:hAnsiTheme="majorBidi" w:cstheme="majorBidi"/>
          <w:szCs w:val="24"/>
          <w:lang w:val="lt-LT"/>
        </w:rPr>
        <w:t>Kaunas: Technologija.</w:t>
      </w:r>
    </w:p>
    <w:p w:rsidR="00C30B52" w:rsidRPr="00FA25B2" w:rsidRDefault="00C30B52" w:rsidP="002D73B2">
      <w:pPr>
        <w:pStyle w:val="ListParagraph"/>
        <w:numPr>
          <w:ilvl w:val="0"/>
          <w:numId w:val="12"/>
        </w:numPr>
        <w:spacing w:after="0"/>
        <w:ind w:left="0" w:firstLine="284"/>
        <w:rPr>
          <w:szCs w:val="24"/>
          <w:lang w:val="lt-LT"/>
        </w:rPr>
      </w:pPr>
      <w:r w:rsidRPr="00FA25B2">
        <w:rPr>
          <w:szCs w:val="24"/>
          <w:lang w:val="lt-LT"/>
        </w:rPr>
        <w:t>Mažų kreditų teikimas – 1 etapas. Prisijungta per Internetą: &lt;</w:t>
      </w:r>
      <w:hyperlink r:id="rId41" w:history="1">
        <w:r w:rsidRPr="00FA25B2">
          <w:rPr>
            <w:rStyle w:val="Hyperlink"/>
            <w:color w:val="auto"/>
            <w:szCs w:val="24"/>
            <w:u w:val="none"/>
            <w:lang w:val="lt-LT"/>
          </w:rPr>
          <w:t>http://www.invega.lt/lt/paslaugos/lengvatines-paskolos/mazu-kreditu-teikimas-1-etapas.htm</w:t>
        </w:r>
      </w:hyperlink>
      <w:r w:rsidRPr="00DC35C0">
        <w:rPr>
          <w:lang w:val="pt-PT"/>
        </w:rPr>
        <w:t>&gt;,</w:t>
      </w:r>
      <w:r w:rsidRPr="00FA25B2">
        <w:rPr>
          <w:szCs w:val="24"/>
          <w:lang w:val="lt-LT"/>
        </w:rPr>
        <w:t xml:space="preserve"> (prisijungta 2015 02 18).</w:t>
      </w:r>
    </w:p>
    <w:p w:rsidR="00C30B52" w:rsidRPr="00FA25B2" w:rsidRDefault="00C30B52" w:rsidP="002D73B2">
      <w:pPr>
        <w:pStyle w:val="ListParagraph"/>
        <w:numPr>
          <w:ilvl w:val="0"/>
          <w:numId w:val="12"/>
        </w:numPr>
        <w:spacing w:after="0"/>
        <w:ind w:left="0" w:firstLine="284"/>
        <w:rPr>
          <w:szCs w:val="24"/>
          <w:lang w:val="lt-LT"/>
        </w:rPr>
      </w:pPr>
      <w:r w:rsidRPr="00FA25B2">
        <w:rPr>
          <w:szCs w:val="24"/>
          <w:lang w:val="lt-LT"/>
        </w:rPr>
        <w:t>Mažų kreditų teikimas – 2 etapas. Prisijungta per Internetą: &lt;</w:t>
      </w:r>
      <w:hyperlink r:id="rId42" w:history="1">
        <w:r w:rsidRPr="00FA25B2">
          <w:rPr>
            <w:rStyle w:val="Hyperlink"/>
            <w:color w:val="auto"/>
            <w:szCs w:val="24"/>
            <w:u w:val="none"/>
            <w:lang w:val="lt-LT"/>
          </w:rPr>
          <w:t>http://www.invega.lt/lt/paslaugos/lengvatines-paskolos/mazu-kreditu-teikimas-2-etapas.htm</w:t>
        </w:r>
      </w:hyperlink>
      <w:r w:rsidRPr="00DC35C0">
        <w:rPr>
          <w:lang w:val="pt-PT"/>
        </w:rPr>
        <w:t>&gt;,</w:t>
      </w:r>
      <w:r w:rsidRPr="00FA25B2">
        <w:rPr>
          <w:szCs w:val="24"/>
          <w:lang w:val="lt-LT"/>
        </w:rPr>
        <w:t xml:space="preserve"> (prisijungta 2015 02 18).</w:t>
      </w:r>
    </w:p>
    <w:p w:rsidR="00C30B52" w:rsidRPr="00FA25B2" w:rsidRDefault="00C30B52" w:rsidP="004B5FE0">
      <w:pPr>
        <w:pStyle w:val="ListParagraph"/>
        <w:numPr>
          <w:ilvl w:val="0"/>
          <w:numId w:val="12"/>
        </w:numPr>
        <w:spacing w:after="0"/>
        <w:ind w:left="0" w:firstLine="284"/>
        <w:rPr>
          <w:szCs w:val="24"/>
          <w:lang w:val="lt-LT"/>
        </w:rPr>
      </w:pPr>
      <w:r w:rsidRPr="00FA25B2">
        <w:rPr>
          <w:szCs w:val="24"/>
          <w:lang w:val="lt-LT"/>
        </w:rPr>
        <w:t>Mažylis L. ir kt. (2004). Euroregionų veiklos organizavimas Lietuvoje // Organizacijų vadyba: sisteminiai tyrimai. Kaunas: VDU, Nr. 30. Prieiga per internetą: &lt;</w:t>
      </w:r>
      <w:hyperlink r:id="rId43" w:history="1">
        <w:r w:rsidRPr="00FA25B2">
          <w:rPr>
            <w:rStyle w:val="Hyperlink"/>
            <w:color w:val="auto"/>
            <w:szCs w:val="24"/>
            <w:u w:val="none"/>
            <w:lang w:val="lt-LT"/>
          </w:rPr>
          <w:t>http://etalpykla.lituanistikadb.lt/fedora/objects/LT-LDB-0001:J.04~2004~1367184243341/datastreams/DS.002.0.01.ARTIC/content</w:t>
        </w:r>
      </w:hyperlink>
      <w:r w:rsidRPr="00FA25B2">
        <w:rPr>
          <w:szCs w:val="24"/>
          <w:lang w:val="lt-LT"/>
        </w:rPr>
        <w:t>&gt;, (prisijungta 2015 02 03).</w:t>
      </w:r>
    </w:p>
    <w:p w:rsidR="00C30B52" w:rsidRPr="00633DE6" w:rsidRDefault="00C30B52" w:rsidP="00633DE6">
      <w:pPr>
        <w:pStyle w:val="ListParagraph"/>
        <w:numPr>
          <w:ilvl w:val="0"/>
          <w:numId w:val="12"/>
        </w:numPr>
        <w:spacing w:after="0"/>
        <w:ind w:left="0" w:firstLine="284"/>
        <w:rPr>
          <w:rFonts w:asciiTheme="majorBidi" w:hAnsiTheme="majorBidi" w:cstheme="majorBidi"/>
          <w:szCs w:val="24"/>
          <w:lang w:val="pt-PT"/>
        </w:rPr>
      </w:pPr>
      <w:r>
        <w:rPr>
          <w:rFonts w:asciiTheme="majorBidi" w:hAnsiTheme="majorBidi" w:cstheme="majorBidi"/>
          <w:lang w:val="pt-PT"/>
        </w:rPr>
        <w:lastRenderedPageBreak/>
        <w:t>Medienos</w:t>
      </w:r>
      <w:r w:rsidRPr="00E97AA8">
        <w:rPr>
          <w:rFonts w:asciiTheme="majorBidi" w:hAnsiTheme="majorBidi" w:cstheme="majorBidi"/>
          <w:lang w:val="pt-PT"/>
        </w:rPr>
        <w:t xml:space="preserve"> ruošos </w:t>
      </w:r>
      <w:r>
        <w:rPr>
          <w:rFonts w:asciiTheme="majorBidi" w:hAnsiTheme="majorBidi" w:cstheme="majorBidi"/>
          <w:lang w:val="pt-PT"/>
        </w:rPr>
        <w:t>finansiniai</w:t>
      </w:r>
      <w:r w:rsidRPr="00E97AA8">
        <w:rPr>
          <w:rFonts w:asciiTheme="majorBidi" w:hAnsiTheme="majorBidi" w:cstheme="majorBidi"/>
          <w:lang w:val="pt-PT"/>
        </w:rPr>
        <w:t xml:space="preserve"> rodikliai.</w:t>
      </w:r>
      <w:r>
        <w:rPr>
          <w:rFonts w:asciiTheme="majorBidi" w:hAnsiTheme="majorBidi" w:cstheme="majorBidi"/>
          <w:lang w:val="pt-PT"/>
        </w:rPr>
        <w:t xml:space="preserve"> Prieiga per Internetą: &lt;</w:t>
      </w:r>
      <w:r w:rsidRPr="00633DE6">
        <w:rPr>
          <w:rFonts w:asciiTheme="majorBidi" w:hAnsiTheme="majorBidi" w:cstheme="majorBidi"/>
          <w:lang w:val="pt-PT"/>
        </w:rPr>
        <w:t>http://db1.stat.gov.lt/statbank/default.asp?w=1366</w:t>
      </w:r>
      <w:r>
        <w:rPr>
          <w:rFonts w:asciiTheme="majorBidi" w:hAnsiTheme="majorBidi" w:cstheme="majorBidi"/>
          <w:lang w:val="pt-PT"/>
        </w:rPr>
        <w:t>&gt;, (prisijungta 2015 05 02).</w:t>
      </w:r>
    </w:p>
    <w:p w:rsidR="00C30B52" w:rsidRPr="00E97AA8" w:rsidRDefault="00C30B52" w:rsidP="00D83121">
      <w:pPr>
        <w:pStyle w:val="ListParagraph"/>
        <w:numPr>
          <w:ilvl w:val="0"/>
          <w:numId w:val="12"/>
        </w:numPr>
        <w:spacing w:after="0"/>
        <w:ind w:left="0" w:firstLine="284"/>
        <w:rPr>
          <w:rFonts w:asciiTheme="majorBidi" w:hAnsiTheme="majorBidi" w:cstheme="majorBidi"/>
          <w:szCs w:val="24"/>
          <w:lang w:val="en-US"/>
        </w:rPr>
      </w:pPr>
      <w:r w:rsidRPr="00FA25B2">
        <w:rPr>
          <w:rFonts w:asciiTheme="majorBidi" w:hAnsiTheme="majorBidi" w:cstheme="majorBidi"/>
          <w:szCs w:val="24"/>
          <w:lang w:val="en-US"/>
        </w:rPr>
        <w:t xml:space="preserve">Mohl P., Hagen T. (2009). Do EU structural funds promote regional growth? Evidence from variouspanel data approaches. </w:t>
      </w:r>
      <w:r w:rsidRPr="00FA25B2">
        <w:rPr>
          <w:szCs w:val="24"/>
          <w:lang w:val="lt-LT"/>
        </w:rPr>
        <w:t>Prisijungta per Internetą:</w:t>
      </w:r>
      <w:r w:rsidRPr="00DC35C0">
        <w:rPr>
          <w:rFonts w:asciiTheme="majorBidi" w:hAnsiTheme="majorBidi" w:cstheme="majorBidi"/>
          <w:szCs w:val="24"/>
          <w:lang w:val="en-US"/>
        </w:rPr>
        <w:t xml:space="preserve"> &lt;</w:t>
      </w:r>
      <w:hyperlink r:id="rId44" w:history="1">
        <w:r w:rsidRPr="00DC35C0">
          <w:rPr>
            <w:rStyle w:val="Hyperlink"/>
            <w:rFonts w:asciiTheme="majorBidi" w:hAnsiTheme="majorBidi" w:cstheme="majorBidi"/>
            <w:color w:val="auto"/>
            <w:szCs w:val="24"/>
            <w:u w:val="none"/>
            <w:lang w:val="en-US"/>
          </w:rPr>
          <w:t>http://www.ub.edu/sea2009.com/Papers/117.pdf</w:t>
        </w:r>
      </w:hyperlink>
      <w:r w:rsidRPr="00DC35C0">
        <w:rPr>
          <w:rFonts w:asciiTheme="majorBidi" w:hAnsiTheme="majorBidi" w:cstheme="majorBidi"/>
          <w:lang w:val="en-US"/>
        </w:rPr>
        <w:t>&gt;, (prisijungta 2015 04 10).</w:t>
      </w:r>
    </w:p>
    <w:p w:rsidR="00C30B52" w:rsidRPr="00FA25B2" w:rsidRDefault="00C30B52" w:rsidP="002D73B2">
      <w:pPr>
        <w:pStyle w:val="ListParagraph"/>
        <w:numPr>
          <w:ilvl w:val="0"/>
          <w:numId w:val="12"/>
        </w:numPr>
        <w:spacing w:after="0"/>
        <w:ind w:left="0" w:firstLine="284"/>
        <w:rPr>
          <w:szCs w:val="24"/>
          <w:lang w:val="lt-LT"/>
        </w:rPr>
      </w:pPr>
      <w:r w:rsidRPr="00FA25B2">
        <w:rPr>
          <w:szCs w:val="24"/>
          <w:lang w:val="lt-LT"/>
        </w:rPr>
        <w:t xml:space="preserve">Mokesčių lengvatos. Prisijungta per Internetą: </w:t>
      </w:r>
      <w:hyperlink r:id="rId45" w:history="1">
        <w:r w:rsidRPr="00FA25B2">
          <w:rPr>
            <w:rStyle w:val="Hyperlink"/>
            <w:color w:val="auto"/>
            <w:szCs w:val="24"/>
            <w:u w:val="none"/>
            <w:lang w:val="lt-LT"/>
          </w:rPr>
          <w:t>http://www.verslilietuva.lt/lt/verslo-pradzia/veikla/mokesciai/</w:t>
        </w:r>
      </w:hyperlink>
      <w:r w:rsidRPr="00FA25B2">
        <w:rPr>
          <w:szCs w:val="24"/>
          <w:lang w:val="lt-LT"/>
        </w:rPr>
        <w:t>, (prisijungta 2015 02 19).</w:t>
      </w:r>
    </w:p>
    <w:p w:rsidR="00C30B52" w:rsidRPr="00FA25B2" w:rsidRDefault="00C30B52" w:rsidP="004B5FE0">
      <w:pPr>
        <w:pStyle w:val="ListParagraph"/>
        <w:numPr>
          <w:ilvl w:val="0"/>
          <w:numId w:val="12"/>
        </w:numPr>
        <w:spacing w:after="0"/>
        <w:ind w:left="0" w:firstLine="284"/>
        <w:rPr>
          <w:rFonts w:asciiTheme="majorBidi" w:hAnsiTheme="majorBidi" w:cstheme="majorBidi"/>
          <w:szCs w:val="24"/>
          <w:lang w:val="lt-LT"/>
        </w:rPr>
      </w:pPr>
      <w:r w:rsidRPr="00FA25B2">
        <w:rPr>
          <w:rFonts w:asciiTheme="majorBidi" w:hAnsiTheme="majorBidi" w:cstheme="majorBidi"/>
          <w:szCs w:val="24"/>
          <w:lang w:val="lt-LT"/>
        </w:rPr>
        <w:t xml:space="preserve">NMA. Kaimo plėtros 2007-2013 m. programos statistika. </w:t>
      </w:r>
      <w:r w:rsidRPr="00FA25B2">
        <w:rPr>
          <w:szCs w:val="24"/>
          <w:lang w:val="lt-LT"/>
        </w:rPr>
        <w:t>Prisijungta per Internetą:</w:t>
      </w:r>
      <w:r w:rsidRPr="00FA25B2">
        <w:rPr>
          <w:rFonts w:asciiTheme="majorBidi" w:hAnsiTheme="majorBidi" w:cstheme="majorBidi"/>
          <w:szCs w:val="24"/>
          <w:lang w:val="lt-LT"/>
        </w:rPr>
        <w:t xml:space="preserve"> &lt;</w:t>
      </w:r>
      <w:hyperlink r:id="rId46" w:history="1">
        <w:r w:rsidRPr="00FA25B2">
          <w:rPr>
            <w:rStyle w:val="Hyperlink"/>
            <w:rFonts w:asciiTheme="majorBidi" w:hAnsiTheme="majorBidi" w:cstheme="majorBidi"/>
            <w:color w:val="auto"/>
            <w:szCs w:val="24"/>
            <w:u w:val="none"/>
            <w:lang w:val="lt-LT"/>
          </w:rPr>
          <w:t>https://www.nma.lt/uploads/files/dir730/dir36/dir1/4_0.php</w:t>
        </w:r>
      </w:hyperlink>
      <w:r w:rsidRPr="00FA25B2">
        <w:rPr>
          <w:rFonts w:asciiTheme="majorBidi" w:hAnsiTheme="majorBidi" w:cstheme="majorBidi"/>
          <w:lang w:val="lt-LT"/>
        </w:rPr>
        <w:t>&gt;, (prisijungta 2015 04 05).</w:t>
      </w:r>
    </w:p>
    <w:p w:rsidR="00C30B52" w:rsidRPr="00FA25B2" w:rsidRDefault="00C30B52" w:rsidP="002D73B2">
      <w:pPr>
        <w:pStyle w:val="ListParagraph"/>
        <w:numPr>
          <w:ilvl w:val="0"/>
          <w:numId w:val="12"/>
        </w:numPr>
        <w:spacing w:after="0"/>
        <w:ind w:left="0" w:firstLine="284"/>
        <w:rPr>
          <w:szCs w:val="24"/>
          <w:lang w:val="lt-LT"/>
        </w:rPr>
      </w:pPr>
      <w:r w:rsidRPr="00FA25B2">
        <w:rPr>
          <w:szCs w:val="24"/>
          <w:lang w:val="lt-LT"/>
        </w:rPr>
        <w:t>Panevėžio rajono savivaldybė. Sprendimas „Dėl Panevėžio rajono savivaldybės smulkaus ir vidutinio verslo rėmimo nuostatų patvirtinimo“. Prisijungta per Internetą: &lt;</w:t>
      </w:r>
      <w:hyperlink r:id="rId47" w:history="1">
        <w:r w:rsidRPr="00FA25B2">
          <w:rPr>
            <w:rStyle w:val="Hyperlink"/>
            <w:color w:val="auto"/>
            <w:szCs w:val="24"/>
            <w:u w:val="none"/>
            <w:lang w:val="lt-LT"/>
          </w:rPr>
          <w:t>http://panrs.lt/t20120223/2012t_27.pdf</w:t>
        </w:r>
      </w:hyperlink>
      <w:r w:rsidRPr="00FA25B2">
        <w:t>&gt;,</w:t>
      </w:r>
      <w:r w:rsidRPr="00FA25B2">
        <w:rPr>
          <w:szCs w:val="24"/>
          <w:lang w:val="lt-LT"/>
        </w:rPr>
        <w:t xml:space="preserve"> (prisijungta 2015 02 24).</w:t>
      </w:r>
    </w:p>
    <w:p w:rsidR="00C30B52" w:rsidRPr="00FA25B2" w:rsidRDefault="00C30B52" w:rsidP="002D73B2">
      <w:pPr>
        <w:pStyle w:val="ListParagraph"/>
        <w:numPr>
          <w:ilvl w:val="0"/>
          <w:numId w:val="12"/>
        </w:numPr>
        <w:spacing w:after="0"/>
        <w:ind w:left="0" w:firstLine="284"/>
        <w:rPr>
          <w:szCs w:val="24"/>
          <w:lang w:val="lt-LT"/>
        </w:rPr>
      </w:pPr>
      <w:r w:rsidRPr="00FA25B2">
        <w:rPr>
          <w:szCs w:val="24"/>
          <w:lang w:val="lt-LT"/>
        </w:rPr>
        <w:t>Pelno mokestis. Prisijungta per Internetą: &lt;http://www.vmi.lt/cms/pelno-mokestis1&gt;, (prisijungta 2015 02 19).</w:t>
      </w:r>
    </w:p>
    <w:p w:rsidR="00C30B52" w:rsidRPr="00301643" w:rsidRDefault="00C30B52" w:rsidP="00481AC4">
      <w:pPr>
        <w:pStyle w:val="ListParagraph"/>
        <w:numPr>
          <w:ilvl w:val="0"/>
          <w:numId w:val="12"/>
        </w:numPr>
        <w:spacing w:after="0"/>
        <w:ind w:left="0" w:firstLine="284"/>
        <w:rPr>
          <w:rFonts w:asciiTheme="majorBidi" w:hAnsiTheme="majorBidi" w:cstheme="majorBidi"/>
          <w:szCs w:val="24"/>
          <w:lang w:val="pt-PT"/>
        </w:rPr>
      </w:pPr>
      <w:r w:rsidRPr="00C30B52">
        <w:rPr>
          <w:rFonts w:asciiTheme="majorBidi" w:hAnsiTheme="majorBidi" w:cstheme="majorBidi"/>
          <w:szCs w:val="24"/>
          <w:lang w:val="lt-LT"/>
        </w:rPr>
        <w:t>Pramonini</w:t>
      </w:r>
      <w:r>
        <w:rPr>
          <w:rFonts w:asciiTheme="majorBidi" w:hAnsiTheme="majorBidi" w:cstheme="majorBidi"/>
          <w:szCs w:val="24"/>
          <w:lang w:val="lt-LT"/>
        </w:rPr>
        <w:t>ų mašinų ir įrangos įrengimas. Lietuvos statistikos departamentas. Prieiga per Internetą: &lt;</w:t>
      </w:r>
      <w:r w:rsidRPr="005B6474">
        <w:rPr>
          <w:rFonts w:asciiTheme="majorBidi" w:hAnsiTheme="majorBidi" w:cstheme="majorBidi"/>
          <w:szCs w:val="24"/>
          <w:lang w:val="lt-LT"/>
        </w:rPr>
        <w:t>http://osp.stat.gov.lt/statistiniu-rodikliu-analize?id=2351&amp;status=A</w:t>
      </w:r>
      <w:r>
        <w:rPr>
          <w:rFonts w:asciiTheme="majorBidi" w:hAnsiTheme="majorBidi" w:cstheme="majorBidi"/>
          <w:szCs w:val="24"/>
          <w:lang w:val="lt-LT"/>
        </w:rPr>
        <w:t>&gt;, (prisijungta 2015 05 02).</w:t>
      </w:r>
    </w:p>
    <w:p w:rsidR="00C30B52" w:rsidRPr="00FA25B2" w:rsidRDefault="00C30B52" w:rsidP="002D73B2">
      <w:pPr>
        <w:pStyle w:val="ListParagraph"/>
        <w:numPr>
          <w:ilvl w:val="0"/>
          <w:numId w:val="12"/>
        </w:numPr>
        <w:spacing w:after="0"/>
        <w:ind w:left="0" w:firstLine="284"/>
        <w:rPr>
          <w:szCs w:val="24"/>
          <w:lang w:val="lt-LT"/>
        </w:rPr>
      </w:pPr>
      <w:r w:rsidRPr="00FA25B2">
        <w:rPr>
          <w:szCs w:val="24"/>
          <w:lang w:val="lt-LT"/>
        </w:rPr>
        <w:t>Promoting Entrepreneurship. Prisijungta per Internetą:  &lt;</w:t>
      </w:r>
      <w:hyperlink r:id="rId48" w:history="1">
        <w:r w:rsidRPr="00FA25B2">
          <w:rPr>
            <w:rStyle w:val="Hyperlink"/>
            <w:color w:val="auto"/>
            <w:szCs w:val="24"/>
            <w:u w:val="none"/>
            <w:lang w:val="lt-LT"/>
          </w:rPr>
          <w:t>http://ec.europa.eu/enterprise/policies/sme/promoting-entrepreneurship/index_en.htm</w:t>
        </w:r>
      </w:hyperlink>
      <w:r w:rsidRPr="00FA25B2">
        <w:rPr>
          <w:szCs w:val="24"/>
        </w:rPr>
        <w:t>&gt;,</w:t>
      </w:r>
      <w:r w:rsidRPr="00FA25B2">
        <w:rPr>
          <w:szCs w:val="24"/>
          <w:lang w:val="lt-LT"/>
        </w:rPr>
        <w:t xml:space="preserve"> (prisijungta 2015 02 17).</w:t>
      </w:r>
    </w:p>
    <w:p w:rsidR="00C30B52" w:rsidRPr="00FA25B2" w:rsidRDefault="00C30B52" w:rsidP="00FD12EE">
      <w:pPr>
        <w:pStyle w:val="ListParagraph"/>
        <w:numPr>
          <w:ilvl w:val="0"/>
          <w:numId w:val="12"/>
        </w:numPr>
        <w:spacing w:after="0"/>
        <w:ind w:left="0" w:firstLine="284"/>
        <w:rPr>
          <w:rFonts w:asciiTheme="majorBidi" w:hAnsiTheme="majorBidi" w:cstheme="majorBidi"/>
          <w:szCs w:val="24"/>
          <w:lang w:val="lt-LT"/>
        </w:rPr>
      </w:pPr>
      <w:r w:rsidRPr="00FA25B2">
        <w:rPr>
          <w:rFonts w:asciiTheme="majorBidi" w:hAnsiTheme="majorBidi" w:cstheme="majorBidi"/>
          <w:szCs w:val="24"/>
          <w:lang w:val="en-US"/>
        </w:rPr>
        <w:t>Rainey D. L. Sustainable business development</w:t>
      </w:r>
      <w:r w:rsidRPr="00FA25B2">
        <w:rPr>
          <w:rFonts w:asciiTheme="majorBidi" w:hAnsiTheme="majorBidi" w:cstheme="majorBidi"/>
          <w:i/>
          <w:iCs/>
          <w:szCs w:val="24"/>
          <w:lang w:val="en-US"/>
        </w:rPr>
        <w:t xml:space="preserve">. </w:t>
      </w:r>
      <w:r w:rsidRPr="00FA25B2">
        <w:rPr>
          <w:rFonts w:asciiTheme="majorBidi" w:hAnsiTheme="majorBidi" w:cstheme="majorBidi"/>
          <w:szCs w:val="24"/>
          <w:lang w:val="en-US"/>
        </w:rPr>
        <w:t>Cambridge university pres</w:t>
      </w:r>
      <w:r w:rsidRPr="00FA25B2">
        <w:rPr>
          <w:rFonts w:asciiTheme="majorBidi" w:hAnsiTheme="majorBidi" w:cstheme="majorBidi"/>
          <w:szCs w:val="24"/>
          <w:lang w:val="lt-LT"/>
        </w:rPr>
        <w:t xml:space="preserve">s, </w:t>
      </w:r>
      <w:r w:rsidRPr="00FA25B2">
        <w:rPr>
          <w:rFonts w:asciiTheme="majorBidi" w:hAnsiTheme="majorBidi" w:cstheme="majorBidi"/>
          <w:szCs w:val="24"/>
          <w:lang w:val="en-US"/>
        </w:rPr>
        <w:t>2006.</w:t>
      </w:r>
    </w:p>
    <w:p w:rsidR="00C30B52" w:rsidRPr="00FA25B2" w:rsidRDefault="00C30B52" w:rsidP="002D73B2">
      <w:pPr>
        <w:pStyle w:val="ListParagraph"/>
        <w:numPr>
          <w:ilvl w:val="0"/>
          <w:numId w:val="12"/>
        </w:numPr>
        <w:ind w:left="0" w:firstLine="284"/>
        <w:rPr>
          <w:szCs w:val="24"/>
          <w:lang w:val="lt-LT"/>
        </w:rPr>
      </w:pPr>
      <w:r w:rsidRPr="00FA25B2">
        <w:rPr>
          <w:szCs w:val="24"/>
          <w:shd w:val="clear" w:color="auto" w:fill="FFFFFF"/>
          <w:lang w:val="pt-PT"/>
        </w:rPr>
        <w:t>Regioninės plėtros įstatymas</w:t>
      </w:r>
      <w:r w:rsidRPr="00FA25B2">
        <w:rPr>
          <w:szCs w:val="24"/>
          <w:lang w:val="lt-LT"/>
        </w:rPr>
        <w:t xml:space="preserve">. </w:t>
      </w:r>
      <w:r w:rsidRPr="00FA25B2">
        <w:rPr>
          <w:szCs w:val="24"/>
          <w:lang w:val="pt-PT"/>
        </w:rPr>
        <w:t>Prieiga per Internetą: &lt;</w:t>
      </w:r>
      <w:r w:rsidRPr="00FA25B2">
        <w:rPr>
          <w:szCs w:val="24"/>
          <w:lang w:val="lt-LT"/>
        </w:rPr>
        <w:t xml:space="preserve">http://www3.lrs.lt/pls/inter3/dokpaieska.showdoc_l?p_id=298580&gt;, </w:t>
      </w:r>
    </w:p>
    <w:p w:rsidR="00C30B52" w:rsidRPr="00FA25B2" w:rsidRDefault="00C30B52" w:rsidP="004B5FE0">
      <w:pPr>
        <w:pStyle w:val="ListParagraph"/>
        <w:numPr>
          <w:ilvl w:val="0"/>
          <w:numId w:val="12"/>
        </w:numPr>
        <w:ind w:left="0" w:firstLine="284"/>
        <w:rPr>
          <w:rFonts w:asciiTheme="majorBidi" w:hAnsiTheme="majorBidi" w:cstheme="majorBidi"/>
          <w:szCs w:val="24"/>
          <w:lang w:val="pt-PT" w:eastAsia="es-ES"/>
        </w:rPr>
      </w:pPr>
      <w:r w:rsidRPr="00FA25B2">
        <w:rPr>
          <w:rFonts w:asciiTheme="majorBidi" w:hAnsiTheme="majorBidi" w:cstheme="majorBidi"/>
          <w:szCs w:val="24"/>
          <w:lang w:val="pt-PT" w:eastAsia="es-ES"/>
        </w:rPr>
        <w:t>Rodiklių skaičiavimo metodika, (2001). Prieiga per internetą: &lt;http://www.nasdaqomxbaltic.com/files/vilnius/leidiniai/Rodikliu_skaiciavimo_metodika-final.pdf&gt;, (prisijungta 2015 03 06).</w:t>
      </w:r>
    </w:p>
    <w:p w:rsidR="00C30B52" w:rsidRPr="00FA25B2" w:rsidRDefault="00C30B52" w:rsidP="0074277F">
      <w:pPr>
        <w:pStyle w:val="ListParagraph"/>
        <w:numPr>
          <w:ilvl w:val="0"/>
          <w:numId w:val="12"/>
        </w:numPr>
        <w:ind w:left="0" w:firstLine="284"/>
        <w:rPr>
          <w:szCs w:val="24"/>
          <w:lang w:val="lt-LT"/>
        </w:rPr>
      </w:pPr>
      <w:r w:rsidRPr="00FA25B2">
        <w:rPr>
          <w:szCs w:val="24"/>
          <w:shd w:val="clear" w:color="auto" w:fill="FFFFFF"/>
          <w:lang w:val="lt-LT"/>
        </w:rPr>
        <w:t xml:space="preserve">SEB bankas. Kreditai investicijoms ir verslo plėtrai. </w:t>
      </w:r>
      <w:r w:rsidRPr="00FA25B2">
        <w:rPr>
          <w:szCs w:val="24"/>
          <w:lang w:val="lt-LT"/>
        </w:rPr>
        <w:t xml:space="preserve">Prieiga per Internetą: </w:t>
      </w:r>
      <w:r w:rsidRPr="00FA25B2">
        <w:rPr>
          <w:szCs w:val="24"/>
          <w:shd w:val="clear" w:color="auto" w:fill="FFFFFF"/>
          <w:lang w:val="lt-LT"/>
        </w:rPr>
        <w:t xml:space="preserve"> &lt;</w:t>
      </w:r>
      <w:hyperlink r:id="rId49" w:anchor="ikainiai" w:history="1">
        <w:r w:rsidRPr="00FA25B2">
          <w:rPr>
            <w:rStyle w:val="Hyperlink"/>
            <w:color w:val="auto"/>
            <w:szCs w:val="24"/>
            <w:u w:val="none"/>
            <w:shd w:val="clear" w:color="auto" w:fill="FFFFFF"/>
            <w:lang w:val="lt-LT"/>
          </w:rPr>
          <w:t>https://www.seb.lt/verslo-klientams/finansavimas/investiciju-ir-verslo-pletros-finansavimas/kreditai#ikainiai</w:t>
        </w:r>
      </w:hyperlink>
      <w:r w:rsidRPr="00FA25B2">
        <w:rPr>
          <w:lang w:val="lt-LT"/>
        </w:rPr>
        <w:t>&gt;,</w:t>
      </w:r>
      <w:r w:rsidRPr="00FA25B2">
        <w:rPr>
          <w:szCs w:val="24"/>
          <w:shd w:val="clear" w:color="auto" w:fill="FFFFFF"/>
          <w:lang w:val="lt-LT"/>
        </w:rPr>
        <w:t xml:space="preserve"> (prisijungta 2015 02 20).</w:t>
      </w:r>
    </w:p>
    <w:p w:rsidR="00C30B52" w:rsidRPr="00C30B52" w:rsidRDefault="00C30B52" w:rsidP="00633DE6">
      <w:pPr>
        <w:pStyle w:val="ListParagraph"/>
        <w:numPr>
          <w:ilvl w:val="0"/>
          <w:numId w:val="12"/>
        </w:numPr>
        <w:spacing w:after="0"/>
        <w:ind w:left="0" w:firstLine="284"/>
        <w:rPr>
          <w:rFonts w:asciiTheme="majorBidi" w:hAnsiTheme="majorBidi" w:cstheme="majorBidi"/>
          <w:szCs w:val="24"/>
          <w:lang w:val="lt-LT"/>
        </w:rPr>
      </w:pPr>
      <w:r w:rsidRPr="00C30B52">
        <w:rPr>
          <w:rFonts w:asciiTheme="majorBidi" w:hAnsiTheme="majorBidi" w:cstheme="majorBidi"/>
          <w:szCs w:val="24"/>
          <w:lang w:val="lt-LT"/>
        </w:rPr>
        <w:t>Statybos aik</w:t>
      </w:r>
      <w:r>
        <w:rPr>
          <w:rFonts w:asciiTheme="majorBidi" w:hAnsiTheme="majorBidi" w:cstheme="majorBidi"/>
          <w:szCs w:val="24"/>
          <w:lang w:val="lt-LT"/>
        </w:rPr>
        <w:t>štelių paruošimo ir kitų statybos darbų sektoriaus finansiniai rodikliai. Prieiga per Internetą:</w:t>
      </w:r>
      <w:r w:rsidRPr="00C30B52">
        <w:rPr>
          <w:lang w:val="lt-LT"/>
        </w:rPr>
        <w:t xml:space="preserve"> &lt;</w:t>
      </w:r>
      <w:r w:rsidRPr="00C30B52">
        <w:rPr>
          <w:rFonts w:asciiTheme="majorBidi" w:hAnsiTheme="majorBidi" w:cstheme="majorBidi"/>
          <w:szCs w:val="24"/>
          <w:lang w:val="lt-LT"/>
        </w:rPr>
        <w:t>http://osp.stat.gov.lt/statistiniu-rodikliu-analize?id=2398&amp;status=A&gt;, (prisijungta 2015 05 03).</w:t>
      </w:r>
    </w:p>
    <w:p w:rsidR="00C30B52" w:rsidRPr="00DC35C0" w:rsidRDefault="00C30B52" w:rsidP="004B5FE0">
      <w:pPr>
        <w:pStyle w:val="ListParagraph"/>
        <w:numPr>
          <w:ilvl w:val="0"/>
          <w:numId w:val="12"/>
        </w:numPr>
        <w:autoSpaceDE w:val="0"/>
        <w:autoSpaceDN w:val="0"/>
        <w:adjustRightInd w:val="0"/>
        <w:spacing w:after="0"/>
        <w:ind w:left="0" w:firstLine="284"/>
        <w:rPr>
          <w:rFonts w:asciiTheme="majorBidi" w:hAnsiTheme="majorBidi" w:cstheme="majorBidi"/>
          <w:i/>
          <w:iCs/>
          <w:szCs w:val="24"/>
          <w:lang w:val="pt-PT"/>
        </w:rPr>
      </w:pPr>
      <w:r w:rsidRPr="00FA25B2">
        <w:rPr>
          <w:rFonts w:asciiTheme="majorBidi" w:hAnsiTheme="majorBidi" w:cstheme="majorBidi"/>
          <w:szCs w:val="24"/>
          <w:lang w:val="lt-LT"/>
        </w:rPr>
        <w:t>Sūdzius V. (20</w:t>
      </w:r>
      <w:r w:rsidRPr="00FA25B2">
        <w:rPr>
          <w:rFonts w:asciiTheme="majorBidi" w:hAnsiTheme="majorBidi" w:cstheme="majorBidi"/>
          <w:szCs w:val="24"/>
          <w:lang w:val="pt-PT"/>
        </w:rPr>
        <w:t>01). Smulkaus ir vidutinio verslo administravimas ir valdymas.</w:t>
      </w:r>
      <w:r>
        <w:rPr>
          <w:rFonts w:asciiTheme="majorBidi" w:hAnsiTheme="majorBidi" w:cstheme="majorBidi"/>
          <w:szCs w:val="24"/>
          <w:lang w:val="pt-PT"/>
        </w:rPr>
        <w:t xml:space="preserve"> Vilnius: Kronta</w:t>
      </w:r>
    </w:p>
    <w:p w:rsidR="00C30B52" w:rsidRDefault="00C30B52" w:rsidP="00481AC4">
      <w:pPr>
        <w:pStyle w:val="ListParagraph"/>
        <w:numPr>
          <w:ilvl w:val="0"/>
          <w:numId w:val="12"/>
        </w:numPr>
        <w:spacing w:after="0"/>
        <w:ind w:left="0" w:firstLine="284"/>
        <w:rPr>
          <w:rFonts w:asciiTheme="majorBidi" w:hAnsiTheme="majorBidi" w:cstheme="majorBidi"/>
          <w:szCs w:val="24"/>
          <w:lang w:val="pt-PT"/>
        </w:rPr>
      </w:pPr>
      <w:r>
        <w:rPr>
          <w:rFonts w:asciiTheme="majorBidi" w:hAnsiTheme="majorBidi" w:cstheme="majorBidi"/>
          <w:szCs w:val="24"/>
          <w:lang w:val="pt-PT"/>
        </w:rPr>
        <w:lastRenderedPageBreak/>
        <w:t>Valgomųjų metalo įrankių ir kitų bendrojo metalo gamybos finansiniai rodikliai. Prieiga per Internetą: &lt;</w:t>
      </w:r>
      <w:r w:rsidRPr="00481AC4">
        <w:rPr>
          <w:rFonts w:asciiTheme="majorBidi" w:hAnsiTheme="majorBidi" w:cstheme="majorBidi"/>
          <w:szCs w:val="24"/>
          <w:lang w:val="pt-PT"/>
        </w:rPr>
        <w:t>http://osp.stat.gov.lt/statistiniu-rodikliu-analize?id=2398&amp;status=A</w:t>
      </w:r>
      <w:r>
        <w:rPr>
          <w:rFonts w:asciiTheme="majorBidi" w:hAnsiTheme="majorBidi" w:cstheme="majorBidi"/>
          <w:szCs w:val="24"/>
          <w:lang w:val="pt-PT"/>
        </w:rPr>
        <w:t>&gt;, (prisijungta 2015 05 02).</w:t>
      </w:r>
    </w:p>
    <w:p w:rsidR="00C30B52" w:rsidRPr="00FA25B2" w:rsidRDefault="00C30B52" w:rsidP="002D73B2">
      <w:pPr>
        <w:pStyle w:val="ListParagraph"/>
        <w:numPr>
          <w:ilvl w:val="0"/>
          <w:numId w:val="12"/>
        </w:numPr>
        <w:spacing w:after="0"/>
        <w:ind w:left="0" w:firstLine="284"/>
        <w:rPr>
          <w:szCs w:val="24"/>
          <w:lang w:val="lt-LT"/>
        </w:rPr>
      </w:pPr>
      <w:r w:rsidRPr="00FA25B2">
        <w:rPr>
          <w:szCs w:val="24"/>
          <w:lang w:val="lt-LT"/>
        </w:rPr>
        <w:t>Verslo finansavimo priemonės. Prisijungta per Internetą: &lt;</w:t>
      </w:r>
      <w:hyperlink r:id="rId50" w:history="1">
        <w:r w:rsidRPr="00FA25B2">
          <w:rPr>
            <w:rStyle w:val="Hyperlink"/>
            <w:color w:val="auto"/>
            <w:szCs w:val="24"/>
            <w:u w:val="none"/>
            <w:lang w:val="lt-LT"/>
          </w:rPr>
          <w:t>http://www.ukmin.lt/web/lt/verslo_aplinka/smulkaus-ir-vidutinio-verslo-politika/verslo_finansavimo_priemones</w:t>
        </w:r>
      </w:hyperlink>
      <w:r w:rsidRPr="00FA25B2">
        <w:rPr>
          <w:lang w:val="lt-LT"/>
        </w:rPr>
        <w:t>&gt;,</w:t>
      </w:r>
      <w:r w:rsidRPr="00FA25B2">
        <w:rPr>
          <w:szCs w:val="24"/>
          <w:lang w:val="lt-LT"/>
        </w:rPr>
        <w:t xml:space="preserve"> (prisijungta 2015 02 18).</w:t>
      </w:r>
    </w:p>
    <w:p w:rsidR="00C30B52" w:rsidRPr="0009272E" w:rsidRDefault="00C30B52" w:rsidP="0009272E">
      <w:pPr>
        <w:pStyle w:val="ListParagraph"/>
        <w:numPr>
          <w:ilvl w:val="0"/>
          <w:numId w:val="12"/>
        </w:numPr>
        <w:spacing w:after="0"/>
        <w:ind w:left="0" w:firstLine="284"/>
        <w:rPr>
          <w:szCs w:val="24"/>
          <w:lang w:val="lt-LT"/>
        </w:rPr>
      </w:pPr>
      <w:r w:rsidRPr="0009272E">
        <w:rPr>
          <w:rFonts w:eastAsia="Times New Roman"/>
          <w:lang w:val="lt-LT" w:eastAsia="es-ES"/>
        </w:rPr>
        <w:t xml:space="preserve">Verslo plėtrai – banko paskola, kapitalo investicija arba abu finansavimo šaltiniai. </w:t>
      </w:r>
      <w:r w:rsidRPr="0009272E">
        <w:rPr>
          <w:lang w:val="lt-LT"/>
        </w:rPr>
        <w:t>Prieiga per Internetą: &lt;</w:t>
      </w:r>
      <w:hyperlink r:id="rId51" w:history="1">
        <w:r w:rsidRPr="0009272E">
          <w:rPr>
            <w:lang w:val="lt-LT"/>
          </w:rPr>
          <w:t>http://www.sb.lt/lt/naujienos/verslo-pletrai-banko-paskola%2C-kapitalo-investicija-arba-abu-finansavimo-saltiniai/</w:t>
        </w:r>
      </w:hyperlink>
      <w:r w:rsidRPr="0009272E">
        <w:rPr>
          <w:lang w:val="lt-LT"/>
        </w:rPr>
        <w:t>&gt;,  (prisijungta 2015 02 22).</w:t>
      </w:r>
    </w:p>
    <w:p w:rsidR="00C30B52" w:rsidRPr="00FA25B2" w:rsidRDefault="00C30B52" w:rsidP="002D73B2">
      <w:pPr>
        <w:pStyle w:val="ListParagraph"/>
        <w:numPr>
          <w:ilvl w:val="0"/>
          <w:numId w:val="12"/>
        </w:numPr>
        <w:spacing w:after="0"/>
        <w:ind w:left="0" w:firstLine="284"/>
        <w:rPr>
          <w:szCs w:val="24"/>
          <w:lang w:val="lt-LT"/>
        </w:rPr>
      </w:pPr>
      <w:r w:rsidRPr="00FA25B2">
        <w:rPr>
          <w:szCs w:val="24"/>
          <w:lang w:val="lt-LT"/>
        </w:rPr>
        <w:t>Verslumo Europoje skatinimo planas. Prieiga per Internetą:  &lt;</w:t>
      </w:r>
      <w:hyperlink r:id="rId52" w:history="1">
        <w:r w:rsidRPr="00FA25B2">
          <w:rPr>
            <w:rStyle w:val="Hyperlink"/>
            <w:color w:val="auto"/>
            <w:szCs w:val="24"/>
            <w:u w:val="none"/>
            <w:lang w:val="lt-LT"/>
          </w:rPr>
          <w:t>http://ec.europa.eu/news/business/130110_lt.htm</w:t>
        </w:r>
      </w:hyperlink>
      <w:r w:rsidRPr="00FA25B2">
        <w:rPr>
          <w:szCs w:val="24"/>
          <w:lang w:val="pt-PT"/>
        </w:rPr>
        <w:t>&gt;,</w:t>
      </w:r>
      <w:r w:rsidRPr="00FA25B2">
        <w:rPr>
          <w:szCs w:val="24"/>
          <w:lang w:val="lt-LT"/>
        </w:rPr>
        <w:t xml:space="preserve"> (prisijungta 2015 02 17).</w:t>
      </w:r>
    </w:p>
    <w:p w:rsidR="00C30B52" w:rsidRPr="00FA25B2" w:rsidRDefault="00C30B52" w:rsidP="002D73B2">
      <w:pPr>
        <w:pStyle w:val="ListParagraph"/>
        <w:numPr>
          <w:ilvl w:val="0"/>
          <w:numId w:val="12"/>
        </w:numPr>
        <w:spacing w:after="0"/>
        <w:ind w:left="0" w:firstLine="284"/>
        <w:rPr>
          <w:szCs w:val="24"/>
          <w:lang w:val="lt-LT"/>
        </w:rPr>
      </w:pPr>
      <w:r w:rsidRPr="00FA25B2">
        <w:rPr>
          <w:szCs w:val="24"/>
          <w:lang w:val="lt-LT"/>
        </w:rPr>
        <w:t>Verslumo skatinimo fondas. Prisijungta per Internetą: &lt;</w:t>
      </w:r>
      <w:hyperlink r:id="rId53" w:history="1">
        <w:r w:rsidRPr="00FA25B2">
          <w:rPr>
            <w:rStyle w:val="Hyperlink"/>
            <w:color w:val="auto"/>
            <w:szCs w:val="24"/>
            <w:u w:val="none"/>
            <w:lang w:val="lt-LT"/>
          </w:rPr>
          <w:t>http://www.invega.lt/lt/paslaugos/lengvatines-paskolos/verslumo-skatinimo-fondas.htm</w:t>
        </w:r>
      </w:hyperlink>
      <w:r w:rsidRPr="00DC35C0">
        <w:rPr>
          <w:lang w:val="pt-PT"/>
        </w:rPr>
        <w:t>&gt;,</w:t>
      </w:r>
      <w:r w:rsidRPr="00FA25B2">
        <w:rPr>
          <w:szCs w:val="24"/>
          <w:lang w:val="lt-LT"/>
        </w:rPr>
        <w:t xml:space="preserve"> (prisijungta 2015 02 18).</w:t>
      </w:r>
    </w:p>
    <w:p w:rsidR="00A70D05" w:rsidRDefault="00C30B52" w:rsidP="001D46AA">
      <w:pPr>
        <w:pStyle w:val="ListParagraph"/>
        <w:numPr>
          <w:ilvl w:val="0"/>
          <w:numId w:val="12"/>
        </w:numPr>
        <w:spacing w:after="0"/>
        <w:ind w:left="0" w:firstLine="284"/>
        <w:rPr>
          <w:szCs w:val="24"/>
          <w:shd w:val="clear" w:color="auto" w:fill="FFFFFF"/>
          <w:lang w:val="lt-LT"/>
        </w:rPr>
      </w:pPr>
      <w:r w:rsidRPr="00FA25B2">
        <w:rPr>
          <w:szCs w:val="24"/>
          <w:shd w:val="clear" w:color="auto" w:fill="FFFFFF"/>
          <w:lang w:val="lt-LT"/>
        </w:rPr>
        <w:t>Viešojo administravimo efektyvumas (2007). Kolektyvinė monografija / Bagdanavičius J., Bartkus E., Chlivickas E. ir kt. Kaunas: Technologija.</w:t>
      </w:r>
    </w:p>
    <w:p w:rsidR="00943298" w:rsidRPr="00E10FAD" w:rsidRDefault="008D58DB" w:rsidP="00E10FAD">
      <w:pPr>
        <w:pStyle w:val="ListParagraph"/>
        <w:numPr>
          <w:ilvl w:val="0"/>
          <w:numId w:val="12"/>
        </w:numPr>
        <w:spacing w:after="0"/>
        <w:ind w:left="0" w:firstLine="284"/>
        <w:rPr>
          <w:szCs w:val="24"/>
          <w:shd w:val="clear" w:color="auto" w:fill="FFFFFF"/>
          <w:lang w:val="lt-LT"/>
        </w:rPr>
      </w:pPr>
      <w:r>
        <w:rPr>
          <w:szCs w:val="24"/>
          <w:shd w:val="clear" w:color="auto" w:fill="FFFFFF"/>
          <w:lang w:val="lt-LT"/>
        </w:rPr>
        <w:t xml:space="preserve">European Commission. Entrepreneurship 2020 action plan. Prieiga per Internetą: </w:t>
      </w:r>
      <w:r w:rsidR="00805F26">
        <w:rPr>
          <w:szCs w:val="24"/>
          <w:shd w:val="clear" w:color="auto" w:fill="FFFFFF"/>
          <w:lang w:val="lt-LT"/>
        </w:rPr>
        <w:t>&lt;</w:t>
      </w:r>
      <w:r w:rsidR="00805F26" w:rsidRPr="00805F26">
        <w:rPr>
          <w:lang w:val="lt-LT"/>
        </w:rPr>
        <w:t xml:space="preserve"> </w:t>
      </w:r>
      <w:r w:rsidR="00805F26" w:rsidRPr="00805F26">
        <w:rPr>
          <w:szCs w:val="24"/>
          <w:shd w:val="clear" w:color="auto" w:fill="FFFFFF"/>
          <w:lang w:val="lt-LT"/>
        </w:rPr>
        <w:t>http://eur-lex.europa.eu/LexUriServ/LexUriServ.do?uri=COM:2012:0795:FIN:EN:PDF</w:t>
      </w:r>
      <w:r w:rsidR="00805F26">
        <w:rPr>
          <w:szCs w:val="24"/>
          <w:shd w:val="clear" w:color="auto" w:fill="FFFFFF"/>
          <w:lang w:val="lt-LT"/>
        </w:rPr>
        <w:t>&gt;, (prisijungta 2015 02 15).</w:t>
      </w:r>
    </w:p>
    <w:sectPr w:rsidR="00943298" w:rsidRPr="00E10FAD" w:rsidSect="00E10FAD">
      <w:footerReference w:type="even" r:id="rId54"/>
      <w:footerReference w:type="default" r:id="rId55"/>
      <w:footerReference w:type="first" r:id="rId56"/>
      <w:pgSz w:w="11907" w:h="16840" w:code="9"/>
      <w:pgMar w:top="1418" w:right="567" w:bottom="1418"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ABF" w:rsidRDefault="00307ABF" w:rsidP="00DB20A1">
      <w:pPr>
        <w:spacing w:after="0" w:line="240" w:lineRule="auto"/>
      </w:pPr>
      <w:r>
        <w:separator/>
      </w:r>
    </w:p>
  </w:endnote>
  <w:endnote w:type="continuationSeparator" w:id="0">
    <w:p w:rsidR="00307ABF" w:rsidRDefault="00307ABF" w:rsidP="00DB2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SegoeU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86273"/>
      <w:docPartObj>
        <w:docPartGallery w:val="Page Numbers (Bottom of Page)"/>
        <w:docPartUnique/>
      </w:docPartObj>
    </w:sdtPr>
    <w:sdtEndPr/>
    <w:sdtContent>
      <w:p w:rsidR="006F3D74" w:rsidRDefault="006F3D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F3D74" w:rsidRDefault="006F3D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86274"/>
      <w:docPartObj>
        <w:docPartGallery w:val="Page Numbers (Bottom of Page)"/>
        <w:docPartUnique/>
      </w:docPartObj>
    </w:sdtPr>
    <w:sdtEndPr/>
    <w:sdtContent>
      <w:p w:rsidR="006F3D74" w:rsidRDefault="006F3D74">
        <w:pPr>
          <w:pStyle w:val="Footer"/>
          <w:jc w:val="center"/>
        </w:pPr>
        <w:r>
          <w:fldChar w:fldCharType="begin"/>
        </w:r>
        <w:r>
          <w:instrText xml:space="preserve"> PAGE   \* MERGEFORMAT </w:instrText>
        </w:r>
        <w:r>
          <w:fldChar w:fldCharType="separate"/>
        </w:r>
        <w:r w:rsidR="00473699">
          <w:rPr>
            <w:noProof/>
          </w:rPr>
          <w:t>54</w:t>
        </w:r>
        <w:r>
          <w:rPr>
            <w:noProof/>
          </w:rPr>
          <w:fldChar w:fldCharType="end"/>
        </w:r>
      </w:p>
    </w:sdtContent>
  </w:sdt>
  <w:p w:rsidR="006F3D74" w:rsidRPr="00E279BD" w:rsidRDefault="006F3D74" w:rsidP="00E279BD">
    <w:pPr>
      <w:pStyle w:val="Footer"/>
      <w:tabs>
        <w:tab w:val="clear" w:pos="4252"/>
        <w:tab w:val="clear" w:pos="8504"/>
        <w:tab w:val="left" w:pos="6195"/>
      </w:tabs>
      <w:rPr>
        <w:lang w:val="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86275"/>
      <w:docPartObj>
        <w:docPartGallery w:val="Page Numbers (Bottom of Page)"/>
        <w:docPartUnique/>
      </w:docPartObj>
    </w:sdtPr>
    <w:sdtEndPr/>
    <w:sdtContent>
      <w:p w:rsidR="006F3D74" w:rsidRDefault="00307ABF" w:rsidP="00605BB4">
        <w:pPr>
          <w:pStyle w:val="Footer"/>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ABF" w:rsidRDefault="00307ABF" w:rsidP="00DB20A1">
      <w:pPr>
        <w:spacing w:after="0" w:line="240" w:lineRule="auto"/>
      </w:pPr>
      <w:r>
        <w:separator/>
      </w:r>
    </w:p>
  </w:footnote>
  <w:footnote w:type="continuationSeparator" w:id="0">
    <w:p w:rsidR="00307ABF" w:rsidRDefault="00307ABF" w:rsidP="00DB20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80386"/>
    <w:multiLevelType w:val="hybridMultilevel"/>
    <w:tmpl w:val="ABBC00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DC20718"/>
    <w:multiLevelType w:val="hybridMultilevel"/>
    <w:tmpl w:val="C2FCCF88"/>
    <w:lvl w:ilvl="0" w:tplc="9BA80F8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EB30D25"/>
    <w:multiLevelType w:val="hybridMultilevel"/>
    <w:tmpl w:val="CFE88E6A"/>
    <w:lvl w:ilvl="0" w:tplc="0AA8185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2B1434C"/>
    <w:multiLevelType w:val="hybridMultilevel"/>
    <w:tmpl w:val="265E6A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A42005A"/>
    <w:multiLevelType w:val="hybridMultilevel"/>
    <w:tmpl w:val="3F5AD346"/>
    <w:lvl w:ilvl="0" w:tplc="0C0A000F">
      <w:start w:val="1"/>
      <w:numFmt w:val="decimal"/>
      <w:lvlText w:val="%1."/>
      <w:lvlJc w:val="left"/>
      <w:pPr>
        <w:ind w:left="720" w:hanging="360"/>
      </w:pPr>
      <w:rPr>
        <w:rFonts w:hint="default"/>
      </w:rPr>
    </w:lvl>
    <w:lvl w:ilvl="1" w:tplc="98488672">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B59500C"/>
    <w:multiLevelType w:val="hybridMultilevel"/>
    <w:tmpl w:val="BC244892"/>
    <w:lvl w:ilvl="0" w:tplc="DF0A3B3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C937287"/>
    <w:multiLevelType w:val="hybridMultilevel"/>
    <w:tmpl w:val="8D9E82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DC12A08"/>
    <w:multiLevelType w:val="hybridMultilevel"/>
    <w:tmpl w:val="76701FF2"/>
    <w:lvl w:ilvl="0" w:tplc="0C0A0001">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8">
    <w:nsid w:val="1F0250D5"/>
    <w:multiLevelType w:val="hybridMultilevel"/>
    <w:tmpl w:val="EA2052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5EF7737"/>
    <w:multiLevelType w:val="hybridMultilevel"/>
    <w:tmpl w:val="4D3C8E66"/>
    <w:lvl w:ilvl="0" w:tplc="4E8816F0">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nsid w:val="28E91DDE"/>
    <w:multiLevelType w:val="multilevel"/>
    <w:tmpl w:val="09683F78"/>
    <w:lvl w:ilvl="0">
      <w:start w:val="2"/>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nsid w:val="2B3B3C7F"/>
    <w:multiLevelType w:val="hybridMultilevel"/>
    <w:tmpl w:val="0E92478C"/>
    <w:lvl w:ilvl="0" w:tplc="0C0A0001">
      <w:start w:val="1"/>
      <w:numFmt w:val="bullet"/>
      <w:lvlText w:val=""/>
      <w:lvlJc w:val="left"/>
      <w:pPr>
        <w:ind w:left="1276" w:hanging="360"/>
      </w:pPr>
      <w:rPr>
        <w:rFonts w:ascii="Symbol" w:hAnsi="Symbol" w:hint="default"/>
      </w:rPr>
    </w:lvl>
    <w:lvl w:ilvl="1" w:tplc="0C0A0003" w:tentative="1">
      <w:start w:val="1"/>
      <w:numFmt w:val="bullet"/>
      <w:lvlText w:val="o"/>
      <w:lvlJc w:val="left"/>
      <w:pPr>
        <w:ind w:left="1996" w:hanging="360"/>
      </w:pPr>
      <w:rPr>
        <w:rFonts w:ascii="Courier New" w:hAnsi="Courier New" w:cs="Courier New" w:hint="default"/>
      </w:rPr>
    </w:lvl>
    <w:lvl w:ilvl="2" w:tplc="0C0A0005" w:tentative="1">
      <w:start w:val="1"/>
      <w:numFmt w:val="bullet"/>
      <w:lvlText w:val=""/>
      <w:lvlJc w:val="left"/>
      <w:pPr>
        <w:ind w:left="2716" w:hanging="360"/>
      </w:pPr>
      <w:rPr>
        <w:rFonts w:ascii="Wingdings" w:hAnsi="Wingdings" w:hint="default"/>
      </w:rPr>
    </w:lvl>
    <w:lvl w:ilvl="3" w:tplc="0C0A0001" w:tentative="1">
      <w:start w:val="1"/>
      <w:numFmt w:val="bullet"/>
      <w:lvlText w:val=""/>
      <w:lvlJc w:val="left"/>
      <w:pPr>
        <w:ind w:left="3436" w:hanging="360"/>
      </w:pPr>
      <w:rPr>
        <w:rFonts w:ascii="Symbol" w:hAnsi="Symbol" w:hint="default"/>
      </w:rPr>
    </w:lvl>
    <w:lvl w:ilvl="4" w:tplc="0C0A0003" w:tentative="1">
      <w:start w:val="1"/>
      <w:numFmt w:val="bullet"/>
      <w:lvlText w:val="o"/>
      <w:lvlJc w:val="left"/>
      <w:pPr>
        <w:ind w:left="4156" w:hanging="360"/>
      </w:pPr>
      <w:rPr>
        <w:rFonts w:ascii="Courier New" w:hAnsi="Courier New" w:cs="Courier New" w:hint="default"/>
      </w:rPr>
    </w:lvl>
    <w:lvl w:ilvl="5" w:tplc="0C0A0005" w:tentative="1">
      <w:start w:val="1"/>
      <w:numFmt w:val="bullet"/>
      <w:lvlText w:val=""/>
      <w:lvlJc w:val="left"/>
      <w:pPr>
        <w:ind w:left="4876" w:hanging="360"/>
      </w:pPr>
      <w:rPr>
        <w:rFonts w:ascii="Wingdings" w:hAnsi="Wingdings" w:hint="default"/>
      </w:rPr>
    </w:lvl>
    <w:lvl w:ilvl="6" w:tplc="0C0A0001" w:tentative="1">
      <w:start w:val="1"/>
      <w:numFmt w:val="bullet"/>
      <w:lvlText w:val=""/>
      <w:lvlJc w:val="left"/>
      <w:pPr>
        <w:ind w:left="5596" w:hanging="360"/>
      </w:pPr>
      <w:rPr>
        <w:rFonts w:ascii="Symbol" w:hAnsi="Symbol" w:hint="default"/>
      </w:rPr>
    </w:lvl>
    <w:lvl w:ilvl="7" w:tplc="0C0A0003" w:tentative="1">
      <w:start w:val="1"/>
      <w:numFmt w:val="bullet"/>
      <w:lvlText w:val="o"/>
      <w:lvlJc w:val="left"/>
      <w:pPr>
        <w:ind w:left="6316" w:hanging="360"/>
      </w:pPr>
      <w:rPr>
        <w:rFonts w:ascii="Courier New" w:hAnsi="Courier New" w:cs="Courier New" w:hint="default"/>
      </w:rPr>
    </w:lvl>
    <w:lvl w:ilvl="8" w:tplc="0C0A0005" w:tentative="1">
      <w:start w:val="1"/>
      <w:numFmt w:val="bullet"/>
      <w:lvlText w:val=""/>
      <w:lvlJc w:val="left"/>
      <w:pPr>
        <w:ind w:left="7036" w:hanging="360"/>
      </w:pPr>
      <w:rPr>
        <w:rFonts w:ascii="Wingdings" w:hAnsi="Wingdings" w:hint="default"/>
      </w:rPr>
    </w:lvl>
  </w:abstractNum>
  <w:abstractNum w:abstractNumId="12">
    <w:nsid w:val="2FC2506F"/>
    <w:multiLevelType w:val="hybridMultilevel"/>
    <w:tmpl w:val="0DF494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0BE375C"/>
    <w:multiLevelType w:val="hybridMultilevel"/>
    <w:tmpl w:val="F37A35B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4">
    <w:nsid w:val="32680251"/>
    <w:multiLevelType w:val="hybridMultilevel"/>
    <w:tmpl w:val="D5D002D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2791581"/>
    <w:multiLevelType w:val="hybridMultilevel"/>
    <w:tmpl w:val="68DE987A"/>
    <w:lvl w:ilvl="0" w:tplc="7D186420">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6883AD4"/>
    <w:multiLevelType w:val="hybridMultilevel"/>
    <w:tmpl w:val="538CA7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70B4E8C"/>
    <w:multiLevelType w:val="hybridMultilevel"/>
    <w:tmpl w:val="830E4DF4"/>
    <w:lvl w:ilvl="0" w:tplc="22186A74">
      <w:start w:val="1"/>
      <w:numFmt w:val="decimal"/>
      <w:lvlText w:val="%1."/>
      <w:lvlJc w:val="left"/>
      <w:pPr>
        <w:ind w:left="720" w:hanging="360"/>
      </w:pPr>
      <w:rPr>
        <w:i w:val="0"/>
        <w:iCs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9C62C3B"/>
    <w:multiLevelType w:val="hybridMultilevel"/>
    <w:tmpl w:val="375637B2"/>
    <w:lvl w:ilvl="0" w:tplc="0C0A0001">
      <w:start w:val="1"/>
      <w:numFmt w:val="bullet"/>
      <w:lvlText w:val=""/>
      <w:lvlJc w:val="left"/>
      <w:pPr>
        <w:ind w:left="1641" w:hanging="360"/>
      </w:pPr>
      <w:rPr>
        <w:rFonts w:ascii="Symbol" w:hAnsi="Symbol" w:hint="default"/>
      </w:rPr>
    </w:lvl>
    <w:lvl w:ilvl="1" w:tplc="0C0A0003" w:tentative="1">
      <w:start w:val="1"/>
      <w:numFmt w:val="bullet"/>
      <w:lvlText w:val="o"/>
      <w:lvlJc w:val="left"/>
      <w:pPr>
        <w:ind w:left="2361" w:hanging="360"/>
      </w:pPr>
      <w:rPr>
        <w:rFonts w:ascii="Courier New" w:hAnsi="Courier New" w:cs="Courier New" w:hint="default"/>
      </w:rPr>
    </w:lvl>
    <w:lvl w:ilvl="2" w:tplc="0C0A0005" w:tentative="1">
      <w:start w:val="1"/>
      <w:numFmt w:val="bullet"/>
      <w:lvlText w:val=""/>
      <w:lvlJc w:val="left"/>
      <w:pPr>
        <w:ind w:left="3081" w:hanging="360"/>
      </w:pPr>
      <w:rPr>
        <w:rFonts w:ascii="Wingdings" w:hAnsi="Wingdings" w:hint="default"/>
      </w:rPr>
    </w:lvl>
    <w:lvl w:ilvl="3" w:tplc="0C0A0001" w:tentative="1">
      <w:start w:val="1"/>
      <w:numFmt w:val="bullet"/>
      <w:lvlText w:val=""/>
      <w:lvlJc w:val="left"/>
      <w:pPr>
        <w:ind w:left="3801" w:hanging="360"/>
      </w:pPr>
      <w:rPr>
        <w:rFonts w:ascii="Symbol" w:hAnsi="Symbol" w:hint="default"/>
      </w:rPr>
    </w:lvl>
    <w:lvl w:ilvl="4" w:tplc="0C0A0003" w:tentative="1">
      <w:start w:val="1"/>
      <w:numFmt w:val="bullet"/>
      <w:lvlText w:val="o"/>
      <w:lvlJc w:val="left"/>
      <w:pPr>
        <w:ind w:left="4521" w:hanging="360"/>
      </w:pPr>
      <w:rPr>
        <w:rFonts w:ascii="Courier New" w:hAnsi="Courier New" w:cs="Courier New" w:hint="default"/>
      </w:rPr>
    </w:lvl>
    <w:lvl w:ilvl="5" w:tplc="0C0A0005" w:tentative="1">
      <w:start w:val="1"/>
      <w:numFmt w:val="bullet"/>
      <w:lvlText w:val=""/>
      <w:lvlJc w:val="left"/>
      <w:pPr>
        <w:ind w:left="5241" w:hanging="360"/>
      </w:pPr>
      <w:rPr>
        <w:rFonts w:ascii="Wingdings" w:hAnsi="Wingdings" w:hint="default"/>
      </w:rPr>
    </w:lvl>
    <w:lvl w:ilvl="6" w:tplc="0C0A0001" w:tentative="1">
      <w:start w:val="1"/>
      <w:numFmt w:val="bullet"/>
      <w:lvlText w:val=""/>
      <w:lvlJc w:val="left"/>
      <w:pPr>
        <w:ind w:left="5961" w:hanging="360"/>
      </w:pPr>
      <w:rPr>
        <w:rFonts w:ascii="Symbol" w:hAnsi="Symbol" w:hint="default"/>
      </w:rPr>
    </w:lvl>
    <w:lvl w:ilvl="7" w:tplc="0C0A0003" w:tentative="1">
      <w:start w:val="1"/>
      <w:numFmt w:val="bullet"/>
      <w:lvlText w:val="o"/>
      <w:lvlJc w:val="left"/>
      <w:pPr>
        <w:ind w:left="6681" w:hanging="360"/>
      </w:pPr>
      <w:rPr>
        <w:rFonts w:ascii="Courier New" w:hAnsi="Courier New" w:cs="Courier New" w:hint="default"/>
      </w:rPr>
    </w:lvl>
    <w:lvl w:ilvl="8" w:tplc="0C0A0005" w:tentative="1">
      <w:start w:val="1"/>
      <w:numFmt w:val="bullet"/>
      <w:lvlText w:val=""/>
      <w:lvlJc w:val="left"/>
      <w:pPr>
        <w:ind w:left="7401" w:hanging="360"/>
      </w:pPr>
      <w:rPr>
        <w:rFonts w:ascii="Wingdings" w:hAnsi="Wingdings" w:hint="default"/>
      </w:rPr>
    </w:lvl>
  </w:abstractNum>
  <w:abstractNum w:abstractNumId="19">
    <w:nsid w:val="3D0E6FCB"/>
    <w:multiLevelType w:val="hybridMultilevel"/>
    <w:tmpl w:val="04E412B6"/>
    <w:lvl w:ilvl="0" w:tplc="0C0A000F">
      <w:start w:val="1"/>
      <w:numFmt w:val="decimal"/>
      <w:lvlText w:val="%1."/>
      <w:lvlJc w:val="left"/>
      <w:pPr>
        <w:ind w:left="720" w:hanging="360"/>
      </w:pPr>
      <w:rPr>
        <w:rFonts w:hint="default"/>
      </w:rPr>
    </w:lvl>
    <w:lvl w:ilvl="1" w:tplc="98488672">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2BB544B"/>
    <w:multiLevelType w:val="hybridMultilevel"/>
    <w:tmpl w:val="0F2AFB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7B24456"/>
    <w:multiLevelType w:val="multilevel"/>
    <w:tmpl w:val="1222F9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A137070"/>
    <w:multiLevelType w:val="hybridMultilevel"/>
    <w:tmpl w:val="980EBD6E"/>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2990BF2"/>
    <w:multiLevelType w:val="hybridMultilevel"/>
    <w:tmpl w:val="C8C00EF4"/>
    <w:lvl w:ilvl="0" w:tplc="0C0A000F">
      <w:start w:val="1"/>
      <w:numFmt w:val="decimal"/>
      <w:lvlText w:val="%1."/>
      <w:lvlJc w:val="left"/>
      <w:pPr>
        <w:ind w:left="1641" w:hanging="360"/>
      </w:pPr>
    </w:lvl>
    <w:lvl w:ilvl="1" w:tplc="0C0A0019" w:tentative="1">
      <w:start w:val="1"/>
      <w:numFmt w:val="lowerLetter"/>
      <w:lvlText w:val="%2."/>
      <w:lvlJc w:val="left"/>
      <w:pPr>
        <w:ind w:left="2361" w:hanging="360"/>
      </w:pPr>
    </w:lvl>
    <w:lvl w:ilvl="2" w:tplc="0C0A001B" w:tentative="1">
      <w:start w:val="1"/>
      <w:numFmt w:val="lowerRoman"/>
      <w:lvlText w:val="%3."/>
      <w:lvlJc w:val="right"/>
      <w:pPr>
        <w:ind w:left="3081" w:hanging="180"/>
      </w:pPr>
    </w:lvl>
    <w:lvl w:ilvl="3" w:tplc="0C0A000F" w:tentative="1">
      <w:start w:val="1"/>
      <w:numFmt w:val="decimal"/>
      <w:lvlText w:val="%4."/>
      <w:lvlJc w:val="left"/>
      <w:pPr>
        <w:ind w:left="3801" w:hanging="360"/>
      </w:pPr>
    </w:lvl>
    <w:lvl w:ilvl="4" w:tplc="0C0A0019" w:tentative="1">
      <w:start w:val="1"/>
      <w:numFmt w:val="lowerLetter"/>
      <w:lvlText w:val="%5."/>
      <w:lvlJc w:val="left"/>
      <w:pPr>
        <w:ind w:left="4521" w:hanging="360"/>
      </w:pPr>
    </w:lvl>
    <w:lvl w:ilvl="5" w:tplc="0C0A001B" w:tentative="1">
      <w:start w:val="1"/>
      <w:numFmt w:val="lowerRoman"/>
      <w:lvlText w:val="%6."/>
      <w:lvlJc w:val="right"/>
      <w:pPr>
        <w:ind w:left="5241" w:hanging="180"/>
      </w:pPr>
    </w:lvl>
    <w:lvl w:ilvl="6" w:tplc="0C0A000F" w:tentative="1">
      <w:start w:val="1"/>
      <w:numFmt w:val="decimal"/>
      <w:lvlText w:val="%7."/>
      <w:lvlJc w:val="left"/>
      <w:pPr>
        <w:ind w:left="5961" w:hanging="360"/>
      </w:pPr>
    </w:lvl>
    <w:lvl w:ilvl="7" w:tplc="0C0A0019" w:tentative="1">
      <w:start w:val="1"/>
      <w:numFmt w:val="lowerLetter"/>
      <w:lvlText w:val="%8."/>
      <w:lvlJc w:val="left"/>
      <w:pPr>
        <w:ind w:left="6681" w:hanging="360"/>
      </w:pPr>
    </w:lvl>
    <w:lvl w:ilvl="8" w:tplc="0C0A001B" w:tentative="1">
      <w:start w:val="1"/>
      <w:numFmt w:val="lowerRoman"/>
      <w:lvlText w:val="%9."/>
      <w:lvlJc w:val="right"/>
      <w:pPr>
        <w:ind w:left="7401" w:hanging="180"/>
      </w:pPr>
    </w:lvl>
  </w:abstractNum>
  <w:abstractNum w:abstractNumId="24">
    <w:nsid w:val="5A7E4DA2"/>
    <w:multiLevelType w:val="hybridMultilevel"/>
    <w:tmpl w:val="2EF860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B8C5EC0"/>
    <w:multiLevelType w:val="hybridMultilevel"/>
    <w:tmpl w:val="90C67330"/>
    <w:lvl w:ilvl="0" w:tplc="0C0A0001">
      <w:start w:val="1"/>
      <w:numFmt w:val="bullet"/>
      <w:lvlText w:val=""/>
      <w:lvlJc w:val="left"/>
      <w:pPr>
        <w:ind w:left="1179" w:hanging="360"/>
      </w:pPr>
      <w:rPr>
        <w:rFonts w:ascii="Symbol" w:hAnsi="Symbol" w:hint="default"/>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tentative="1">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26">
    <w:nsid w:val="5B9F36C0"/>
    <w:multiLevelType w:val="hybridMultilevel"/>
    <w:tmpl w:val="64E635EE"/>
    <w:lvl w:ilvl="0" w:tplc="0C0A0001">
      <w:start w:val="1"/>
      <w:numFmt w:val="bullet"/>
      <w:lvlText w:val=""/>
      <w:lvlJc w:val="left"/>
      <w:pPr>
        <w:ind w:left="1635" w:hanging="360"/>
      </w:pPr>
      <w:rPr>
        <w:rFonts w:ascii="Symbol" w:hAnsi="Symbol" w:hint="default"/>
      </w:rPr>
    </w:lvl>
    <w:lvl w:ilvl="1" w:tplc="0C0A0003" w:tentative="1">
      <w:start w:val="1"/>
      <w:numFmt w:val="bullet"/>
      <w:lvlText w:val="o"/>
      <w:lvlJc w:val="left"/>
      <w:pPr>
        <w:ind w:left="2355" w:hanging="360"/>
      </w:pPr>
      <w:rPr>
        <w:rFonts w:ascii="Courier New" w:hAnsi="Courier New" w:cs="Courier New" w:hint="default"/>
      </w:rPr>
    </w:lvl>
    <w:lvl w:ilvl="2" w:tplc="0C0A0005" w:tentative="1">
      <w:start w:val="1"/>
      <w:numFmt w:val="bullet"/>
      <w:lvlText w:val=""/>
      <w:lvlJc w:val="left"/>
      <w:pPr>
        <w:ind w:left="3075" w:hanging="360"/>
      </w:pPr>
      <w:rPr>
        <w:rFonts w:ascii="Wingdings" w:hAnsi="Wingdings" w:hint="default"/>
      </w:rPr>
    </w:lvl>
    <w:lvl w:ilvl="3" w:tplc="0C0A0001" w:tentative="1">
      <w:start w:val="1"/>
      <w:numFmt w:val="bullet"/>
      <w:lvlText w:val=""/>
      <w:lvlJc w:val="left"/>
      <w:pPr>
        <w:ind w:left="3795" w:hanging="360"/>
      </w:pPr>
      <w:rPr>
        <w:rFonts w:ascii="Symbol" w:hAnsi="Symbol" w:hint="default"/>
      </w:rPr>
    </w:lvl>
    <w:lvl w:ilvl="4" w:tplc="0C0A0003" w:tentative="1">
      <w:start w:val="1"/>
      <w:numFmt w:val="bullet"/>
      <w:lvlText w:val="o"/>
      <w:lvlJc w:val="left"/>
      <w:pPr>
        <w:ind w:left="4515" w:hanging="360"/>
      </w:pPr>
      <w:rPr>
        <w:rFonts w:ascii="Courier New" w:hAnsi="Courier New" w:cs="Courier New" w:hint="default"/>
      </w:rPr>
    </w:lvl>
    <w:lvl w:ilvl="5" w:tplc="0C0A0005" w:tentative="1">
      <w:start w:val="1"/>
      <w:numFmt w:val="bullet"/>
      <w:lvlText w:val=""/>
      <w:lvlJc w:val="left"/>
      <w:pPr>
        <w:ind w:left="5235" w:hanging="360"/>
      </w:pPr>
      <w:rPr>
        <w:rFonts w:ascii="Wingdings" w:hAnsi="Wingdings" w:hint="default"/>
      </w:rPr>
    </w:lvl>
    <w:lvl w:ilvl="6" w:tplc="0C0A0001" w:tentative="1">
      <w:start w:val="1"/>
      <w:numFmt w:val="bullet"/>
      <w:lvlText w:val=""/>
      <w:lvlJc w:val="left"/>
      <w:pPr>
        <w:ind w:left="5955" w:hanging="360"/>
      </w:pPr>
      <w:rPr>
        <w:rFonts w:ascii="Symbol" w:hAnsi="Symbol" w:hint="default"/>
      </w:rPr>
    </w:lvl>
    <w:lvl w:ilvl="7" w:tplc="0C0A0003" w:tentative="1">
      <w:start w:val="1"/>
      <w:numFmt w:val="bullet"/>
      <w:lvlText w:val="o"/>
      <w:lvlJc w:val="left"/>
      <w:pPr>
        <w:ind w:left="6675" w:hanging="360"/>
      </w:pPr>
      <w:rPr>
        <w:rFonts w:ascii="Courier New" w:hAnsi="Courier New" w:cs="Courier New" w:hint="default"/>
      </w:rPr>
    </w:lvl>
    <w:lvl w:ilvl="8" w:tplc="0C0A0005" w:tentative="1">
      <w:start w:val="1"/>
      <w:numFmt w:val="bullet"/>
      <w:lvlText w:val=""/>
      <w:lvlJc w:val="left"/>
      <w:pPr>
        <w:ind w:left="7395" w:hanging="360"/>
      </w:pPr>
      <w:rPr>
        <w:rFonts w:ascii="Wingdings" w:hAnsi="Wingdings" w:hint="default"/>
      </w:rPr>
    </w:lvl>
  </w:abstractNum>
  <w:abstractNum w:abstractNumId="27">
    <w:nsid w:val="5E5F21EB"/>
    <w:multiLevelType w:val="hybridMultilevel"/>
    <w:tmpl w:val="D77AEFC0"/>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8">
    <w:nsid w:val="5F8827BA"/>
    <w:multiLevelType w:val="hybridMultilevel"/>
    <w:tmpl w:val="9B94011C"/>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9">
    <w:nsid w:val="60264CCF"/>
    <w:multiLevelType w:val="hybridMultilevel"/>
    <w:tmpl w:val="DB3AF2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79748D9"/>
    <w:multiLevelType w:val="hybridMultilevel"/>
    <w:tmpl w:val="CF849A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91C327B"/>
    <w:multiLevelType w:val="hybridMultilevel"/>
    <w:tmpl w:val="C024BAB2"/>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2">
    <w:nsid w:val="70F241FE"/>
    <w:multiLevelType w:val="hybridMultilevel"/>
    <w:tmpl w:val="6BA2AA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4467498"/>
    <w:multiLevelType w:val="hybridMultilevel"/>
    <w:tmpl w:val="6C1252FA"/>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34">
    <w:nsid w:val="76A57276"/>
    <w:multiLevelType w:val="hybridMultilevel"/>
    <w:tmpl w:val="B264266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77361409"/>
    <w:multiLevelType w:val="hybridMultilevel"/>
    <w:tmpl w:val="A9F22012"/>
    <w:lvl w:ilvl="0" w:tplc="0C0A000F">
      <w:start w:val="1"/>
      <w:numFmt w:val="decimal"/>
      <w:lvlText w:val="%1."/>
      <w:lvlJc w:val="left"/>
      <w:pPr>
        <w:ind w:left="720" w:hanging="360"/>
      </w:pPr>
      <w:rPr>
        <w:rFonts w:hint="default"/>
      </w:rPr>
    </w:lvl>
    <w:lvl w:ilvl="1" w:tplc="98488672">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8412A47"/>
    <w:multiLevelType w:val="multilevel"/>
    <w:tmpl w:val="1BB693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C701DFD"/>
    <w:multiLevelType w:val="hybridMultilevel"/>
    <w:tmpl w:val="796485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CD416E6"/>
    <w:multiLevelType w:val="hybridMultilevel"/>
    <w:tmpl w:val="E98AD53E"/>
    <w:lvl w:ilvl="0" w:tplc="7D186420">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E8A4759"/>
    <w:multiLevelType w:val="hybridMultilevel"/>
    <w:tmpl w:val="00283C9A"/>
    <w:lvl w:ilvl="0" w:tplc="0F2C50D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2"/>
  </w:num>
  <w:num w:numId="2">
    <w:abstractNumId w:val="18"/>
  </w:num>
  <w:num w:numId="3">
    <w:abstractNumId w:val="27"/>
  </w:num>
  <w:num w:numId="4">
    <w:abstractNumId w:val="13"/>
  </w:num>
  <w:num w:numId="5">
    <w:abstractNumId w:val="33"/>
  </w:num>
  <w:num w:numId="6">
    <w:abstractNumId w:val="23"/>
  </w:num>
  <w:num w:numId="7">
    <w:abstractNumId w:val="26"/>
  </w:num>
  <w:num w:numId="8">
    <w:abstractNumId w:val="29"/>
  </w:num>
  <w:num w:numId="9">
    <w:abstractNumId w:val="6"/>
  </w:num>
  <w:num w:numId="10">
    <w:abstractNumId w:val="32"/>
  </w:num>
  <w:num w:numId="11">
    <w:abstractNumId w:val="0"/>
  </w:num>
  <w:num w:numId="12">
    <w:abstractNumId w:val="17"/>
  </w:num>
  <w:num w:numId="13">
    <w:abstractNumId w:val="12"/>
  </w:num>
  <w:num w:numId="14">
    <w:abstractNumId w:val="20"/>
  </w:num>
  <w:num w:numId="15">
    <w:abstractNumId w:val="16"/>
  </w:num>
  <w:num w:numId="16">
    <w:abstractNumId w:val="37"/>
  </w:num>
  <w:num w:numId="17">
    <w:abstractNumId w:val="7"/>
  </w:num>
  <w:num w:numId="18">
    <w:abstractNumId w:val="25"/>
  </w:num>
  <w:num w:numId="19">
    <w:abstractNumId w:val="34"/>
  </w:num>
  <w:num w:numId="20">
    <w:abstractNumId w:val="21"/>
  </w:num>
  <w:num w:numId="21">
    <w:abstractNumId w:val="31"/>
  </w:num>
  <w:num w:numId="22">
    <w:abstractNumId w:val="28"/>
  </w:num>
  <w:num w:numId="23">
    <w:abstractNumId w:val="10"/>
  </w:num>
  <w:num w:numId="24">
    <w:abstractNumId w:val="2"/>
  </w:num>
  <w:num w:numId="25">
    <w:abstractNumId w:val="5"/>
  </w:num>
  <w:num w:numId="26">
    <w:abstractNumId w:val="39"/>
  </w:num>
  <w:num w:numId="27">
    <w:abstractNumId w:val="1"/>
  </w:num>
  <w:num w:numId="28">
    <w:abstractNumId w:val="30"/>
  </w:num>
  <w:num w:numId="29">
    <w:abstractNumId w:val="38"/>
  </w:num>
  <w:num w:numId="30">
    <w:abstractNumId w:val="15"/>
  </w:num>
  <w:num w:numId="31">
    <w:abstractNumId w:val="14"/>
  </w:num>
  <w:num w:numId="32">
    <w:abstractNumId w:val="9"/>
  </w:num>
  <w:num w:numId="33">
    <w:abstractNumId w:val="4"/>
  </w:num>
  <w:num w:numId="34">
    <w:abstractNumId w:val="19"/>
  </w:num>
  <w:num w:numId="35">
    <w:abstractNumId w:val="35"/>
  </w:num>
  <w:num w:numId="36">
    <w:abstractNumId w:val="3"/>
  </w:num>
  <w:num w:numId="37">
    <w:abstractNumId w:val="8"/>
  </w:num>
  <w:num w:numId="38">
    <w:abstractNumId w:val="11"/>
  </w:num>
  <w:num w:numId="39">
    <w:abstractNumId w:val="24"/>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A45"/>
    <w:rsid w:val="00004B08"/>
    <w:rsid w:val="00007813"/>
    <w:rsid w:val="0001083B"/>
    <w:rsid w:val="00010C2E"/>
    <w:rsid w:val="00011313"/>
    <w:rsid w:val="00013175"/>
    <w:rsid w:val="00014AE0"/>
    <w:rsid w:val="00014E71"/>
    <w:rsid w:val="00016F9A"/>
    <w:rsid w:val="00017619"/>
    <w:rsid w:val="00020F27"/>
    <w:rsid w:val="00021EC2"/>
    <w:rsid w:val="00030A31"/>
    <w:rsid w:val="00033FAA"/>
    <w:rsid w:val="0003485E"/>
    <w:rsid w:val="000371B3"/>
    <w:rsid w:val="00037676"/>
    <w:rsid w:val="000377DB"/>
    <w:rsid w:val="00041D1E"/>
    <w:rsid w:val="00044DE0"/>
    <w:rsid w:val="00046F1B"/>
    <w:rsid w:val="00052DA9"/>
    <w:rsid w:val="000553C7"/>
    <w:rsid w:val="00057FA7"/>
    <w:rsid w:val="00062716"/>
    <w:rsid w:val="00063F29"/>
    <w:rsid w:val="00067675"/>
    <w:rsid w:val="00067E98"/>
    <w:rsid w:val="00073664"/>
    <w:rsid w:val="000763A1"/>
    <w:rsid w:val="00081310"/>
    <w:rsid w:val="00083E55"/>
    <w:rsid w:val="000855CB"/>
    <w:rsid w:val="00086E95"/>
    <w:rsid w:val="00091234"/>
    <w:rsid w:val="00091BA5"/>
    <w:rsid w:val="0009272E"/>
    <w:rsid w:val="00095A6B"/>
    <w:rsid w:val="00096A8C"/>
    <w:rsid w:val="00096FEA"/>
    <w:rsid w:val="000A1144"/>
    <w:rsid w:val="000A1340"/>
    <w:rsid w:val="000A1713"/>
    <w:rsid w:val="000A2628"/>
    <w:rsid w:val="000A3152"/>
    <w:rsid w:val="000A386E"/>
    <w:rsid w:val="000A653E"/>
    <w:rsid w:val="000B0616"/>
    <w:rsid w:val="000B2F31"/>
    <w:rsid w:val="000B7860"/>
    <w:rsid w:val="000C10D9"/>
    <w:rsid w:val="000C157A"/>
    <w:rsid w:val="000C424F"/>
    <w:rsid w:val="000C45BD"/>
    <w:rsid w:val="000C4949"/>
    <w:rsid w:val="000D2D78"/>
    <w:rsid w:val="000D3167"/>
    <w:rsid w:val="000E06BB"/>
    <w:rsid w:val="000E0CE4"/>
    <w:rsid w:val="000E2C06"/>
    <w:rsid w:val="000F28AB"/>
    <w:rsid w:val="000F6854"/>
    <w:rsid w:val="000F7334"/>
    <w:rsid w:val="0010068A"/>
    <w:rsid w:val="00102532"/>
    <w:rsid w:val="00102C99"/>
    <w:rsid w:val="00103ADD"/>
    <w:rsid w:val="00104C2D"/>
    <w:rsid w:val="0010562D"/>
    <w:rsid w:val="001057FA"/>
    <w:rsid w:val="00113781"/>
    <w:rsid w:val="0011394E"/>
    <w:rsid w:val="001160F9"/>
    <w:rsid w:val="0011668D"/>
    <w:rsid w:val="00117DFD"/>
    <w:rsid w:val="001204BB"/>
    <w:rsid w:val="00120989"/>
    <w:rsid w:val="00123A0A"/>
    <w:rsid w:val="00123D0B"/>
    <w:rsid w:val="001311CB"/>
    <w:rsid w:val="00132D5F"/>
    <w:rsid w:val="00133304"/>
    <w:rsid w:val="00133B15"/>
    <w:rsid w:val="00134896"/>
    <w:rsid w:val="00134ED6"/>
    <w:rsid w:val="00136DAF"/>
    <w:rsid w:val="00141420"/>
    <w:rsid w:val="00141F11"/>
    <w:rsid w:val="00143A07"/>
    <w:rsid w:val="00145B82"/>
    <w:rsid w:val="00146840"/>
    <w:rsid w:val="00152D62"/>
    <w:rsid w:val="00153298"/>
    <w:rsid w:val="00156298"/>
    <w:rsid w:val="0016023F"/>
    <w:rsid w:val="00161865"/>
    <w:rsid w:val="00161AF7"/>
    <w:rsid w:val="00161C86"/>
    <w:rsid w:val="00162319"/>
    <w:rsid w:val="00163FFC"/>
    <w:rsid w:val="001642F5"/>
    <w:rsid w:val="0016441B"/>
    <w:rsid w:val="001669D6"/>
    <w:rsid w:val="00166B6F"/>
    <w:rsid w:val="00166C5D"/>
    <w:rsid w:val="00167144"/>
    <w:rsid w:val="0017046D"/>
    <w:rsid w:val="00174E9B"/>
    <w:rsid w:val="0017722C"/>
    <w:rsid w:val="00177E5F"/>
    <w:rsid w:val="001810F6"/>
    <w:rsid w:val="001823D4"/>
    <w:rsid w:val="00183C4E"/>
    <w:rsid w:val="00184ABA"/>
    <w:rsid w:val="00185181"/>
    <w:rsid w:val="0018575A"/>
    <w:rsid w:val="001859C3"/>
    <w:rsid w:val="00185FB4"/>
    <w:rsid w:val="0018696A"/>
    <w:rsid w:val="00194848"/>
    <w:rsid w:val="00195662"/>
    <w:rsid w:val="00195BEB"/>
    <w:rsid w:val="00197DD0"/>
    <w:rsid w:val="001A2414"/>
    <w:rsid w:val="001A3747"/>
    <w:rsid w:val="001A662B"/>
    <w:rsid w:val="001A733D"/>
    <w:rsid w:val="001B00CB"/>
    <w:rsid w:val="001B0EC7"/>
    <w:rsid w:val="001B295F"/>
    <w:rsid w:val="001B3199"/>
    <w:rsid w:val="001C1CCE"/>
    <w:rsid w:val="001C247E"/>
    <w:rsid w:val="001C5C0C"/>
    <w:rsid w:val="001C72F4"/>
    <w:rsid w:val="001D46AA"/>
    <w:rsid w:val="001E2D5E"/>
    <w:rsid w:val="001E4309"/>
    <w:rsid w:val="001E6619"/>
    <w:rsid w:val="001E7B15"/>
    <w:rsid w:val="001F2943"/>
    <w:rsid w:val="001F4EB1"/>
    <w:rsid w:val="001F6DD7"/>
    <w:rsid w:val="001F7E95"/>
    <w:rsid w:val="00200CD3"/>
    <w:rsid w:val="00200EB6"/>
    <w:rsid w:val="00201655"/>
    <w:rsid w:val="00201C26"/>
    <w:rsid w:val="002022D2"/>
    <w:rsid w:val="00202920"/>
    <w:rsid w:val="002062CF"/>
    <w:rsid w:val="002105B8"/>
    <w:rsid w:val="00212DD4"/>
    <w:rsid w:val="002153C1"/>
    <w:rsid w:val="002212AE"/>
    <w:rsid w:val="00222750"/>
    <w:rsid w:val="002232A4"/>
    <w:rsid w:val="002261A4"/>
    <w:rsid w:val="0022779B"/>
    <w:rsid w:val="0023129E"/>
    <w:rsid w:val="002317B7"/>
    <w:rsid w:val="00236805"/>
    <w:rsid w:val="00236B05"/>
    <w:rsid w:val="002412A0"/>
    <w:rsid w:val="00243142"/>
    <w:rsid w:val="002434C3"/>
    <w:rsid w:val="00245BEF"/>
    <w:rsid w:val="00250728"/>
    <w:rsid w:val="00250D1F"/>
    <w:rsid w:val="002549FE"/>
    <w:rsid w:val="002559CB"/>
    <w:rsid w:val="0025600F"/>
    <w:rsid w:val="0025608F"/>
    <w:rsid w:val="0025681B"/>
    <w:rsid w:val="00256F79"/>
    <w:rsid w:val="00260FD4"/>
    <w:rsid w:val="002630D4"/>
    <w:rsid w:val="002656EE"/>
    <w:rsid w:val="00265F0A"/>
    <w:rsid w:val="002677D4"/>
    <w:rsid w:val="00280490"/>
    <w:rsid w:val="002815B1"/>
    <w:rsid w:val="0028447B"/>
    <w:rsid w:val="00286160"/>
    <w:rsid w:val="00286972"/>
    <w:rsid w:val="00286A27"/>
    <w:rsid w:val="0029046B"/>
    <w:rsid w:val="00290A04"/>
    <w:rsid w:val="00291548"/>
    <w:rsid w:val="002915CF"/>
    <w:rsid w:val="00295B11"/>
    <w:rsid w:val="00296175"/>
    <w:rsid w:val="00296B1C"/>
    <w:rsid w:val="002A14A6"/>
    <w:rsid w:val="002A27A5"/>
    <w:rsid w:val="002A3D2C"/>
    <w:rsid w:val="002A55D9"/>
    <w:rsid w:val="002B0778"/>
    <w:rsid w:val="002B1678"/>
    <w:rsid w:val="002B1CD6"/>
    <w:rsid w:val="002B341C"/>
    <w:rsid w:val="002B4396"/>
    <w:rsid w:val="002B4A22"/>
    <w:rsid w:val="002B6DE2"/>
    <w:rsid w:val="002C05E2"/>
    <w:rsid w:val="002C48B9"/>
    <w:rsid w:val="002C4D80"/>
    <w:rsid w:val="002D4B48"/>
    <w:rsid w:val="002D73B2"/>
    <w:rsid w:val="002E0643"/>
    <w:rsid w:val="002E0873"/>
    <w:rsid w:val="002E2F24"/>
    <w:rsid w:val="002E4A58"/>
    <w:rsid w:val="002E619C"/>
    <w:rsid w:val="002F0C8B"/>
    <w:rsid w:val="002F25B4"/>
    <w:rsid w:val="002F3ED0"/>
    <w:rsid w:val="002F4CEE"/>
    <w:rsid w:val="00300561"/>
    <w:rsid w:val="003008E5"/>
    <w:rsid w:val="00301643"/>
    <w:rsid w:val="003027FF"/>
    <w:rsid w:val="003037CA"/>
    <w:rsid w:val="00303B10"/>
    <w:rsid w:val="00303C40"/>
    <w:rsid w:val="0030422A"/>
    <w:rsid w:val="00304C49"/>
    <w:rsid w:val="003069BD"/>
    <w:rsid w:val="00306C9F"/>
    <w:rsid w:val="003072B3"/>
    <w:rsid w:val="00307ABF"/>
    <w:rsid w:val="00310273"/>
    <w:rsid w:val="00310DFF"/>
    <w:rsid w:val="003140CF"/>
    <w:rsid w:val="0031764D"/>
    <w:rsid w:val="00317BFE"/>
    <w:rsid w:val="0032353F"/>
    <w:rsid w:val="00326126"/>
    <w:rsid w:val="00333A68"/>
    <w:rsid w:val="00335E1F"/>
    <w:rsid w:val="003363CE"/>
    <w:rsid w:val="003367FE"/>
    <w:rsid w:val="003376E4"/>
    <w:rsid w:val="00342054"/>
    <w:rsid w:val="0034389F"/>
    <w:rsid w:val="00345819"/>
    <w:rsid w:val="00351086"/>
    <w:rsid w:val="00351B0B"/>
    <w:rsid w:val="003535CE"/>
    <w:rsid w:val="0035513D"/>
    <w:rsid w:val="00355520"/>
    <w:rsid w:val="003563DE"/>
    <w:rsid w:val="0035798A"/>
    <w:rsid w:val="00360691"/>
    <w:rsid w:val="00361881"/>
    <w:rsid w:val="00363990"/>
    <w:rsid w:val="00366DA7"/>
    <w:rsid w:val="00367CB4"/>
    <w:rsid w:val="00374561"/>
    <w:rsid w:val="0037478F"/>
    <w:rsid w:val="00375665"/>
    <w:rsid w:val="003773D3"/>
    <w:rsid w:val="0038212B"/>
    <w:rsid w:val="00384687"/>
    <w:rsid w:val="00385CFD"/>
    <w:rsid w:val="00391B94"/>
    <w:rsid w:val="00394829"/>
    <w:rsid w:val="00394BDE"/>
    <w:rsid w:val="00395D75"/>
    <w:rsid w:val="003A09D6"/>
    <w:rsid w:val="003A186B"/>
    <w:rsid w:val="003A2015"/>
    <w:rsid w:val="003A5AEE"/>
    <w:rsid w:val="003A63B2"/>
    <w:rsid w:val="003B0177"/>
    <w:rsid w:val="003B3712"/>
    <w:rsid w:val="003C0B4C"/>
    <w:rsid w:val="003C1A75"/>
    <w:rsid w:val="003C5619"/>
    <w:rsid w:val="003C6587"/>
    <w:rsid w:val="003C69AF"/>
    <w:rsid w:val="003C7B67"/>
    <w:rsid w:val="003D1F3E"/>
    <w:rsid w:val="003D3B89"/>
    <w:rsid w:val="003D4B8F"/>
    <w:rsid w:val="003D5939"/>
    <w:rsid w:val="003D5ADD"/>
    <w:rsid w:val="003D5C5C"/>
    <w:rsid w:val="003E4F69"/>
    <w:rsid w:val="003E518D"/>
    <w:rsid w:val="003E6C22"/>
    <w:rsid w:val="003E6E6B"/>
    <w:rsid w:val="003E7615"/>
    <w:rsid w:val="003F2EDB"/>
    <w:rsid w:val="003F2F87"/>
    <w:rsid w:val="003F52C3"/>
    <w:rsid w:val="003F687E"/>
    <w:rsid w:val="003F6951"/>
    <w:rsid w:val="003F6D49"/>
    <w:rsid w:val="003F7921"/>
    <w:rsid w:val="00402488"/>
    <w:rsid w:val="00402A9C"/>
    <w:rsid w:val="004043D7"/>
    <w:rsid w:val="00404DC2"/>
    <w:rsid w:val="004059C9"/>
    <w:rsid w:val="004115EE"/>
    <w:rsid w:val="00411B33"/>
    <w:rsid w:val="00414212"/>
    <w:rsid w:val="00415DB6"/>
    <w:rsid w:val="00417AFE"/>
    <w:rsid w:val="00420621"/>
    <w:rsid w:val="0042648F"/>
    <w:rsid w:val="00427CAE"/>
    <w:rsid w:val="00427E66"/>
    <w:rsid w:val="0043152E"/>
    <w:rsid w:val="00431FE8"/>
    <w:rsid w:val="004330B4"/>
    <w:rsid w:val="00434219"/>
    <w:rsid w:val="00434699"/>
    <w:rsid w:val="00434F3B"/>
    <w:rsid w:val="0043562A"/>
    <w:rsid w:val="004369BD"/>
    <w:rsid w:val="00440935"/>
    <w:rsid w:val="004436FA"/>
    <w:rsid w:val="004447E2"/>
    <w:rsid w:val="00444955"/>
    <w:rsid w:val="00446B1E"/>
    <w:rsid w:val="00452EB3"/>
    <w:rsid w:val="004561AB"/>
    <w:rsid w:val="00460D85"/>
    <w:rsid w:val="00461266"/>
    <w:rsid w:val="00464420"/>
    <w:rsid w:val="004665BD"/>
    <w:rsid w:val="00466664"/>
    <w:rsid w:val="0047003A"/>
    <w:rsid w:val="00471838"/>
    <w:rsid w:val="00472282"/>
    <w:rsid w:val="00473699"/>
    <w:rsid w:val="0047372A"/>
    <w:rsid w:val="00474669"/>
    <w:rsid w:val="004773E3"/>
    <w:rsid w:val="00477E43"/>
    <w:rsid w:val="00481AC4"/>
    <w:rsid w:val="00482001"/>
    <w:rsid w:val="00482CE4"/>
    <w:rsid w:val="00486229"/>
    <w:rsid w:val="004866CF"/>
    <w:rsid w:val="0048770D"/>
    <w:rsid w:val="00487CA9"/>
    <w:rsid w:val="00490357"/>
    <w:rsid w:val="004921A2"/>
    <w:rsid w:val="0049546B"/>
    <w:rsid w:val="004955A5"/>
    <w:rsid w:val="0049757B"/>
    <w:rsid w:val="004A1DA9"/>
    <w:rsid w:val="004A1F8A"/>
    <w:rsid w:val="004A1FD7"/>
    <w:rsid w:val="004A37F6"/>
    <w:rsid w:val="004A39CD"/>
    <w:rsid w:val="004A4A1E"/>
    <w:rsid w:val="004A5728"/>
    <w:rsid w:val="004B1C39"/>
    <w:rsid w:val="004B21BF"/>
    <w:rsid w:val="004B21F1"/>
    <w:rsid w:val="004B5FE0"/>
    <w:rsid w:val="004C1FAF"/>
    <w:rsid w:val="004C3B50"/>
    <w:rsid w:val="004C623F"/>
    <w:rsid w:val="004D0BC6"/>
    <w:rsid w:val="004D0E7D"/>
    <w:rsid w:val="004D1042"/>
    <w:rsid w:val="004D19C5"/>
    <w:rsid w:val="004D4703"/>
    <w:rsid w:val="004D6B04"/>
    <w:rsid w:val="004D709B"/>
    <w:rsid w:val="004D7816"/>
    <w:rsid w:val="004D7DBF"/>
    <w:rsid w:val="004E0482"/>
    <w:rsid w:val="004E77F6"/>
    <w:rsid w:val="004F3EFE"/>
    <w:rsid w:val="004F42E3"/>
    <w:rsid w:val="004F470A"/>
    <w:rsid w:val="00501698"/>
    <w:rsid w:val="00501940"/>
    <w:rsid w:val="00501F4A"/>
    <w:rsid w:val="00511A62"/>
    <w:rsid w:val="005128DE"/>
    <w:rsid w:val="00513DB9"/>
    <w:rsid w:val="00516A47"/>
    <w:rsid w:val="00520499"/>
    <w:rsid w:val="00524527"/>
    <w:rsid w:val="005254F3"/>
    <w:rsid w:val="0053088A"/>
    <w:rsid w:val="00532103"/>
    <w:rsid w:val="00535471"/>
    <w:rsid w:val="005354CA"/>
    <w:rsid w:val="005361FC"/>
    <w:rsid w:val="00540F35"/>
    <w:rsid w:val="005413C3"/>
    <w:rsid w:val="00542AEA"/>
    <w:rsid w:val="00542DC3"/>
    <w:rsid w:val="00544883"/>
    <w:rsid w:val="00544BD3"/>
    <w:rsid w:val="0054610F"/>
    <w:rsid w:val="00546467"/>
    <w:rsid w:val="00556382"/>
    <w:rsid w:val="00556B52"/>
    <w:rsid w:val="00557B3E"/>
    <w:rsid w:val="00562593"/>
    <w:rsid w:val="00562E39"/>
    <w:rsid w:val="0056300C"/>
    <w:rsid w:val="00563A96"/>
    <w:rsid w:val="0057237B"/>
    <w:rsid w:val="00572C3E"/>
    <w:rsid w:val="00573FE1"/>
    <w:rsid w:val="005764C8"/>
    <w:rsid w:val="0058023E"/>
    <w:rsid w:val="00582344"/>
    <w:rsid w:val="00582803"/>
    <w:rsid w:val="0058287E"/>
    <w:rsid w:val="00584EAF"/>
    <w:rsid w:val="0058598F"/>
    <w:rsid w:val="005868F5"/>
    <w:rsid w:val="0059033B"/>
    <w:rsid w:val="00591B28"/>
    <w:rsid w:val="00593ABF"/>
    <w:rsid w:val="00594355"/>
    <w:rsid w:val="00595D2C"/>
    <w:rsid w:val="00596E7F"/>
    <w:rsid w:val="005A2422"/>
    <w:rsid w:val="005A2791"/>
    <w:rsid w:val="005A348B"/>
    <w:rsid w:val="005A4CF0"/>
    <w:rsid w:val="005B1200"/>
    <w:rsid w:val="005B13D2"/>
    <w:rsid w:val="005B2612"/>
    <w:rsid w:val="005B44E9"/>
    <w:rsid w:val="005B49A6"/>
    <w:rsid w:val="005B6474"/>
    <w:rsid w:val="005C172B"/>
    <w:rsid w:val="005C3FA7"/>
    <w:rsid w:val="005C50E4"/>
    <w:rsid w:val="005C70C1"/>
    <w:rsid w:val="005C78A1"/>
    <w:rsid w:val="005C78D8"/>
    <w:rsid w:val="005D0FF7"/>
    <w:rsid w:val="005D1FC5"/>
    <w:rsid w:val="005D5907"/>
    <w:rsid w:val="005E0A44"/>
    <w:rsid w:val="005E1FB5"/>
    <w:rsid w:val="005E275A"/>
    <w:rsid w:val="005E419B"/>
    <w:rsid w:val="005E4A50"/>
    <w:rsid w:val="005E6E97"/>
    <w:rsid w:val="005F0E2B"/>
    <w:rsid w:val="005F36DD"/>
    <w:rsid w:val="005F43CD"/>
    <w:rsid w:val="00601484"/>
    <w:rsid w:val="006035F1"/>
    <w:rsid w:val="00603F6C"/>
    <w:rsid w:val="0060423E"/>
    <w:rsid w:val="00604337"/>
    <w:rsid w:val="00604392"/>
    <w:rsid w:val="00604E6E"/>
    <w:rsid w:val="00605BB4"/>
    <w:rsid w:val="00605C05"/>
    <w:rsid w:val="00610A17"/>
    <w:rsid w:val="00612DF0"/>
    <w:rsid w:val="00614CAE"/>
    <w:rsid w:val="006161C4"/>
    <w:rsid w:val="0061635E"/>
    <w:rsid w:val="0061786A"/>
    <w:rsid w:val="00623D36"/>
    <w:rsid w:val="0062448F"/>
    <w:rsid w:val="00625D9E"/>
    <w:rsid w:val="00626E37"/>
    <w:rsid w:val="006274B1"/>
    <w:rsid w:val="00633652"/>
    <w:rsid w:val="00633764"/>
    <w:rsid w:val="00633DE6"/>
    <w:rsid w:val="00634EDE"/>
    <w:rsid w:val="006364AD"/>
    <w:rsid w:val="00642B68"/>
    <w:rsid w:val="00642D93"/>
    <w:rsid w:val="00645689"/>
    <w:rsid w:val="00646092"/>
    <w:rsid w:val="00646707"/>
    <w:rsid w:val="00647A6D"/>
    <w:rsid w:val="00650F14"/>
    <w:rsid w:val="00651DB0"/>
    <w:rsid w:val="0065259A"/>
    <w:rsid w:val="0065333C"/>
    <w:rsid w:val="00653B9F"/>
    <w:rsid w:val="00655455"/>
    <w:rsid w:val="00655C13"/>
    <w:rsid w:val="00655EAE"/>
    <w:rsid w:val="00656D2C"/>
    <w:rsid w:val="00662D86"/>
    <w:rsid w:val="006642D5"/>
    <w:rsid w:val="00664E4A"/>
    <w:rsid w:val="00667AC3"/>
    <w:rsid w:val="00670830"/>
    <w:rsid w:val="006721E6"/>
    <w:rsid w:val="00673CAB"/>
    <w:rsid w:val="00674881"/>
    <w:rsid w:val="00675B68"/>
    <w:rsid w:val="00675D58"/>
    <w:rsid w:val="00675D83"/>
    <w:rsid w:val="006808CD"/>
    <w:rsid w:val="0068189F"/>
    <w:rsid w:val="00684E4E"/>
    <w:rsid w:val="00687650"/>
    <w:rsid w:val="006926D2"/>
    <w:rsid w:val="0069469C"/>
    <w:rsid w:val="006949F1"/>
    <w:rsid w:val="006A02ED"/>
    <w:rsid w:val="006A2C80"/>
    <w:rsid w:val="006A39F3"/>
    <w:rsid w:val="006A441A"/>
    <w:rsid w:val="006A7328"/>
    <w:rsid w:val="006A7E4E"/>
    <w:rsid w:val="006B01BF"/>
    <w:rsid w:val="006B20C1"/>
    <w:rsid w:val="006B220A"/>
    <w:rsid w:val="006B4787"/>
    <w:rsid w:val="006C0287"/>
    <w:rsid w:val="006C041B"/>
    <w:rsid w:val="006C2CAB"/>
    <w:rsid w:val="006C2E70"/>
    <w:rsid w:val="006C3181"/>
    <w:rsid w:val="006C4A84"/>
    <w:rsid w:val="006C4C5D"/>
    <w:rsid w:val="006C5EC3"/>
    <w:rsid w:val="006D10BF"/>
    <w:rsid w:val="006D15CF"/>
    <w:rsid w:val="006D71D3"/>
    <w:rsid w:val="006D779D"/>
    <w:rsid w:val="006E0C2B"/>
    <w:rsid w:val="006E654B"/>
    <w:rsid w:val="006F11D8"/>
    <w:rsid w:val="006F2B6E"/>
    <w:rsid w:val="006F3D74"/>
    <w:rsid w:val="006F4F7E"/>
    <w:rsid w:val="006F6191"/>
    <w:rsid w:val="006F6ACA"/>
    <w:rsid w:val="006F6F5B"/>
    <w:rsid w:val="0070485E"/>
    <w:rsid w:val="007049D9"/>
    <w:rsid w:val="00712DB7"/>
    <w:rsid w:val="007157AF"/>
    <w:rsid w:val="00715D63"/>
    <w:rsid w:val="0072408B"/>
    <w:rsid w:val="00724F4B"/>
    <w:rsid w:val="00726F91"/>
    <w:rsid w:val="00732BD8"/>
    <w:rsid w:val="00732EFD"/>
    <w:rsid w:val="00733FE9"/>
    <w:rsid w:val="007345F2"/>
    <w:rsid w:val="007348E5"/>
    <w:rsid w:val="0073661B"/>
    <w:rsid w:val="00737694"/>
    <w:rsid w:val="00740616"/>
    <w:rsid w:val="007425EF"/>
    <w:rsid w:val="0074277F"/>
    <w:rsid w:val="00744FD1"/>
    <w:rsid w:val="00745C95"/>
    <w:rsid w:val="00746E75"/>
    <w:rsid w:val="00747278"/>
    <w:rsid w:val="00747BAC"/>
    <w:rsid w:val="00753F9D"/>
    <w:rsid w:val="007562A9"/>
    <w:rsid w:val="00757519"/>
    <w:rsid w:val="00763BF3"/>
    <w:rsid w:val="00764DBF"/>
    <w:rsid w:val="0076621B"/>
    <w:rsid w:val="00766297"/>
    <w:rsid w:val="00766566"/>
    <w:rsid w:val="007718D8"/>
    <w:rsid w:val="00771EAB"/>
    <w:rsid w:val="00777277"/>
    <w:rsid w:val="00777AB0"/>
    <w:rsid w:val="00777DD4"/>
    <w:rsid w:val="007812C4"/>
    <w:rsid w:val="00784423"/>
    <w:rsid w:val="00784FDF"/>
    <w:rsid w:val="00786493"/>
    <w:rsid w:val="00786EF7"/>
    <w:rsid w:val="007870FA"/>
    <w:rsid w:val="007912F1"/>
    <w:rsid w:val="00791838"/>
    <w:rsid w:val="007920A8"/>
    <w:rsid w:val="007970B8"/>
    <w:rsid w:val="00797884"/>
    <w:rsid w:val="00797ED8"/>
    <w:rsid w:val="007A0F08"/>
    <w:rsid w:val="007A13C9"/>
    <w:rsid w:val="007A6351"/>
    <w:rsid w:val="007A67C7"/>
    <w:rsid w:val="007B4BC3"/>
    <w:rsid w:val="007B5D54"/>
    <w:rsid w:val="007C064F"/>
    <w:rsid w:val="007C1DF0"/>
    <w:rsid w:val="007C28A7"/>
    <w:rsid w:val="007C3EB1"/>
    <w:rsid w:val="007C6C6C"/>
    <w:rsid w:val="007D204E"/>
    <w:rsid w:val="007D20EF"/>
    <w:rsid w:val="007D2BBE"/>
    <w:rsid w:val="007D5943"/>
    <w:rsid w:val="007D709B"/>
    <w:rsid w:val="007E0020"/>
    <w:rsid w:val="007E3CC8"/>
    <w:rsid w:val="007E5642"/>
    <w:rsid w:val="007E6E7D"/>
    <w:rsid w:val="007F0278"/>
    <w:rsid w:val="007F1091"/>
    <w:rsid w:val="007F2E3A"/>
    <w:rsid w:val="007F4B09"/>
    <w:rsid w:val="007F4BC0"/>
    <w:rsid w:val="007F5654"/>
    <w:rsid w:val="00801BC2"/>
    <w:rsid w:val="0080259E"/>
    <w:rsid w:val="008036C1"/>
    <w:rsid w:val="00803756"/>
    <w:rsid w:val="008039F5"/>
    <w:rsid w:val="00805F0D"/>
    <w:rsid w:val="00805F26"/>
    <w:rsid w:val="00806E51"/>
    <w:rsid w:val="008120B4"/>
    <w:rsid w:val="008122D7"/>
    <w:rsid w:val="00815432"/>
    <w:rsid w:val="00815BCB"/>
    <w:rsid w:val="00815ED3"/>
    <w:rsid w:val="00821183"/>
    <w:rsid w:val="008211E4"/>
    <w:rsid w:val="008212DF"/>
    <w:rsid w:val="00821FCF"/>
    <w:rsid w:val="0082488E"/>
    <w:rsid w:val="00824907"/>
    <w:rsid w:val="00827E51"/>
    <w:rsid w:val="00835F15"/>
    <w:rsid w:val="00837233"/>
    <w:rsid w:val="008417EF"/>
    <w:rsid w:val="0084353E"/>
    <w:rsid w:val="00843657"/>
    <w:rsid w:val="00843D8F"/>
    <w:rsid w:val="00845142"/>
    <w:rsid w:val="008472F1"/>
    <w:rsid w:val="0085382A"/>
    <w:rsid w:val="00855F3D"/>
    <w:rsid w:val="00855FFC"/>
    <w:rsid w:val="00857E33"/>
    <w:rsid w:val="00857E8A"/>
    <w:rsid w:val="00863AF0"/>
    <w:rsid w:val="00865650"/>
    <w:rsid w:val="00865DE7"/>
    <w:rsid w:val="00870DE6"/>
    <w:rsid w:val="00872AE2"/>
    <w:rsid w:val="00875243"/>
    <w:rsid w:val="00880E82"/>
    <w:rsid w:val="00884D5C"/>
    <w:rsid w:val="00890AE0"/>
    <w:rsid w:val="00893A82"/>
    <w:rsid w:val="008953F1"/>
    <w:rsid w:val="0089577C"/>
    <w:rsid w:val="00896E35"/>
    <w:rsid w:val="008A16C6"/>
    <w:rsid w:val="008A4C98"/>
    <w:rsid w:val="008A64BB"/>
    <w:rsid w:val="008B03D9"/>
    <w:rsid w:val="008B249A"/>
    <w:rsid w:val="008B353B"/>
    <w:rsid w:val="008B5845"/>
    <w:rsid w:val="008B72D0"/>
    <w:rsid w:val="008C2445"/>
    <w:rsid w:val="008C25C6"/>
    <w:rsid w:val="008C2B6E"/>
    <w:rsid w:val="008C4C7E"/>
    <w:rsid w:val="008C5A44"/>
    <w:rsid w:val="008C5E61"/>
    <w:rsid w:val="008D2B0F"/>
    <w:rsid w:val="008D58DB"/>
    <w:rsid w:val="008D6882"/>
    <w:rsid w:val="008D777A"/>
    <w:rsid w:val="008E397C"/>
    <w:rsid w:val="008E3BE7"/>
    <w:rsid w:val="008E66D1"/>
    <w:rsid w:val="008F3BEB"/>
    <w:rsid w:val="00900E89"/>
    <w:rsid w:val="00900F3D"/>
    <w:rsid w:val="009016F5"/>
    <w:rsid w:val="00904B6D"/>
    <w:rsid w:val="00906EEA"/>
    <w:rsid w:val="009149BC"/>
    <w:rsid w:val="0091605E"/>
    <w:rsid w:val="009161AC"/>
    <w:rsid w:val="00920347"/>
    <w:rsid w:val="00920EED"/>
    <w:rsid w:val="009212A0"/>
    <w:rsid w:val="00922CED"/>
    <w:rsid w:val="00923584"/>
    <w:rsid w:val="00924B7A"/>
    <w:rsid w:val="009255B9"/>
    <w:rsid w:val="009259C5"/>
    <w:rsid w:val="00926182"/>
    <w:rsid w:val="00927380"/>
    <w:rsid w:val="0093176C"/>
    <w:rsid w:val="0093247E"/>
    <w:rsid w:val="00933126"/>
    <w:rsid w:val="00935D0E"/>
    <w:rsid w:val="00937C65"/>
    <w:rsid w:val="00942E84"/>
    <w:rsid w:val="00943298"/>
    <w:rsid w:val="00945644"/>
    <w:rsid w:val="0094644B"/>
    <w:rsid w:val="00950E51"/>
    <w:rsid w:val="00952028"/>
    <w:rsid w:val="00952F45"/>
    <w:rsid w:val="00963D03"/>
    <w:rsid w:val="009644C1"/>
    <w:rsid w:val="009645D3"/>
    <w:rsid w:val="00964D8C"/>
    <w:rsid w:val="009658AF"/>
    <w:rsid w:val="00967622"/>
    <w:rsid w:val="00974982"/>
    <w:rsid w:val="00975C8E"/>
    <w:rsid w:val="00977329"/>
    <w:rsid w:val="009813FE"/>
    <w:rsid w:val="0098298A"/>
    <w:rsid w:val="00983544"/>
    <w:rsid w:val="00987626"/>
    <w:rsid w:val="00990DC0"/>
    <w:rsid w:val="00991CB5"/>
    <w:rsid w:val="009940A7"/>
    <w:rsid w:val="00995866"/>
    <w:rsid w:val="00997E0F"/>
    <w:rsid w:val="009A03CF"/>
    <w:rsid w:val="009A06E6"/>
    <w:rsid w:val="009A6BBF"/>
    <w:rsid w:val="009A7574"/>
    <w:rsid w:val="009B1893"/>
    <w:rsid w:val="009B28CF"/>
    <w:rsid w:val="009B39A3"/>
    <w:rsid w:val="009B5268"/>
    <w:rsid w:val="009B5A30"/>
    <w:rsid w:val="009B7F82"/>
    <w:rsid w:val="009C1AE3"/>
    <w:rsid w:val="009C1C26"/>
    <w:rsid w:val="009C3ADC"/>
    <w:rsid w:val="009C46C7"/>
    <w:rsid w:val="009C489C"/>
    <w:rsid w:val="009C6FB5"/>
    <w:rsid w:val="009C75FF"/>
    <w:rsid w:val="009D04F3"/>
    <w:rsid w:val="009D2E1E"/>
    <w:rsid w:val="009D421F"/>
    <w:rsid w:val="009D59AF"/>
    <w:rsid w:val="009D7F93"/>
    <w:rsid w:val="009E09C6"/>
    <w:rsid w:val="009E2757"/>
    <w:rsid w:val="009E3759"/>
    <w:rsid w:val="009F1F7E"/>
    <w:rsid w:val="009F4B0D"/>
    <w:rsid w:val="009F4C38"/>
    <w:rsid w:val="00A062F1"/>
    <w:rsid w:val="00A10B66"/>
    <w:rsid w:val="00A1139B"/>
    <w:rsid w:val="00A13EFA"/>
    <w:rsid w:val="00A15301"/>
    <w:rsid w:val="00A16F92"/>
    <w:rsid w:val="00A178F4"/>
    <w:rsid w:val="00A20CD4"/>
    <w:rsid w:val="00A21463"/>
    <w:rsid w:val="00A225B7"/>
    <w:rsid w:val="00A26040"/>
    <w:rsid w:val="00A27044"/>
    <w:rsid w:val="00A31114"/>
    <w:rsid w:val="00A336C2"/>
    <w:rsid w:val="00A33DD3"/>
    <w:rsid w:val="00A33FD2"/>
    <w:rsid w:val="00A34D1A"/>
    <w:rsid w:val="00A36E94"/>
    <w:rsid w:val="00A408F6"/>
    <w:rsid w:val="00A40E6E"/>
    <w:rsid w:val="00A469D2"/>
    <w:rsid w:val="00A50832"/>
    <w:rsid w:val="00A5334E"/>
    <w:rsid w:val="00A5657D"/>
    <w:rsid w:val="00A60BAA"/>
    <w:rsid w:val="00A62335"/>
    <w:rsid w:val="00A64AD0"/>
    <w:rsid w:val="00A65ADB"/>
    <w:rsid w:val="00A70D05"/>
    <w:rsid w:val="00A71103"/>
    <w:rsid w:val="00A725C8"/>
    <w:rsid w:val="00A73734"/>
    <w:rsid w:val="00A77B96"/>
    <w:rsid w:val="00A80249"/>
    <w:rsid w:val="00A83229"/>
    <w:rsid w:val="00A842DD"/>
    <w:rsid w:val="00A8598A"/>
    <w:rsid w:val="00A86C5A"/>
    <w:rsid w:val="00A87AF2"/>
    <w:rsid w:val="00A9168C"/>
    <w:rsid w:val="00A92384"/>
    <w:rsid w:val="00A94CAA"/>
    <w:rsid w:val="00A9609E"/>
    <w:rsid w:val="00A9644C"/>
    <w:rsid w:val="00A97B21"/>
    <w:rsid w:val="00AA1B26"/>
    <w:rsid w:val="00AA2223"/>
    <w:rsid w:val="00AA27B3"/>
    <w:rsid w:val="00AA322C"/>
    <w:rsid w:val="00AA3521"/>
    <w:rsid w:val="00AA43F5"/>
    <w:rsid w:val="00AA64EA"/>
    <w:rsid w:val="00AA6CC0"/>
    <w:rsid w:val="00AB0D6B"/>
    <w:rsid w:val="00AB1696"/>
    <w:rsid w:val="00AB1C20"/>
    <w:rsid w:val="00AB44EB"/>
    <w:rsid w:val="00AB5280"/>
    <w:rsid w:val="00AB5701"/>
    <w:rsid w:val="00AB7340"/>
    <w:rsid w:val="00AB7ACB"/>
    <w:rsid w:val="00AC21F9"/>
    <w:rsid w:val="00AC231A"/>
    <w:rsid w:val="00AC2401"/>
    <w:rsid w:val="00AC2C32"/>
    <w:rsid w:val="00AC2F95"/>
    <w:rsid w:val="00AC5174"/>
    <w:rsid w:val="00AD13A9"/>
    <w:rsid w:val="00AD1534"/>
    <w:rsid w:val="00AD1913"/>
    <w:rsid w:val="00AD2BC0"/>
    <w:rsid w:val="00AD2F5C"/>
    <w:rsid w:val="00AD3A7A"/>
    <w:rsid w:val="00AD423C"/>
    <w:rsid w:val="00AD477E"/>
    <w:rsid w:val="00AD7C2E"/>
    <w:rsid w:val="00AE322A"/>
    <w:rsid w:val="00AE421E"/>
    <w:rsid w:val="00AE4268"/>
    <w:rsid w:val="00AF0754"/>
    <w:rsid w:val="00AF4B6E"/>
    <w:rsid w:val="00B01DCB"/>
    <w:rsid w:val="00B03404"/>
    <w:rsid w:val="00B03846"/>
    <w:rsid w:val="00B04021"/>
    <w:rsid w:val="00B05D04"/>
    <w:rsid w:val="00B07775"/>
    <w:rsid w:val="00B119BC"/>
    <w:rsid w:val="00B12295"/>
    <w:rsid w:val="00B1271D"/>
    <w:rsid w:val="00B1300C"/>
    <w:rsid w:val="00B13643"/>
    <w:rsid w:val="00B17668"/>
    <w:rsid w:val="00B2076E"/>
    <w:rsid w:val="00B215DE"/>
    <w:rsid w:val="00B2578F"/>
    <w:rsid w:val="00B25E9C"/>
    <w:rsid w:val="00B26691"/>
    <w:rsid w:val="00B308B6"/>
    <w:rsid w:val="00B30D48"/>
    <w:rsid w:val="00B31601"/>
    <w:rsid w:val="00B3359B"/>
    <w:rsid w:val="00B3426A"/>
    <w:rsid w:val="00B3454F"/>
    <w:rsid w:val="00B35754"/>
    <w:rsid w:val="00B36302"/>
    <w:rsid w:val="00B41FAF"/>
    <w:rsid w:val="00B42AC4"/>
    <w:rsid w:val="00B448ED"/>
    <w:rsid w:val="00B44945"/>
    <w:rsid w:val="00B45AD9"/>
    <w:rsid w:val="00B462A7"/>
    <w:rsid w:val="00B47CBD"/>
    <w:rsid w:val="00B5088C"/>
    <w:rsid w:val="00B508DD"/>
    <w:rsid w:val="00B5109A"/>
    <w:rsid w:val="00B527B4"/>
    <w:rsid w:val="00B557A7"/>
    <w:rsid w:val="00B564FB"/>
    <w:rsid w:val="00B6136D"/>
    <w:rsid w:val="00B613F9"/>
    <w:rsid w:val="00B62C8D"/>
    <w:rsid w:val="00B64182"/>
    <w:rsid w:val="00B653A9"/>
    <w:rsid w:val="00B6560F"/>
    <w:rsid w:val="00B67549"/>
    <w:rsid w:val="00B67A62"/>
    <w:rsid w:val="00B67A6F"/>
    <w:rsid w:val="00B67EB2"/>
    <w:rsid w:val="00B7234F"/>
    <w:rsid w:val="00B76F76"/>
    <w:rsid w:val="00B772FA"/>
    <w:rsid w:val="00B773B5"/>
    <w:rsid w:val="00B8138A"/>
    <w:rsid w:val="00B8281A"/>
    <w:rsid w:val="00B86313"/>
    <w:rsid w:val="00B90F5E"/>
    <w:rsid w:val="00B924CA"/>
    <w:rsid w:val="00B92C9A"/>
    <w:rsid w:val="00B93A7B"/>
    <w:rsid w:val="00B93B0A"/>
    <w:rsid w:val="00B97DD2"/>
    <w:rsid w:val="00BA048D"/>
    <w:rsid w:val="00BA1071"/>
    <w:rsid w:val="00BA232D"/>
    <w:rsid w:val="00BA3F3C"/>
    <w:rsid w:val="00BA6E4C"/>
    <w:rsid w:val="00BA7BF4"/>
    <w:rsid w:val="00BA7C3E"/>
    <w:rsid w:val="00BB0886"/>
    <w:rsid w:val="00BB0A89"/>
    <w:rsid w:val="00BB13AF"/>
    <w:rsid w:val="00BB1B3B"/>
    <w:rsid w:val="00BB3505"/>
    <w:rsid w:val="00BB4253"/>
    <w:rsid w:val="00BB42C5"/>
    <w:rsid w:val="00BB4AEA"/>
    <w:rsid w:val="00BB7DC6"/>
    <w:rsid w:val="00BC086A"/>
    <w:rsid w:val="00BC0A69"/>
    <w:rsid w:val="00BC12D4"/>
    <w:rsid w:val="00BC1DAF"/>
    <w:rsid w:val="00BC2235"/>
    <w:rsid w:val="00BD05EB"/>
    <w:rsid w:val="00BD08CD"/>
    <w:rsid w:val="00BD4F8F"/>
    <w:rsid w:val="00BD5912"/>
    <w:rsid w:val="00BD6CE0"/>
    <w:rsid w:val="00BE0D19"/>
    <w:rsid w:val="00BE135B"/>
    <w:rsid w:val="00BE2267"/>
    <w:rsid w:val="00BE325B"/>
    <w:rsid w:val="00BF2C60"/>
    <w:rsid w:val="00BF4558"/>
    <w:rsid w:val="00BF783A"/>
    <w:rsid w:val="00C023AA"/>
    <w:rsid w:val="00C02D4A"/>
    <w:rsid w:val="00C065C8"/>
    <w:rsid w:val="00C06C6F"/>
    <w:rsid w:val="00C076E2"/>
    <w:rsid w:val="00C100E1"/>
    <w:rsid w:val="00C11CEA"/>
    <w:rsid w:val="00C1539D"/>
    <w:rsid w:val="00C15A2E"/>
    <w:rsid w:val="00C22310"/>
    <w:rsid w:val="00C22574"/>
    <w:rsid w:val="00C2492C"/>
    <w:rsid w:val="00C25D78"/>
    <w:rsid w:val="00C30A3F"/>
    <w:rsid w:val="00C30B52"/>
    <w:rsid w:val="00C32020"/>
    <w:rsid w:val="00C32651"/>
    <w:rsid w:val="00C3342E"/>
    <w:rsid w:val="00C33C12"/>
    <w:rsid w:val="00C424EB"/>
    <w:rsid w:val="00C44C0F"/>
    <w:rsid w:val="00C46144"/>
    <w:rsid w:val="00C47DD7"/>
    <w:rsid w:val="00C5105F"/>
    <w:rsid w:val="00C52372"/>
    <w:rsid w:val="00C53722"/>
    <w:rsid w:val="00C54DFA"/>
    <w:rsid w:val="00C56C08"/>
    <w:rsid w:val="00C57B12"/>
    <w:rsid w:val="00C606A5"/>
    <w:rsid w:val="00C677C2"/>
    <w:rsid w:val="00C67CE5"/>
    <w:rsid w:val="00C72DA9"/>
    <w:rsid w:val="00C73990"/>
    <w:rsid w:val="00C742A3"/>
    <w:rsid w:val="00C75421"/>
    <w:rsid w:val="00C75684"/>
    <w:rsid w:val="00C75ADF"/>
    <w:rsid w:val="00C75BAE"/>
    <w:rsid w:val="00C76017"/>
    <w:rsid w:val="00C806A9"/>
    <w:rsid w:val="00C80E6C"/>
    <w:rsid w:val="00C81C04"/>
    <w:rsid w:val="00C835D6"/>
    <w:rsid w:val="00C868F4"/>
    <w:rsid w:val="00C87727"/>
    <w:rsid w:val="00C902AE"/>
    <w:rsid w:val="00C90553"/>
    <w:rsid w:val="00C92A29"/>
    <w:rsid w:val="00C934B4"/>
    <w:rsid w:val="00C9542E"/>
    <w:rsid w:val="00C97291"/>
    <w:rsid w:val="00C974F9"/>
    <w:rsid w:val="00CA10E0"/>
    <w:rsid w:val="00CA1494"/>
    <w:rsid w:val="00CA3627"/>
    <w:rsid w:val="00CA3795"/>
    <w:rsid w:val="00CA4B5B"/>
    <w:rsid w:val="00CA78D6"/>
    <w:rsid w:val="00CB243D"/>
    <w:rsid w:val="00CB292A"/>
    <w:rsid w:val="00CC0022"/>
    <w:rsid w:val="00CC0305"/>
    <w:rsid w:val="00CC2F5D"/>
    <w:rsid w:val="00CC35BC"/>
    <w:rsid w:val="00CC56B6"/>
    <w:rsid w:val="00CC6C62"/>
    <w:rsid w:val="00CD00D3"/>
    <w:rsid w:val="00CD0918"/>
    <w:rsid w:val="00CD2674"/>
    <w:rsid w:val="00CD2BDA"/>
    <w:rsid w:val="00CD5656"/>
    <w:rsid w:val="00CD58D5"/>
    <w:rsid w:val="00CD6E74"/>
    <w:rsid w:val="00CD7D51"/>
    <w:rsid w:val="00CE03EC"/>
    <w:rsid w:val="00CE1050"/>
    <w:rsid w:val="00CE1200"/>
    <w:rsid w:val="00CE6734"/>
    <w:rsid w:val="00CE7F44"/>
    <w:rsid w:val="00CF6553"/>
    <w:rsid w:val="00CF68FF"/>
    <w:rsid w:val="00D0348D"/>
    <w:rsid w:val="00D04121"/>
    <w:rsid w:val="00D04433"/>
    <w:rsid w:val="00D05C72"/>
    <w:rsid w:val="00D121AD"/>
    <w:rsid w:val="00D1281F"/>
    <w:rsid w:val="00D139D1"/>
    <w:rsid w:val="00D15DE0"/>
    <w:rsid w:val="00D1622D"/>
    <w:rsid w:val="00D16563"/>
    <w:rsid w:val="00D17211"/>
    <w:rsid w:val="00D21366"/>
    <w:rsid w:val="00D21477"/>
    <w:rsid w:val="00D23AB7"/>
    <w:rsid w:val="00D27A15"/>
    <w:rsid w:val="00D27D54"/>
    <w:rsid w:val="00D367D2"/>
    <w:rsid w:val="00D36831"/>
    <w:rsid w:val="00D36AF5"/>
    <w:rsid w:val="00D42FDD"/>
    <w:rsid w:val="00D474EC"/>
    <w:rsid w:val="00D50052"/>
    <w:rsid w:val="00D50588"/>
    <w:rsid w:val="00D50BBE"/>
    <w:rsid w:val="00D52B43"/>
    <w:rsid w:val="00D52FAB"/>
    <w:rsid w:val="00D541E9"/>
    <w:rsid w:val="00D56C2A"/>
    <w:rsid w:val="00D56DE3"/>
    <w:rsid w:val="00D575BC"/>
    <w:rsid w:val="00D57A30"/>
    <w:rsid w:val="00D602FC"/>
    <w:rsid w:val="00D61ABC"/>
    <w:rsid w:val="00D62EBD"/>
    <w:rsid w:val="00D63E98"/>
    <w:rsid w:val="00D642F2"/>
    <w:rsid w:val="00D672CC"/>
    <w:rsid w:val="00D7018C"/>
    <w:rsid w:val="00D70B38"/>
    <w:rsid w:val="00D70EE9"/>
    <w:rsid w:val="00D7191C"/>
    <w:rsid w:val="00D72757"/>
    <w:rsid w:val="00D73725"/>
    <w:rsid w:val="00D75F18"/>
    <w:rsid w:val="00D764D0"/>
    <w:rsid w:val="00D80229"/>
    <w:rsid w:val="00D8299B"/>
    <w:rsid w:val="00D83121"/>
    <w:rsid w:val="00D86645"/>
    <w:rsid w:val="00D86AEE"/>
    <w:rsid w:val="00D86D45"/>
    <w:rsid w:val="00D87942"/>
    <w:rsid w:val="00D90546"/>
    <w:rsid w:val="00D924DC"/>
    <w:rsid w:val="00D92DD3"/>
    <w:rsid w:val="00D947F9"/>
    <w:rsid w:val="00D95FDC"/>
    <w:rsid w:val="00D96A70"/>
    <w:rsid w:val="00DA2B34"/>
    <w:rsid w:val="00DA4DC1"/>
    <w:rsid w:val="00DA572B"/>
    <w:rsid w:val="00DA7881"/>
    <w:rsid w:val="00DA7BC6"/>
    <w:rsid w:val="00DB1F48"/>
    <w:rsid w:val="00DB1F80"/>
    <w:rsid w:val="00DB20A1"/>
    <w:rsid w:val="00DB2542"/>
    <w:rsid w:val="00DB308D"/>
    <w:rsid w:val="00DB418B"/>
    <w:rsid w:val="00DB473F"/>
    <w:rsid w:val="00DB68B6"/>
    <w:rsid w:val="00DB6A4F"/>
    <w:rsid w:val="00DC13C3"/>
    <w:rsid w:val="00DC2371"/>
    <w:rsid w:val="00DC3354"/>
    <w:rsid w:val="00DC35C0"/>
    <w:rsid w:val="00DC5E2F"/>
    <w:rsid w:val="00DD0CDA"/>
    <w:rsid w:val="00DD2AD5"/>
    <w:rsid w:val="00DD2C63"/>
    <w:rsid w:val="00DD5307"/>
    <w:rsid w:val="00DD7F21"/>
    <w:rsid w:val="00DE0A0A"/>
    <w:rsid w:val="00DE1DC7"/>
    <w:rsid w:val="00DE3433"/>
    <w:rsid w:val="00DE5C28"/>
    <w:rsid w:val="00DE5E22"/>
    <w:rsid w:val="00DE66FE"/>
    <w:rsid w:val="00DE70C6"/>
    <w:rsid w:val="00DF1DD0"/>
    <w:rsid w:val="00DF4B19"/>
    <w:rsid w:val="00DF4D63"/>
    <w:rsid w:val="00DF58B1"/>
    <w:rsid w:val="00DF5FB7"/>
    <w:rsid w:val="00E00C5E"/>
    <w:rsid w:val="00E02C8C"/>
    <w:rsid w:val="00E061D8"/>
    <w:rsid w:val="00E07F6C"/>
    <w:rsid w:val="00E102E0"/>
    <w:rsid w:val="00E10FAD"/>
    <w:rsid w:val="00E12544"/>
    <w:rsid w:val="00E13B8A"/>
    <w:rsid w:val="00E21935"/>
    <w:rsid w:val="00E22853"/>
    <w:rsid w:val="00E23683"/>
    <w:rsid w:val="00E2501E"/>
    <w:rsid w:val="00E279BD"/>
    <w:rsid w:val="00E307C7"/>
    <w:rsid w:val="00E31DC3"/>
    <w:rsid w:val="00E32C2D"/>
    <w:rsid w:val="00E40E5D"/>
    <w:rsid w:val="00E46965"/>
    <w:rsid w:val="00E51B03"/>
    <w:rsid w:val="00E52A6C"/>
    <w:rsid w:val="00E5404E"/>
    <w:rsid w:val="00E543ED"/>
    <w:rsid w:val="00E5642D"/>
    <w:rsid w:val="00E6420F"/>
    <w:rsid w:val="00E6695C"/>
    <w:rsid w:val="00E66F03"/>
    <w:rsid w:val="00E703BB"/>
    <w:rsid w:val="00E70952"/>
    <w:rsid w:val="00E71102"/>
    <w:rsid w:val="00E7257E"/>
    <w:rsid w:val="00E73882"/>
    <w:rsid w:val="00E739A4"/>
    <w:rsid w:val="00E73D78"/>
    <w:rsid w:val="00E77766"/>
    <w:rsid w:val="00E77937"/>
    <w:rsid w:val="00E77C5F"/>
    <w:rsid w:val="00E82A14"/>
    <w:rsid w:val="00E83CB7"/>
    <w:rsid w:val="00E84B8B"/>
    <w:rsid w:val="00E851B1"/>
    <w:rsid w:val="00E8762A"/>
    <w:rsid w:val="00E9085C"/>
    <w:rsid w:val="00E95CA7"/>
    <w:rsid w:val="00E97AA8"/>
    <w:rsid w:val="00EA030E"/>
    <w:rsid w:val="00EA1C8C"/>
    <w:rsid w:val="00EA30CA"/>
    <w:rsid w:val="00EA5599"/>
    <w:rsid w:val="00EB02AD"/>
    <w:rsid w:val="00EB0A45"/>
    <w:rsid w:val="00EB0E94"/>
    <w:rsid w:val="00EB3615"/>
    <w:rsid w:val="00EB427E"/>
    <w:rsid w:val="00EB54E0"/>
    <w:rsid w:val="00EB6AE1"/>
    <w:rsid w:val="00EB7E62"/>
    <w:rsid w:val="00EB7F82"/>
    <w:rsid w:val="00EC039E"/>
    <w:rsid w:val="00EC1EBD"/>
    <w:rsid w:val="00EC229A"/>
    <w:rsid w:val="00EC34AD"/>
    <w:rsid w:val="00EC4E03"/>
    <w:rsid w:val="00ED3D25"/>
    <w:rsid w:val="00ED4210"/>
    <w:rsid w:val="00ED4F73"/>
    <w:rsid w:val="00ED6B6C"/>
    <w:rsid w:val="00ED7F69"/>
    <w:rsid w:val="00EE0189"/>
    <w:rsid w:val="00EE0F1E"/>
    <w:rsid w:val="00EE2B5D"/>
    <w:rsid w:val="00EF1E80"/>
    <w:rsid w:val="00EF26A5"/>
    <w:rsid w:val="00EF47C1"/>
    <w:rsid w:val="00EF5940"/>
    <w:rsid w:val="00EF7872"/>
    <w:rsid w:val="00EF7A24"/>
    <w:rsid w:val="00F022AF"/>
    <w:rsid w:val="00F05E47"/>
    <w:rsid w:val="00F116C9"/>
    <w:rsid w:val="00F11F16"/>
    <w:rsid w:val="00F15364"/>
    <w:rsid w:val="00F15AE6"/>
    <w:rsid w:val="00F15CB3"/>
    <w:rsid w:val="00F160C1"/>
    <w:rsid w:val="00F2195F"/>
    <w:rsid w:val="00F224C5"/>
    <w:rsid w:val="00F24B7F"/>
    <w:rsid w:val="00F25488"/>
    <w:rsid w:val="00F25A84"/>
    <w:rsid w:val="00F26073"/>
    <w:rsid w:val="00F31A89"/>
    <w:rsid w:val="00F36E24"/>
    <w:rsid w:val="00F37483"/>
    <w:rsid w:val="00F37F0A"/>
    <w:rsid w:val="00F41E1E"/>
    <w:rsid w:val="00F42D95"/>
    <w:rsid w:val="00F44388"/>
    <w:rsid w:val="00F452E4"/>
    <w:rsid w:val="00F45AE3"/>
    <w:rsid w:val="00F47BDF"/>
    <w:rsid w:val="00F47D4B"/>
    <w:rsid w:val="00F553AF"/>
    <w:rsid w:val="00F56B19"/>
    <w:rsid w:val="00F56FD8"/>
    <w:rsid w:val="00F57B07"/>
    <w:rsid w:val="00F62755"/>
    <w:rsid w:val="00F6363A"/>
    <w:rsid w:val="00F636A6"/>
    <w:rsid w:val="00F66029"/>
    <w:rsid w:val="00F67A43"/>
    <w:rsid w:val="00F67BF0"/>
    <w:rsid w:val="00F70690"/>
    <w:rsid w:val="00F70BB0"/>
    <w:rsid w:val="00F7446D"/>
    <w:rsid w:val="00F77E9B"/>
    <w:rsid w:val="00F8328F"/>
    <w:rsid w:val="00F85F53"/>
    <w:rsid w:val="00F93441"/>
    <w:rsid w:val="00F93BAF"/>
    <w:rsid w:val="00FA25B2"/>
    <w:rsid w:val="00FA3C0D"/>
    <w:rsid w:val="00FA3DA7"/>
    <w:rsid w:val="00FA58F7"/>
    <w:rsid w:val="00FA5907"/>
    <w:rsid w:val="00FA6ADE"/>
    <w:rsid w:val="00FA7B27"/>
    <w:rsid w:val="00FB1C45"/>
    <w:rsid w:val="00FB3A63"/>
    <w:rsid w:val="00FB5CCF"/>
    <w:rsid w:val="00FB622D"/>
    <w:rsid w:val="00FB6BD6"/>
    <w:rsid w:val="00FC64F3"/>
    <w:rsid w:val="00FC7F6D"/>
    <w:rsid w:val="00FD12EE"/>
    <w:rsid w:val="00FD1614"/>
    <w:rsid w:val="00FD1EEB"/>
    <w:rsid w:val="00FD3BED"/>
    <w:rsid w:val="00FD5350"/>
    <w:rsid w:val="00FD5C5E"/>
    <w:rsid w:val="00FD6F85"/>
    <w:rsid w:val="00FE004C"/>
    <w:rsid w:val="00FE0D46"/>
    <w:rsid w:val="00FE631D"/>
    <w:rsid w:val="00FE65C4"/>
    <w:rsid w:val="00FE7B0B"/>
    <w:rsid w:val="00FF2047"/>
    <w:rsid w:val="00FF2CB3"/>
    <w:rsid w:val="00FF5E12"/>
    <w:rsid w:val="00FF6FC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A63"/>
    <w:pPr>
      <w:spacing w:line="360" w:lineRule="auto"/>
      <w:jc w:val="both"/>
    </w:pPr>
    <w:rPr>
      <w:rFonts w:ascii="Times New Roman" w:hAnsi="Times New Roman" w:cs="Times New Roman"/>
      <w:sz w:val="24"/>
    </w:rPr>
  </w:style>
  <w:style w:type="paragraph" w:styleId="Heading1">
    <w:name w:val="heading 1"/>
    <w:basedOn w:val="Normal"/>
    <w:next w:val="Normal"/>
    <w:link w:val="Heading1Char"/>
    <w:uiPriority w:val="9"/>
    <w:qFormat/>
    <w:rsid w:val="00DB20A1"/>
    <w:pPr>
      <w:keepNext/>
      <w:keepLines/>
      <w:spacing w:before="480" w:after="0"/>
      <w:jc w:val="center"/>
      <w:outlineLvl w:val="0"/>
    </w:pPr>
    <w:rPr>
      <w:rFonts w:eastAsiaTheme="majorEastAsia" w:cstheme="majorBidi"/>
      <w:b/>
      <w:bCs/>
      <w:caps/>
      <w:sz w:val="32"/>
      <w:szCs w:val="28"/>
    </w:rPr>
  </w:style>
  <w:style w:type="paragraph" w:styleId="Heading2">
    <w:name w:val="heading 2"/>
    <w:basedOn w:val="Normal"/>
    <w:link w:val="Heading2Char"/>
    <w:uiPriority w:val="9"/>
    <w:qFormat/>
    <w:rsid w:val="00DB20A1"/>
    <w:pPr>
      <w:spacing w:before="220" w:beforeAutospacing="1" w:after="220" w:afterAutospacing="1" w:line="240" w:lineRule="auto"/>
      <w:jc w:val="center"/>
      <w:outlineLvl w:val="1"/>
    </w:pPr>
    <w:rPr>
      <w:rFonts w:eastAsia="Times New Roman"/>
      <w:b/>
      <w:bCs/>
      <w:sz w:val="28"/>
      <w:szCs w:val="28"/>
      <w:lang w:eastAsia="es-ES"/>
    </w:rPr>
  </w:style>
  <w:style w:type="paragraph" w:styleId="Heading3">
    <w:name w:val="heading 3"/>
    <w:basedOn w:val="Normal"/>
    <w:next w:val="Normal"/>
    <w:link w:val="Heading3Char"/>
    <w:uiPriority w:val="9"/>
    <w:unhideWhenUsed/>
    <w:qFormat/>
    <w:rsid w:val="008417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33C"/>
    <w:rPr>
      <w:color w:val="0000FF" w:themeColor="hyperlink"/>
      <w:u w:val="single"/>
    </w:rPr>
  </w:style>
  <w:style w:type="character" w:styleId="FollowedHyperlink">
    <w:name w:val="FollowedHyperlink"/>
    <w:basedOn w:val="DefaultParagraphFont"/>
    <w:uiPriority w:val="99"/>
    <w:semiHidden/>
    <w:unhideWhenUsed/>
    <w:rsid w:val="001160F9"/>
    <w:rPr>
      <w:color w:val="800080" w:themeColor="followedHyperlink"/>
      <w:u w:val="single"/>
    </w:rPr>
  </w:style>
  <w:style w:type="paragraph" w:styleId="ListParagraph">
    <w:name w:val="List Paragraph"/>
    <w:basedOn w:val="Normal"/>
    <w:uiPriority w:val="34"/>
    <w:qFormat/>
    <w:rsid w:val="009940A7"/>
    <w:pPr>
      <w:ind w:left="720"/>
      <w:contextualSpacing/>
    </w:pPr>
  </w:style>
  <w:style w:type="table" w:styleId="TableGrid">
    <w:name w:val="Table Grid"/>
    <w:basedOn w:val="TableNormal"/>
    <w:uiPriority w:val="59"/>
    <w:rsid w:val="00197D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C90553"/>
  </w:style>
  <w:style w:type="paragraph" w:styleId="BalloonText">
    <w:name w:val="Balloon Text"/>
    <w:basedOn w:val="Normal"/>
    <w:link w:val="BalloonTextChar"/>
    <w:uiPriority w:val="99"/>
    <w:semiHidden/>
    <w:unhideWhenUsed/>
    <w:rsid w:val="000C4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949"/>
    <w:rPr>
      <w:rFonts w:ascii="Tahoma" w:hAnsi="Tahoma" w:cs="Tahoma"/>
      <w:sz w:val="16"/>
      <w:szCs w:val="16"/>
    </w:rPr>
  </w:style>
  <w:style w:type="paragraph" w:styleId="NoSpacing">
    <w:name w:val="No Spacing"/>
    <w:link w:val="NoSpacingChar"/>
    <w:uiPriority w:val="1"/>
    <w:qFormat/>
    <w:rsid w:val="00BB7DC6"/>
    <w:pPr>
      <w:spacing w:after="0" w:line="240" w:lineRule="auto"/>
    </w:pPr>
    <w:rPr>
      <w:lang w:val="en-US"/>
    </w:rPr>
  </w:style>
  <w:style w:type="character" w:customStyle="1" w:styleId="NoSpacingChar">
    <w:name w:val="No Spacing Char"/>
    <w:basedOn w:val="DefaultParagraphFont"/>
    <w:link w:val="NoSpacing"/>
    <w:uiPriority w:val="1"/>
    <w:rsid w:val="00BB7DC6"/>
    <w:rPr>
      <w:rFonts w:eastAsiaTheme="minorEastAsia"/>
      <w:lang w:val="en-US"/>
    </w:rPr>
  </w:style>
  <w:style w:type="character" w:customStyle="1" w:styleId="Heading2Char">
    <w:name w:val="Heading 2 Char"/>
    <w:basedOn w:val="DefaultParagraphFont"/>
    <w:link w:val="Heading2"/>
    <w:uiPriority w:val="9"/>
    <w:rsid w:val="00DB20A1"/>
    <w:rPr>
      <w:rFonts w:ascii="Times New Roman" w:eastAsia="Times New Roman" w:hAnsi="Times New Roman" w:cs="Times New Roman"/>
      <w:b/>
      <w:bCs/>
      <w:sz w:val="28"/>
      <w:szCs w:val="28"/>
      <w:lang w:eastAsia="es-ES"/>
    </w:rPr>
  </w:style>
  <w:style w:type="character" w:customStyle="1" w:styleId="Heading1Char">
    <w:name w:val="Heading 1 Char"/>
    <w:basedOn w:val="DefaultParagraphFont"/>
    <w:link w:val="Heading1"/>
    <w:uiPriority w:val="9"/>
    <w:rsid w:val="00DB20A1"/>
    <w:rPr>
      <w:rFonts w:ascii="Times New Roman" w:eastAsiaTheme="majorEastAsia" w:hAnsi="Times New Roman" w:cstheme="majorBidi"/>
      <w:b/>
      <w:bCs/>
      <w:caps/>
      <w:sz w:val="32"/>
      <w:szCs w:val="28"/>
    </w:rPr>
  </w:style>
  <w:style w:type="paragraph" w:styleId="Header">
    <w:name w:val="header"/>
    <w:basedOn w:val="Normal"/>
    <w:link w:val="HeaderChar"/>
    <w:uiPriority w:val="99"/>
    <w:unhideWhenUsed/>
    <w:rsid w:val="00DB20A1"/>
    <w:pPr>
      <w:tabs>
        <w:tab w:val="center" w:pos="4252"/>
        <w:tab w:val="right" w:pos="8504"/>
      </w:tabs>
      <w:spacing w:after="0" w:line="240" w:lineRule="auto"/>
    </w:pPr>
  </w:style>
  <w:style w:type="character" w:customStyle="1" w:styleId="HeaderChar">
    <w:name w:val="Header Char"/>
    <w:basedOn w:val="DefaultParagraphFont"/>
    <w:link w:val="Header"/>
    <w:uiPriority w:val="99"/>
    <w:rsid w:val="00DB20A1"/>
  </w:style>
  <w:style w:type="paragraph" w:styleId="Footer">
    <w:name w:val="footer"/>
    <w:basedOn w:val="Normal"/>
    <w:link w:val="FooterChar"/>
    <w:unhideWhenUsed/>
    <w:rsid w:val="00DB20A1"/>
    <w:pPr>
      <w:tabs>
        <w:tab w:val="center" w:pos="4252"/>
        <w:tab w:val="right" w:pos="8504"/>
      </w:tabs>
      <w:spacing w:after="0" w:line="240" w:lineRule="auto"/>
    </w:pPr>
  </w:style>
  <w:style w:type="character" w:customStyle="1" w:styleId="FooterChar">
    <w:name w:val="Footer Char"/>
    <w:basedOn w:val="DefaultParagraphFont"/>
    <w:link w:val="Footer"/>
    <w:rsid w:val="00DB20A1"/>
  </w:style>
  <w:style w:type="paragraph" w:styleId="TOCHeading">
    <w:name w:val="TOC Heading"/>
    <w:basedOn w:val="Heading1"/>
    <w:next w:val="Normal"/>
    <w:uiPriority w:val="39"/>
    <w:unhideWhenUsed/>
    <w:qFormat/>
    <w:rsid w:val="00777DD4"/>
    <w:pPr>
      <w:jc w:val="left"/>
      <w:outlineLvl w:val="9"/>
    </w:pPr>
    <w:rPr>
      <w:rFonts w:asciiTheme="majorHAnsi" w:hAnsiTheme="majorHAnsi"/>
      <w:caps w:val="0"/>
      <w:color w:val="365F91" w:themeColor="accent1" w:themeShade="BF"/>
      <w:sz w:val="28"/>
      <w:lang w:val="en-US"/>
    </w:rPr>
  </w:style>
  <w:style w:type="paragraph" w:styleId="TOC1">
    <w:name w:val="toc 1"/>
    <w:basedOn w:val="Normal"/>
    <w:next w:val="Normal"/>
    <w:autoRedefine/>
    <w:uiPriority w:val="39"/>
    <w:unhideWhenUsed/>
    <w:rsid w:val="00290A04"/>
    <w:pPr>
      <w:tabs>
        <w:tab w:val="left" w:pos="440"/>
        <w:tab w:val="right" w:leader="dot" w:pos="9628"/>
      </w:tabs>
      <w:spacing w:after="100"/>
    </w:pPr>
    <w:rPr>
      <w:caps/>
      <w:noProof/>
      <w:lang w:val="lt-LT"/>
    </w:rPr>
  </w:style>
  <w:style w:type="paragraph" w:styleId="TOC2">
    <w:name w:val="toc 2"/>
    <w:basedOn w:val="Normal"/>
    <w:next w:val="Normal"/>
    <w:autoRedefine/>
    <w:uiPriority w:val="39"/>
    <w:unhideWhenUsed/>
    <w:rsid w:val="00777DD4"/>
    <w:pPr>
      <w:spacing w:after="100"/>
      <w:ind w:left="220"/>
    </w:pPr>
  </w:style>
  <w:style w:type="paragraph" w:styleId="NormalWeb">
    <w:name w:val="Normal (Web)"/>
    <w:basedOn w:val="Normal"/>
    <w:uiPriority w:val="99"/>
    <w:unhideWhenUsed/>
    <w:rsid w:val="00C02D4A"/>
    <w:pPr>
      <w:spacing w:before="100" w:beforeAutospacing="1" w:after="100" w:afterAutospacing="1" w:line="240" w:lineRule="auto"/>
    </w:pPr>
    <w:rPr>
      <w:szCs w:val="24"/>
    </w:rPr>
  </w:style>
  <w:style w:type="character" w:customStyle="1" w:styleId="Heading3Char">
    <w:name w:val="Heading 3 Char"/>
    <w:basedOn w:val="DefaultParagraphFont"/>
    <w:link w:val="Heading3"/>
    <w:uiPriority w:val="9"/>
    <w:rsid w:val="008417EF"/>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4665BD"/>
    <w:pPr>
      <w:spacing w:after="100" w:line="276" w:lineRule="auto"/>
      <w:ind w:left="440"/>
      <w:jc w:val="left"/>
    </w:pPr>
    <w:rPr>
      <w:rFonts w:asciiTheme="minorHAnsi" w:hAnsiTheme="minorHAnsi"/>
      <w:sz w:val="22"/>
      <w:lang w:val="es-ES" w:eastAsia="es-ES"/>
    </w:rPr>
  </w:style>
  <w:style w:type="paragraph" w:styleId="TOC4">
    <w:name w:val="toc 4"/>
    <w:basedOn w:val="Normal"/>
    <w:next w:val="Normal"/>
    <w:autoRedefine/>
    <w:uiPriority w:val="39"/>
    <w:unhideWhenUsed/>
    <w:rsid w:val="004665BD"/>
    <w:pPr>
      <w:spacing w:after="100" w:line="276" w:lineRule="auto"/>
      <w:ind w:left="660"/>
      <w:jc w:val="left"/>
    </w:pPr>
    <w:rPr>
      <w:rFonts w:asciiTheme="minorHAnsi" w:hAnsiTheme="minorHAnsi"/>
      <w:sz w:val="22"/>
      <w:lang w:val="es-ES" w:eastAsia="es-ES"/>
    </w:rPr>
  </w:style>
  <w:style w:type="paragraph" w:styleId="TOC5">
    <w:name w:val="toc 5"/>
    <w:basedOn w:val="Normal"/>
    <w:next w:val="Normal"/>
    <w:autoRedefine/>
    <w:uiPriority w:val="39"/>
    <w:unhideWhenUsed/>
    <w:rsid w:val="004665BD"/>
    <w:pPr>
      <w:spacing w:after="100" w:line="276" w:lineRule="auto"/>
      <w:ind w:left="880"/>
      <w:jc w:val="left"/>
    </w:pPr>
    <w:rPr>
      <w:rFonts w:asciiTheme="minorHAnsi" w:hAnsiTheme="minorHAnsi"/>
      <w:sz w:val="22"/>
      <w:lang w:val="es-ES" w:eastAsia="es-ES"/>
    </w:rPr>
  </w:style>
  <w:style w:type="paragraph" w:styleId="TOC6">
    <w:name w:val="toc 6"/>
    <w:basedOn w:val="Normal"/>
    <w:next w:val="Normal"/>
    <w:autoRedefine/>
    <w:uiPriority w:val="39"/>
    <w:unhideWhenUsed/>
    <w:rsid w:val="004665BD"/>
    <w:pPr>
      <w:spacing w:after="100" w:line="276" w:lineRule="auto"/>
      <w:ind w:left="1100"/>
      <w:jc w:val="left"/>
    </w:pPr>
    <w:rPr>
      <w:rFonts w:asciiTheme="minorHAnsi" w:hAnsiTheme="minorHAnsi"/>
      <w:sz w:val="22"/>
      <w:lang w:val="es-ES" w:eastAsia="es-ES"/>
    </w:rPr>
  </w:style>
  <w:style w:type="paragraph" w:styleId="TOC7">
    <w:name w:val="toc 7"/>
    <w:basedOn w:val="Normal"/>
    <w:next w:val="Normal"/>
    <w:autoRedefine/>
    <w:uiPriority w:val="39"/>
    <w:unhideWhenUsed/>
    <w:rsid w:val="004665BD"/>
    <w:pPr>
      <w:spacing w:after="100" w:line="276" w:lineRule="auto"/>
      <w:ind w:left="1320"/>
      <w:jc w:val="left"/>
    </w:pPr>
    <w:rPr>
      <w:rFonts w:asciiTheme="minorHAnsi" w:hAnsiTheme="minorHAnsi"/>
      <w:sz w:val="22"/>
      <w:lang w:val="es-ES" w:eastAsia="es-ES"/>
    </w:rPr>
  </w:style>
  <w:style w:type="paragraph" w:styleId="TOC8">
    <w:name w:val="toc 8"/>
    <w:basedOn w:val="Normal"/>
    <w:next w:val="Normal"/>
    <w:autoRedefine/>
    <w:uiPriority w:val="39"/>
    <w:unhideWhenUsed/>
    <w:rsid w:val="004665BD"/>
    <w:pPr>
      <w:spacing w:after="100" w:line="276" w:lineRule="auto"/>
      <w:ind w:left="1540"/>
      <w:jc w:val="left"/>
    </w:pPr>
    <w:rPr>
      <w:rFonts w:asciiTheme="minorHAnsi" w:hAnsiTheme="minorHAnsi"/>
      <w:sz w:val="22"/>
      <w:lang w:val="es-ES" w:eastAsia="es-ES"/>
    </w:rPr>
  </w:style>
  <w:style w:type="paragraph" w:styleId="TOC9">
    <w:name w:val="toc 9"/>
    <w:basedOn w:val="Normal"/>
    <w:next w:val="Normal"/>
    <w:autoRedefine/>
    <w:uiPriority w:val="39"/>
    <w:unhideWhenUsed/>
    <w:rsid w:val="004665BD"/>
    <w:pPr>
      <w:spacing w:after="100" w:line="276" w:lineRule="auto"/>
      <w:ind w:left="1760"/>
      <w:jc w:val="left"/>
    </w:pPr>
    <w:rPr>
      <w:rFonts w:asciiTheme="minorHAnsi" w:hAnsiTheme="minorHAnsi"/>
      <w:sz w:val="22"/>
      <w:lang w:val="es-ES" w:eastAsia="es-ES"/>
    </w:rPr>
  </w:style>
  <w:style w:type="character" w:styleId="PlaceholderText">
    <w:name w:val="Placeholder Text"/>
    <w:basedOn w:val="DefaultParagraphFont"/>
    <w:uiPriority w:val="99"/>
    <w:semiHidden/>
    <w:rsid w:val="004A4A1E"/>
    <w:rPr>
      <w:color w:val="808080"/>
    </w:rPr>
  </w:style>
  <w:style w:type="paragraph" w:styleId="FootnoteText">
    <w:name w:val="footnote text"/>
    <w:aliases w:val="Footnote,Footnote Text Char Char,Fußnotentextf"/>
    <w:basedOn w:val="Normal"/>
    <w:link w:val="FootnoteTextChar"/>
    <w:semiHidden/>
    <w:rsid w:val="00C22310"/>
    <w:pPr>
      <w:spacing w:after="0" w:line="240" w:lineRule="auto"/>
      <w:jc w:val="left"/>
    </w:pPr>
    <w:rPr>
      <w:rFonts w:eastAsia="Times New Roman"/>
      <w:sz w:val="20"/>
      <w:szCs w:val="20"/>
      <w:lang w:val="lt-LT" w:eastAsia="en-US"/>
    </w:rPr>
  </w:style>
  <w:style w:type="character" w:customStyle="1" w:styleId="FootnoteTextChar">
    <w:name w:val="Footnote Text Char"/>
    <w:aliases w:val="Footnote Char,Footnote Text Char Char Char,Fußnotentextf Char"/>
    <w:basedOn w:val="DefaultParagraphFont"/>
    <w:link w:val="FootnoteText"/>
    <w:semiHidden/>
    <w:rsid w:val="00C22310"/>
    <w:rPr>
      <w:rFonts w:ascii="Times New Roman" w:eastAsia="Times New Roman" w:hAnsi="Times New Roman" w:cs="Times New Roman"/>
      <w:sz w:val="20"/>
      <w:szCs w:val="20"/>
      <w:lang w:val="lt-LT" w:eastAsia="en-US"/>
    </w:rPr>
  </w:style>
  <w:style w:type="character" w:styleId="FootnoteReference">
    <w:name w:val="footnote reference"/>
    <w:semiHidden/>
    <w:rsid w:val="00C22310"/>
    <w:rPr>
      <w:vertAlign w:val="superscript"/>
    </w:rPr>
  </w:style>
  <w:style w:type="paragraph" w:styleId="BodyTextIndent">
    <w:name w:val="Body Text Indent"/>
    <w:basedOn w:val="Normal"/>
    <w:link w:val="BodyTextIndentChar"/>
    <w:rsid w:val="00C22310"/>
    <w:pPr>
      <w:spacing w:after="0" w:line="240" w:lineRule="auto"/>
      <w:ind w:firstLine="360"/>
    </w:pPr>
    <w:rPr>
      <w:rFonts w:eastAsia="Times New Roman"/>
      <w:szCs w:val="24"/>
      <w:lang w:val="lt-LT" w:eastAsia="en-US"/>
    </w:rPr>
  </w:style>
  <w:style w:type="character" w:customStyle="1" w:styleId="BodyTextIndentChar">
    <w:name w:val="Body Text Indent Char"/>
    <w:basedOn w:val="DefaultParagraphFont"/>
    <w:link w:val="BodyTextIndent"/>
    <w:rsid w:val="00C22310"/>
    <w:rPr>
      <w:rFonts w:ascii="Times New Roman" w:eastAsia="Times New Roman" w:hAnsi="Times New Roman" w:cs="Times New Roman"/>
      <w:sz w:val="24"/>
      <w:szCs w:val="24"/>
      <w:lang w:val="lt-LT" w:eastAsia="en-US"/>
    </w:rPr>
  </w:style>
  <w:style w:type="paragraph" w:customStyle="1" w:styleId="Style1">
    <w:name w:val="Style1"/>
    <w:basedOn w:val="Heading1"/>
    <w:link w:val="Style1Char"/>
    <w:qFormat/>
    <w:rsid w:val="00D83121"/>
    <w:pPr>
      <w:keepLines w:val="0"/>
      <w:spacing w:before="0" w:line="240" w:lineRule="auto"/>
    </w:pPr>
    <w:rPr>
      <w:rFonts w:ascii="TimesLT" w:eastAsia="Times New Roman" w:hAnsi="TimesLT" w:cs="Times New Roman"/>
      <w:bCs w:val="0"/>
      <w:caps w:val="0"/>
      <w:szCs w:val="32"/>
      <w:lang w:val="lt-LT"/>
    </w:rPr>
  </w:style>
  <w:style w:type="character" w:customStyle="1" w:styleId="Style1Char">
    <w:name w:val="Style1 Char"/>
    <w:link w:val="Style1"/>
    <w:rsid w:val="00D83121"/>
    <w:rPr>
      <w:rFonts w:ascii="TimesLT" w:eastAsia="Times New Roman" w:hAnsi="TimesLT" w:cs="Times New Roman"/>
      <w:b/>
      <w:sz w:val="32"/>
      <w:szCs w:val="32"/>
      <w:lang w:val="lt-LT"/>
    </w:rPr>
  </w:style>
  <w:style w:type="character" w:styleId="Strong">
    <w:name w:val="Strong"/>
    <w:basedOn w:val="DefaultParagraphFont"/>
    <w:uiPriority w:val="22"/>
    <w:qFormat/>
    <w:rsid w:val="00601484"/>
    <w:rPr>
      <w:b/>
      <w:bCs/>
    </w:rPr>
  </w:style>
  <w:style w:type="character" w:customStyle="1" w:styleId="nolink">
    <w:name w:val="nolink"/>
    <w:basedOn w:val="DefaultParagraphFont"/>
    <w:rsid w:val="00601484"/>
  </w:style>
  <w:style w:type="paragraph" w:styleId="BodyText2">
    <w:name w:val="Body Text 2"/>
    <w:basedOn w:val="Normal"/>
    <w:link w:val="BodyText2Char"/>
    <w:uiPriority w:val="99"/>
    <w:semiHidden/>
    <w:unhideWhenUsed/>
    <w:rsid w:val="007D20EF"/>
    <w:pPr>
      <w:spacing w:after="120" w:line="480" w:lineRule="auto"/>
    </w:pPr>
  </w:style>
  <w:style w:type="character" w:customStyle="1" w:styleId="BodyText2Char">
    <w:name w:val="Body Text 2 Char"/>
    <w:basedOn w:val="DefaultParagraphFont"/>
    <w:link w:val="BodyText2"/>
    <w:uiPriority w:val="99"/>
    <w:semiHidden/>
    <w:rsid w:val="007D20EF"/>
    <w:rPr>
      <w:rFonts w:ascii="Times New Roman" w:hAnsi="Times New Roman" w:cs="Times New Roman"/>
      <w:sz w:val="24"/>
    </w:rPr>
  </w:style>
  <w:style w:type="paragraph" w:styleId="Subtitle">
    <w:name w:val="Subtitle"/>
    <w:basedOn w:val="Normal"/>
    <w:link w:val="SubtitleChar"/>
    <w:qFormat/>
    <w:rsid w:val="007D20EF"/>
    <w:pPr>
      <w:spacing w:after="0" w:line="240" w:lineRule="auto"/>
      <w:jc w:val="left"/>
    </w:pPr>
    <w:rPr>
      <w:rFonts w:eastAsia="Times New Roman"/>
      <w:b/>
      <w:sz w:val="22"/>
      <w:szCs w:val="20"/>
      <w:lang w:eastAsia="en-US"/>
    </w:rPr>
  </w:style>
  <w:style w:type="character" w:customStyle="1" w:styleId="SubtitleChar">
    <w:name w:val="Subtitle Char"/>
    <w:basedOn w:val="DefaultParagraphFont"/>
    <w:link w:val="Subtitle"/>
    <w:rsid w:val="007D20EF"/>
    <w:rPr>
      <w:rFonts w:ascii="Times New Roman" w:eastAsia="Times New Roman" w:hAnsi="Times New Roman" w:cs="Times New Roman"/>
      <w:b/>
      <w:szCs w:val="20"/>
      <w:lang w:eastAsia="en-US"/>
    </w:rPr>
  </w:style>
  <w:style w:type="paragraph" w:customStyle="1" w:styleId="NormalWeb1">
    <w:name w:val="Normal (Web)1"/>
    <w:basedOn w:val="Normal"/>
    <w:rsid w:val="007D20EF"/>
    <w:pPr>
      <w:autoSpaceDE w:val="0"/>
      <w:autoSpaceDN w:val="0"/>
      <w:adjustRightInd w:val="0"/>
      <w:spacing w:before="100" w:after="100" w:line="240" w:lineRule="auto"/>
      <w:jc w:val="left"/>
    </w:pPr>
    <w:rPr>
      <w:rFonts w:eastAsia="Times New Roman"/>
      <w:szCs w:val="20"/>
      <w:lang w:eastAsia="en-US"/>
    </w:rPr>
  </w:style>
  <w:style w:type="character" w:styleId="PageNumber">
    <w:name w:val="page number"/>
    <w:basedOn w:val="DefaultParagraphFont"/>
    <w:rsid w:val="007D20EF"/>
  </w:style>
  <w:style w:type="paragraph" w:styleId="Title">
    <w:name w:val="Title"/>
    <w:basedOn w:val="Normal"/>
    <w:link w:val="TitleChar"/>
    <w:qFormat/>
    <w:rsid w:val="007D20EF"/>
    <w:pPr>
      <w:spacing w:after="0" w:line="240" w:lineRule="auto"/>
      <w:jc w:val="center"/>
    </w:pPr>
    <w:rPr>
      <w:rFonts w:eastAsia="Times New Roman"/>
      <w:szCs w:val="24"/>
      <w:lang w:val="lt-LT" w:eastAsia="en-US"/>
    </w:rPr>
  </w:style>
  <w:style w:type="character" w:customStyle="1" w:styleId="TitleChar">
    <w:name w:val="Title Char"/>
    <w:basedOn w:val="DefaultParagraphFont"/>
    <w:link w:val="Title"/>
    <w:rsid w:val="007D20EF"/>
    <w:rPr>
      <w:rFonts w:ascii="Times New Roman" w:eastAsia="Times New Roman" w:hAnsi="Times New Roman" w:cs="Times New Roman"/>
      <w:sz w:val="24"/>
      <w:szCs w:val="24"/>
      <w:lang w:val="lt-LT" w:eastAsia="en-US"/>
    </w:rPr>
  </w:style>
  <w:style w:type="paragraph" w:customStyle="1" w:styleId="normaltext">
    <w:name w:val="normal text"/>
    <w:basedOn w:val="Header"/>
    <w:rsid w:val="007D20EF"/>
    <w:pPr>
      <w:tabs>
        <w:tab w:val="clear" w:pos="4252"/>
        <w:tab w:val="clear" w:pos="8504"/>
        <w:tab w:val="center" w:pos="4153"/>
        <w:tab w:val="right" w:pos="8306"/>
      </w:tabs>
      <w:spacing w:after="240"/>
    </w:pPr>
    <w:rPr>
      <w:rFonts w:eastAsia="Times New Roman"/>
      <w:szCs w:val="20"/>
      <w:lang w:eastAsia="lt-LT"/>
    </w:rPr>
  </w:style>
  <w:style w:type="character" w:customStyle="1" w:styleId="typewriter">
    <w:name w:val="typewriter"/>
    <w:basedOn w:val="DefaultParagraphFont"/>
    <w:rsid w:val="007D20EF"/>
  </w:style>
  <w:style w:type="character" w:customStyle="1" w:styleId="aa1">
    <w:name w:val="aa1"/>
    <w:basedOn w:val="DefaultParagraphFont"/>
    <w:rsid w:val="007D20EF"/>
  </w:style>
  <w:style w:type="character" w:styleId="Emphasis">
    <w:name w:val="Emphasis"/>
    <w:qFormat/>
    <w:rsid w:val="007D20E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A63"/>
    <w:pPr>
      <w:spacing w:line="360" w:lineRule="auto"/>
      <w:jc w:val="both"/>
    </w:pPr>
    <w:rPr>
      <w:rFonts w:ascii="Times New Roman" w:hAnsi="Times New Roman" w:cs="Times New Roman"/>
      <w:sz w:val="24"/>
    </w:rPr>
  </w:style>
  <w:style w:type="paragraph" w:styleId="Heading1">
    <w:name w:val="heading 1"/>
    <w:basedOn w:val="Normal"/>
    <w:next w:val="Normal"/>
    <w:link w:val="Heading1Char"/>
    <w:uiPriority w:val="9"/>
    <w:qFormat/>
    <w:rsid w:val="00DB20A1"/>
    <w:pPr>
      <w:keepNext/>
      <w:keepLines/>
      <w:spacing w:before="480" w:after="0"/>
      <w:jc w:val="center"/>
      <w:outlineLvl w:val="0"/>
    </w:pPr>
    <w:rPr>
      <w:rFonts w:eastAsiaTheme="majorEastAsia" w:cstheme="majorBidi"/>
      <w:b/>
      <w:bCs/>
      <w:caps/>
      <w:sz w:val="32"/>
      <w:szCs w:val="28"/>
    </w:rPr>
  </w:style>
  <w:style w:type="paragraph" w:styleId="Heading2">
    <w:name w:val="heading 2"/>
    <w:basedOn w:val="Normal"/>
    <w:link w:val="Heading2Char"/>
    <w:uiPriority w:val="9"/>
    <w:qFormat/>
    <w:rsid w:val="00DB20A1"/>
    <w:pPr>
      <w:spacing w:before="220" w:beforeAutospacing="1" w:after="220" w:afterAutospacing="1" w:line="240" w:lineRule="auto"/>
      <w:jc w:val="center"/>
      <w:outlineLvl w:val="1"/>
    </w:pPr>
    <w:rPr>
      <w:rFonts w:eastAsia="Times New Roman"/>
      <w:b/>
      <w:bCs/>
      <w:sz w:val="28"/>
      <w:szCs w:val="28"/>
      <w:lang w:eastAsia="es-ES"/>
    </w:rPr>
  </w:style>
  <w:style w:type="paragraph" w:styleId="Heading3">
    <w:name w:val="heading 3"/>
    <w:basedOn w:val="Normal"/>
    <w:next w:val="Normal"/>
    <w:link w:val="Heading3Char"/>
    <w:uiPriority w:val="9"/>
    <w:unhideWhenUsed/>
    <w:qFormat/>
    <w:rsid w:val="008417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33C"/>
    <w:rPr>
      <w:color w:val="0000FF" w:themeColor="hyperlink"/>
      <w:u w:val="single"/>
    </w:rPr>
  </w:style>
  <w:style w:type="character" w:styleId="FollowedHyperlink">
    <w:name w:val="FollowedHyperlink"/>
    <w:basedOn w:val="DefaultParagraphFont"/>
    <w:uiPriority w:val="99"/>
    <w:semiHidden/>
    <w:unhideWhenUsed/>
    <w:rsid w:val="001160F9"/>
    <w:rPr>
      <w:color w:val="800080" w:themeColor="followedHyperlink"/>
      <w:u w:val="single"/>
    </w:rPr>
  </w:style>
  <w:style w:type="paragraph" w:styleId="ListParagraph">
    <w:name w:val="List Paragraph"/>
    <w:basedOn w:val="Normal"/>
    <w:uiPriority w:val="34"/>
    <w:qFormat/>
    <w:rsid w:val="009940A7"/>
    <w:pPr>
      <w:ind w:left="720"/>
      <w:contextualSpacing/>
    </w:pPr>
  </w:style>
  <w:style w:type="table" w:styleId="TableGrid">
    <w:name w:val="Table Grid"/>
    <w:basedOn w:val="TableNormal"/>
    <w:uiPriority w:val="59"/>
    <w:rsid w:val="00197D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C90553"/>
  </w:style>
  <w:style w:type="paragraph" w:styleId="BalloonText">
    <w:name w:val="Balloon Text"/>
    <w:basedOn w:val="Normal"/>
    <w:link w:val="BalloonTextChar"/>
    <w:uiPriority w:val="99"/>
    <w:semiHidden/>
    <w:unhideWhenUsed/>
    <w:rsid w:val="000C4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949"/>
    <w:rPr>
      <w:rFonts w:ascii="Tahoma" w:hAnsi="Tahoma" w:cs="Tahoma"/>
      <w:sz w:val="16"/>
      <w:szCs w:val="16"/>
    </w:rPr>
  </w:style>
  <w:style w:type="paragraph" w:styleId="NoSpacing">
    <w:name w:val="No Spacing"/>
    <w:link w:val="NoSpacingChar"/>
    <w:uiPriority w:val="1"/>
    <w:qFormat/>
    <w:rsid w:val="00BB7DC6"/>
    <w:pPr>
      <w:spacing w:after="0" w:line="240" w:lineRule="auto"/>
    </w:pPr>
    <w:rPr>
      <w:lang w:val="en-US"/>
    </w:rPr>
  </w:style>
  <w:style w:type="character" w:customStyle="1" w:styleId="NoSpacingChar">
    <w:name w:val="No Spacing Char"/>
    <w:basedOn w:val="DefaultParagraphFont"/>
    <w:link w:val="NoSpacing"/>
    <w:uiPriority w:val="1"/>
    <w:rsid w:val="00BB7DC6"/>
    <w:rPr>
      <w:rFonts w:eastAsiaTheme="minorEastAsia"/>
      <w:lang w:val="en-US"/>
    </w:rPr>
  </w:style>
  <w:style w:type="character" w:customStyle="1" w:styleId="Heading2Char">
    <w:name w:val="Heading 2 Char"/>
    <w:basedOn w:val="DefaultParagraphFont"/>
    <w:link w:val="Heading2"/>
    <w:uiPriority w:val="9"/>
    <w:rsid w:val="00DB20A1"/>
    <w:rPr>
      <w:rFonts w:ascii="Times New Roman" w:eastAsia="Times New Roman" w:hAnsi="Times New Roman" w:cs="Times New Roman"/>
      <w:b/>
      <w:bCs/>
      <w:sz w:val="28"/>
      <w:szCs w:val="28"/>
      <w:lang w:eastAsia="es-ES"/>
    </w:rPr>
  </w:style>
  <w:style w:type="character" w:customStyle="1" w:styleId="Heading1Char">
    <w:name w:val="Heading 1 Char"/>
    <w:basedOn w:val="DefaultParagraphFont"/>
    <w:link w:val="Heading1"/>
    <w:uiPriority w:val="9"/>
    <w:rsid w:val="00DB20A1"/>
    <w:rPr>
      <w:rFonts w:ascii="Times New Roman" w:eastAsiaTheme="majorEastAsia" w:hAnsi="Times New Roman" w:cstheme="majorBidi"/>
      <w:b/>
      <w:bCs/>
      <w:caps/>
      <w:sz w:val="32"/>
      <w:szCs w:val="28"/>
    </w:rPr>
  </w:style>
  <w:style w:type="paragraph" w:styleId="Header">
    <w:name w:val="header"/>
    <w:basedOn w:val="Normal"/>
    <w:link w:val="HeaderChar"/>
    <w:uiPriority w:val="99"/>
    <w:unhideWhenUsed/>
    <w:rsid w:val="00DB20A1"/>
    <w:pPr>
      <w:tabs>
        <w:tab w:val="center" w:pos="4252"/>
        <w:tab w:val="right" w:pos="8504"/>
      </w:tabs>
      <w:spacing w:after="0" w:line="240" w:lineRule="auto"/>
    </w:pPr>
  </w:style>
  <w:style w:type="character" w:customStyle="1" w:styleId="HeaderChar">
    <w:name w:val="Header Char"/>
    <w:basedOn w:val="DefaultParagraphFont"/>
    <w:link w:val="Header"/>
    <w:uiPriority w:val="99"/>
    <w:rsid w:val="00DB20A1"/>
  </w:style>
  <w:style w:type="paragraph" w:styleId="Footer">
    <w:name w:val="footer"/>
    <w:basedOn w:val="Normal"/>
    <w:link w:val="FooterChar"/>
    <w:unhideWhenUsed/>
    <w:rsid w:val="00DB20A1"/>
    <w:pPr>
      <w:tabs>
        <w:tab w:val="center" w:pos="4252"/>
        <w:tab w:val="right" w:pos="8504"/>
      </w:tabs>
      <w:spacing w:after="0" w:line="240" w:lineRule="auto"/>
    </w:pPr>
  </w:style>
  <w:style w:type="character" w:customStyle="1" w:styleId="FooterChar">
    <w:name w:val="Footer Char"/>
    <w:basedOn w:val="DefaultParagraphFont"/>
    <w:link w:val="Footer"/>
    <w:rsid w:val="00DB20A1"/>
  </w:style>
  <w:style w:type="paragraph" w:styleId="TOCHeading">
    <w:name w:val="TOC Heading"/>
    <w:basedOn w:val="Heading1"/>
    <w:next w:val="Normal"/>
    <w:uiPriority w:val="39"/>
    <w:unhideWhenUsed/>
    <w:qFormat/>
    <w:rsid w:val="00777DD4"/>
    <w:pPr>
      <w:jc w:val="left"/>
      <w:outlineLvl w:val="9"/>
    </w:pPr>
    <w:rPr>
      <w:rFonts w:asciiTheme="majorHAnsi" w:hAnsiTheme="majorHAnsi"/>
      <w:caps w:val="0"/>
      <w:color w:val="365F91" w:themeColor="accent1" w:themeShade="BF"/>
      <w:sz w:val="28"/>
      <w:lang w:val="en-US"/>
    </w:rPr>
  </w:style>
  <w:style w:type="paragraph" w:styleId="TOC1">
    <w:name w:val="toc 1"/>
    <w:basedOn w:val="Normal"/>
    <w:next w:val="Normal"/>
    <w:autoRedefine/>
    <w:uiPriority w:val="39"/>
    <w:unhideWhenUsed/>
    <w:rsid w:val="00290A04"/>
    <w:pPr>
      <w:tabs>
        <w:tab w:val="left" w:pos="440"/>
        <w:tab w:val="right" w:leader="dot" w:pos="9628"/>
      </w:tabs>
      <w:spacing w:after="100"/>
    </w:pPr>
    <w:rPr>
      <w:caps/>
      <w:noProof/>
      <w:lang w:val="lt-LT"/>
    </w:rPr>
  </w:style>
  <w:style w:type="paragraph" w:styleId="TOC2">
    <w:name w:val="toc 2"/>
    <w:basedOn w:val="Normal"/>
    <w:next w:val="Normal"/>
    <w:autoRedefine/>
    <w:uiPriority w:val="39"/>
    <w:unhideWhenUsed/>
    <w:rsid w:val="00777DD4"/>
    <w:pPr>
      <w:spacing w:after="100"/>
      <w:ind w:left="220"/>
    </w:pPr>
  </w:style>
  <w:style w:type="paragraph" w:styleId="NormalWeb">
    <w:name w:val="Normal (Web)"/>
    <w:basedOn w:val="Normal"/>
    <w:uiPriority w:val="99"/>
    <w:unhideWhenUsed/>
    <w:rsid w:val="00C02D4A"/>
    <w:pPr>
      <w:spacing w:before="100" w:beforeAutospacing="1" w:after="100" w:afterAutospacing="1" w:line="240" w:lineRule="auto"/>
    </w:pPr>
    <w:rPr>
      <w:szCs w:val="24"/>
    </w:rPr>
  </w:style>
  <w:style w:type="character" w:customStyle="1" w:styleId="Heading3Char">
    <w:name w:val="Heading 3 Char"/>
    <w:basedOn w:val="DefaultParagraphFont"/>
    <w:link w:val="Heading3"/>
    <w:uiPriority w:val="9"/>
    <w:rsid w:val="008417EF"/>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4665BD"/>
    <w:pPr>
      <w:spacing w:after="100" w:line="276" w:lineRule="auto"/>
      <w:ind w:left="440"/>
      <w:jc w:val="left"/>
    </w:pPr>
    <w:rPr>
      <w:rFonts w:asciiTheme="minorHAnsi" w:hAnsiTheme="minorHAnsi"/>
      <w:sz w:val="22"/>
      <w:lang w:val="es-ES" w:eastAsia="es-ES"/>
    </w:rPr>
  </w:style>
  <w:style w:type="paragraph" w:styleId="TOC4">
    <w:name w:val="toc 4"/>
    <w:basedOn w:val="Normal"/>
    <w:next w:val="Normal"/>
    <w:autoRedefine/>
    <w:uiPriority w:val="39"/>
    <w:unhideWhenUsed/>
    <w:rsid w:val="004665BD"/>
    <w:pPr>
      <w:spacing w:after="100" w:line="276" w:lineRule="auto"/>
      <w:ind w:left="660"/>
      <w:jc w:val="left"/>
    </w:pPr>
    <w:rPr>
      <w:rFonts w:asciiTheme="minorHAnsi" w:hAnsiTheme="minorHAnsi"/>
      <w:sz w:val="22"/>
      <w:lang w:val="es-ES" w:eastAsia="es-ES"/>
    </w:rPr>
  </w:style>
  <w:style w:type="paragraph" w:styleId="TOC5">
    <w:name w:val="toc 5"/>
    <w:basedOn w:val="Normal"/>
    <w:next w:val="Normal"/>
    <w:autoRedefine/>
    <w:uiPriority w:val="39"/>
    <w:unhideWhenUsed/>
    <w:rsid w:val="004665BD"/>
    <w:pPr>
      <w:spacing w:after="100" w:line="276" w:lineRule="auto"/>
      <w:ind w:left="880"/>
      <w:jc w:val="left"/>
    </w:pPr>
    <w:rPr>
      <w:rFonts w:asciiTheme="minorHAnsi" w:hAnsiTheme="minorHAnsi"/>
      <w:sz w:val="22"/>
      <w:lang w:val="es-ES" w:eastAsia="es-ES"/>
    </w:rPr>
  </w:style>
  <w:style w:type="paragraph" w:styleId="TOC6">
    <w:name w:val="toc 6"/>
    <w:basedOn w:val="Normal"/>
    <w:next w:val="Normal"/>
    <w:autoRedefine/>
    <w:uiPriority w:val="39"/>
    <w:unhideWhenUsed/>
    <w:rsid w:val="004665BD"/>
    <w:pPr>
      <w:spacing w:after="100" w:line="276" w:lineRule="auto"/>
      <w:ind w:left="1100"/>
      <w:jc w:val="left"/>
    </w:pPr>
    <w:rPr>
      <w:rFonts w:asciiTheme="minorHAnsi" w:hAnsiTheme="minorHAnsi"/>
      <w:sz w:val="22"/>
      <w:lang w:val="es-ES" w:eastAsia="es-ES"/>
    </w:rPr>
  </w:style>
  <w:style w:type="paragraph" w:styleId="TOC7">
    <w:name w:val="toc 7"/>
    <w:basedOn w:val="Normal"/>
    <w:next w:val="Normal"/>
    <w:autoRedefine/>
    <w:uiPriority w:val="39"/>
    <w:unhideWhenUsed/>
    <w:rsid w:val="004665BD"/>
    <w:pPr>
      <w:spacing w:after="100" w:line="276" w:lineRule="auto"/>
      <w:ind w:left="1320"/>
      <w:jc w:val="left"/>
    </w:pPr>
    <w:rPr>
      <w:rFonts w:asciiTheme="minorHAnsi" w:hAnsiTheme="minorHAnsi"/>
      <w:sz w:val="22"/>
      <w:lang w:val="es-ES" w:eastAsia="es-ES"/>
    </w:rPr>
  </w:style>
  <w:style w:type="paragraph" w:styleId="TOC8">
    <w:name w:val="toc 8"/>
    <w:basedOn w:val="Normal"/>
    <w:next w:val="Normal"/>
    <w:autoRedefine/>
    <w:uiPriority w:val="39"/>
    <w:unhideWhenUsed/>
    <w:rsid w:val="004665BD"/>
    <w:pPr>
      <w:spacing w:after="100" w:line="276" w:lineRule="auto"/>
      <w:ind w:left="1540"/>
      <w:jc w:val="left"/>
    </w:pPr>
    <w:rPr>
      <w:rFonts w:asciiTheme="minorHAnsi" w:hAnsiTheme="minorHAnsi"/>
      <w:sz w:val="22"/>
      <w:lang w:val="es-ES" w:eastAsia="es-ES"/>
    </w:rPr>
  </w:style>
  <w:style w:type="paragraph" w:styleId="TOC9">
    <w:name w:val="toc 9"/>
    <w:basedOn w:val="Normal"/>
    <w:next w:val="Normal"/>
    <w:autoRedefine/>
    <w:uiPriority w:val="39"/>
    <w:unhideWhenUsed/>
    <w:rsid w:val="004665BD"/>
    <w:pPr>
      <w:spacing w:after="100" w:line="276" w:lineRule="auto"/>
      <w:ind w:left="1760"/>
      <w:jc w:val="left"/>
    </w:pPr>
    <w:rPr>
      <w:rFonts w:asciiTheme="minorHAnsi" w:hAnsiTheme="minorHAnsi"/>
      <w:sz w:val="22"/>
      <w:lang w:val="es-ES" w:eastAsia="es-ES"/>
    </w:rPr>
  </w:style>
  <w:style w:type="character" w:styleId="PlaceholderText">
    <w:name w:val="Placeholder Text"/>
    <w:basedOn w:val="DefaultParagraphFont"/>
    <w:uiPriority w:val="99"/>
    <w:semiHidden/>
    <w:rsid w:val="004A4A1E"/>
    <w:rPr>
      <w:color w:val="808080"/>
    </w:rPr>
  </w:style>
  <w:style w:type="paragraph" w:styleId="FootnoteText">
    <w:name w:val="footnote text"/>
    <w:aliases w:val="Footnote,Footnote Text Char Char,Fußnotentextf"/>
    <w:basedOn w:val="Normal"/>
    <w:link w:val="FootnoteTextChar"/>
    <w:semiHidden/>
    <w:rsid w:val="00C22310"/>
    <w:pPr>
      <w:spacing w:after="0" w:line="240" w:lineRule="auto"/>
      <w:jc w:val="left"/>
    </w:pPr>
    <w:rPr>
      <w:rFonts w:eastAsia="Times New Roman"/>
      <w:sz w:val="20"/>
      <w:szCs w:val="20"/>
      <w:lang w:val="lt-LT" w:eastAsia="en-US"/>
    </w:rPr>
  </w:style>
  <w:style w:type="character" w:customStyle="1" w:styleId="FootnoteTextChar">
    <w:name w:val="Footnote Text Char"/>
    <w:aliases w:val="Footnote Char,Footnote Text Char Char Char,Fußnotentextf Char"/>
    <w:basedOn w:val="DefaultParagraphFont"/>
    <w:link w:val="FootnoteText"/>
    <w:semiHidden/>
    <w:rsid w:val="00C22310"/>
    <w:rPr>
      <w:rFonts w:ascii="Times New Roman" w:eastAsia="Times New Roman" w:hAnsi="Times New Roman" w:cs="Times New Roman"/>
      <w:sz w:val="20"/>
      <w:szCs w:val="20"/>
      <w:lang w:val="lt-LT" w:eastAsia="en-US"/>
    </w:rPr>
  </w:style>
  <w:style w:type="character" w:styleId="FootnoteReference">
    <w:name w:val="footnote reference"/>
    <w:semiHidden/>
    <w:rsid w:val="00C22310"/>
    <w:rPr>
      <w:vertAlign w:val="superscript"/>
    </w:rPr>
  </w:style>
  <w:style w:type="paragraph" w:styleId="BodyTextIndent">
    <w:name w:val="Body Text Indent"/>
    <w:basedOn w:val="Normal"/>
    <w:link w:val="BodyTextIndentChar"/>
    <w:rsid w:val="00C22310"/>
    <w:pPr>
      <w:spacing w:after="0" w:line="240" w:lineRule="auto"/>
      <w:ind w:firstLine="360"/>
    </w:pPr>
    <w:rPr>
      <w:rFonts w:eastAsia="Times New Roman"/>
      <w:szCs w:val="24"/>
      <w:lang w:val="lt-LT" w:eastAsia="en-US"/>
    </w:rPr>
  </w:style>
  <w:style w:type="character" w:customStyle="1" w:styleId="BodyTextIndentChar">
    <w:name w:val="Body Text Indent Char"/>
    <w:basedOn w:val="DefaultParagraphFont"/>
    <w:link w:val="BodyTextIndent"/>
    <w:rsid w:val="00C22310"/>
    <w:rPr>
      <w:rFonts w:ascii="Times New Roman" w:eastAsia="Times New Roman" w:hAnsi="Times New Roman" w:cs="Times New Roman"/>
      <w:sz w:val="24"/>
      <w:szCs w:val="24"/>
      <w:lang w:val="lt-LT" w:eastAsia="en-US"/>
    </w:rPr>
  </w:style>
  <w:style w:type="paragraph" w:customStyle="1" w:styleId="Style1">
    <w:name w:val="Style1"/>
    <w:basedOn w:val="Heading1"/>
    <w:link w:val="Style1Char"/>
    <w:qFormat/>
    <w:rsid w:val="00D83121"/>
    <w:pPr>
      <w:keepLines w:val="0"/>
      <w:spacing w:before="0" w:line="240" w:lineRule="auto"/>
    </w:pPr>
    <w:rPr>
      <w:rFonts w:ascii="TimesLT" w:eastAsia="Times New Roman" w:hAnsi="TimesLT" w:cs="Times New Roman"/>
      <w:bCs w:val="0"/>
      <w:caps w:val="0"/>
      <w:szCs w:val="32"/>
      <w:lang w:val="lt-LT"/>
    </w:rPr>
  </w:style>
  <w:style w:type="character" w:customStyle="1" w:styleId="Style1Char">
    <w:name w:val="Style1 Char"/>
    <w:link w:val="Style1"/>
    <w:rsid w:val="00D83121"/>
    <w:rPr>
      <w:rFonts w:ascii="TimesLT" w:eastAsia="Times New Roman" w:hAnsi="TimesLT" w:cs="Times New Roman"/>
      <w:b/>
      <w:sz w:val="32"/>
      <w:szCs w:val="32"/>
      <w:lang w:val="lt-LT"/>
    </w:rPr>
  </w:style>
  <w:style w:type="character" w:styleId="Strong">
    <w:name w:val="Strong"/>
    <w:basedOn w:val="DefaultParagraphFont"/>
    <w:uiPriority w:val="22"/>
    <w:qFormat/>
    <w:rsid w:val="00601484"/>
    <w:rPr>
      <w:b/>
      <w:bCs/>
    </w:rPr>
  </w:style>
  <w:style w:type="character" w:customStyle="1" w:styleId="nolink">
    <w:name w:val="nolink"/>
    <w:basedOn w:val="DefaultParagraphFont"/>
    <w:rsid w:val="00601484"/>
  </w:style>
  <w:style w:type="paragraph" w:styleId="BodyText2">
    <w:name w:val="Body Text 2"/>
    <w:basedOn w:val="Normal"/>
    <w:link w:val="BodyText2Char"/>
    <w:uiPriority w:val="99"/>
    <w:semiHidden/>
    <w:unhideWhenUsed/>
    <w:rsid w:val="007D20EF"/>
    <w:pPr>
      <w:spacing w:after="120" w:line="480" w:lineRule="auto"/>
    </w:pPr>
  </w:style>
  <w:style w:type="character" w:customStyle="1" w:styleId="BodyText2Char">
    <w:name w:val="Body Text 2 Char"/>
    <w:basedOn w:val="DefaultParagraphFont"/>
    <w:link w:val="BodyText2"/>
    <w:uiPriority w:val="99"/>
    <w:semiHidden/>
    <w:rsid w:val="007D20EF"/>
    <w:rPr>
      <w:rFonts w:ascii="Times New Roman" w:hAnsi="Times New Roman" w:cs="Times New Roman"/>
      <w:sz w:val="24"/>
    </w:rPr>
  </w:style>
  <w:style w:type="paragraph" w:styleId="Subtitle">
    <w:name w:val="Subtitle"/>
    <w:basedOn w:val="Normal"/>
    <w:link w:val="SubtitleChar"/>
    <w:qFormat/>
    <w:rsid w:val="007D20EF"/>
    <w:pPr>
      <w:spacing w:after="0" w:line="240" w:lineRule="auto"/>
      <w:jc w:val="left"/>
    </w:pPr>
    <w:rPr>
      <w:rFonts w:eastAsia="Times New Roman"/>
      <w:b/>
      <w:sz w:val="22"/>
      <w:szCs w:val="20"/>
      <w:lang w:eastAsia="en-US"/>
    </w:rPr>
  </w:style>
  <w:style w:type="character" w:customStyle="1" w:styleId="SubtitleChar">
    <w:name w:val="Subtitle Char"/>
    <w:basedOn w:val="DefaultParagraphFont"/>
    <w:link w:val="Subtitle"/>
    <w:rsid w:val="007D20EF"/>
    <w:rPr>
      <w:rFonts w:ascii="Times New Roman" w:eastAsia="Times New Roman" w:hAnsi="Times New Roman" w:cs="Times New Roman"/>
      <w:b/>
      <w:szCs w:val="20"/>
      <w:lang w:eastAsia="en-US"/>
    </w:rPr>
  </w:style>
  <w:style w:type="paragraph" w:customStyle="1" w:styleId="NormalWeb1">
    <w:name w:val="Normal (Web)1"/>
    <w:basedOn w:val="Normal"/>
    <w:rsid w:val="007D20EF"/>
    <w:pPr>
      <w:autoSpaceDE w:val="0"/>
      <w:autoSpaceDN w:val="0"/>
      <w:adjustRightInd w:val="0"/>
      <w:spacing w:before="100" w:after="100" w:line="240" w:lineRule="auto"/>
      <w:jc w:val="left"/>
    </w:pPr>
    <w:rPr>
      <w:rFonts w:eastAsia="Times New Roman"/>
      <w:szCs w:val="20"/>
      <w:lang w:eastAsia="en-US"/>
    </w:rPr>
  </w:style>
  <w:style w:type="character" w:styleId="PageNumber">
    <w:name w:val="page number"/>
    <w:basedOn w:val="DefaultParagraphFont"/>
    <w:rsid w:val="007D20EF"/>
  </w:style>
  <w:style w:type="paragraph" w:styleId="Title">
    <w:name w:val="Title"/>
    <w:basedOn w:val="Normal"/>
    <w:link w:val="TitleChar"/>
    <w:qFormat/>
    <w:rsid w:val="007D20EF"/>
    <w:pPr>
      <w:spacing w:after="0" w:line="240" w:lineRule="auto"/>
      <w:jc w:val="center"/>
    </w:pPr>
    <w:rPr>
      <w:rFonts w:eastAsia="Times New Roman"/>
      <w:szCs w:val="24"/>
      <w:lang w:val="lt-LT" w:eastAsia="en-US"/>
    </w:rPr>
  </w:style>
  <w:style w:type="character" w:customStyle="1" w:styleId="TitleChar">
    <w:name w:val="Title Char"/>
    <w:basedOn w:val="DefaultParagraphFont"/>
    <w:link w:val="Title"/>
    <w:rsid w:val="007D20EF"/>
    <w:rPr>
      <w:rFonts w:ascii="Times New Roman" w:eastAsia="Times New Roman" w:hAnsi="Times New Roman" w:cs="Times New Roman"/>
      <w:sz w:val="24"/>
      <w:szCs w:val="24"/>
      <w:lang w:val="lt-LT" w:eastAsia="en-US"/>
    </w:rPr>
  </w:style>
  <w:style w:type="paragraph" w:customStyle="1" w:styleId="normaltext">
    <w:name w:val="normal text"/>
    <w:basedOn w:val="Header"/>
    <w:rsid w:val="007D20EF"/>
    <w:pPr>
      <w:tabs>
        <w:tab w:val="clear" w:pos="4252"/>
        <w:tab w:val="clear" w:pos="8504"/>
        <w:tab w:val="center" w:pos="4153"/>
        <w:tab w:val="right" w:pos="8306"/>
      </w:tabs>
      <w:spacing w:after="240"/>
    </w:pPr>
    <w:rPr>
      <w:rFonts w:eastAsia="Times New Roman"/>
      <w:szCs w:val="20"/>
      <w:lang w:eastAsia="lt-LT"/>
    </w:rPr>
  </w:style>
  <w:style w:type="character" w:customStyle="1" w:styleId="typewriter">
    <w:name w:val="typewriter"/>
    <w:basedOn w:val="DefaultParagraphFont"/>
    <w:rsid w:val="007D20EF"/>
  </w:style>
  <w:style w:type="character" w:customStyle="1" w:styleId="aa1">
    <w:name w:val="aa1"/>
    <w:basedOn w:val="DefaultParagraphFont"/>
    <w:rsid w:val="007D20EF"/>
  </w:style>
  <w:style w:type="character" w:styleId="Emphasis">
    <w:name w:val="Emphasis"/>
    <w:qFormat/>
    <w:rsid w:val="007D20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30783">
      <w:bodyDiv w:val="1"/>
      <w:marLeft w:val="0"/>
      <w:marRight w:val="0"/>
      <w:marTop w:val="0"/>
      <w:marBottom w:val="0"/>
      <w:divBdr>
        <w:top w:val="none" w:sz="0" w:space="0" w:color="auto"/>
        <w:left w:val="none" w:sz="0" w:space="0" w:color="auto"/>
        <w:bottom w:val="none" w:sz="0" w:space="0" w:color="auto"/>
        <w:right w:val="none" w:sz="0" w:space="0" w:color="auto"/>
      </w:divBdr>
    </w:div>
    <w:div w:id="384722470">
      <w:bodyDiv w:val="1"/>
      <w:marLeft w:val="0"/>
      <w:marRight w:val="0"/>
      <w:marTop w:val="0"/>
      <w:marBottom w:val="0"/>
      <w:divBdr>
        <w:top w:val="none" w:sz="0" w:space="0" w:color="auto"/>
        <w:left w:val="none" w:sz="0" w:space="0" w:color="auto"/>
        <w:bottom w:val="none" w:sz="0" w:space="0" w:color="auto"/>
        <w:right w:val="none" w:sz="0" w:space="0" w:color="auto"/>
      </w:divBdr>
      <w:divsChild>
        <w:div w:id="161118081">
          <w:marLeft w:val="0"/>
          <w:marRight w:val="0"/>
          <w:marTop w:val="0"/>
          <w:marBottom w:val="120"/>
          <w:divBdr>
            <w:top w:val="none" w:sz="0" w:space="0" w:color="auto"/>
            <w:left w:val="none" w:sz="0" w:space="0" w:color="auto"/>
            <w:bottom w:val="none" w:sz="0" w:space="0" w:color="auto"/>
            <w:right w:val="none" w:sz="0" w:space="0" w:color="auto"/>
          </w:divBdr>
          <w:divsChild>
            <w:div w:id="1765613817">
              <w:marLeft w:val="0"/>
              <w:marRight w:val="0"/>
              <w:marTop w:val="0"/>
              <w:marBottom w:val="0"/>
              <w:divBdr>
                <w:top w:val="none" w:sz="0" w:space="0" w:color="auto"/>
                <w:left w:val="none" w:sz="0" w:space="0" w:color="auto"/>
                <w:bottom w:val="none" w:sz="0" w:space="0" w:color="auto"/>
                <w:right w:val="none" w:sz="0" w:space="0" w:color="auto"/>
              </w:divBdr>
            </w:div>
          </w:divsChild>
        </w:div>
        <w:div w:id="109204269">
          <w:marLeft w:val="0"/>
          <w:marRight w:val="0"/>
          <w:marTop w:val="0"/>
          <w:marBottom w:val="0"/>
          <w:divBdr>
            <w:top w:val="none" w:sz="0" w:space="0" w:color="auto"/>
            <w:left w:val="none" w:sz="0" w:space="0" w:color="auto"/>
            <w:bottom w:val="none" w:sz="0" w:space="0" w:color="auto"/>
            <w:right w:val="none" w:sz="0" w:space="0" w:color="auto"/>
          </w:divBdr>
          <w:divsChild>
            <w:div w:id="11162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039233">
      <w:bodyDiv w:val="1"/>
      <w:marLeft w:val="0"/>
      <w:marRight w:val="0"/>
      <w:marTop w:val="0"/>
      <w:marBottom w:val="0"/>
      <w:divBdr>
        <w:top w:val="none" w:sz="0" w:space="0" w:color="auto"/>
        <w:left w:val="none" w:sz="0" w:space="0" w:color="auto"/>
        <w:bottom w:val="none" w:sz="0" w:space="0" w:color="auto"/>
        <w:right w:val="none" w:sz="0" w:space="0" w:color="auto"/>
      </w:divBdr>
    </w:div>
    <w:div w:id="606037605">
      <w:bodyDiv w:val="1"/>
      <w:marLeft w:val="0"/>
      <w:marRight w:val="0"/>
      <w:marTop w:val="0"/>
      <w:marBottom w:val="0"/>
      <w:divBdr>
        <w:top w:val="none" w:sz="0" w:space="0" w:color="auto"/>
        <w:left w:val="none" w:sz="0" w:space="0" w:color="auto"/>
        <w:bottom w:val="none" w:sz="0" w:space="0" w:color="auto"/>
        <w:right w:val="none" w:sz="0" w:space="0" w:color="auto"/>
      </w:divBdr>
      <w:divsChild>
        <w:div w:id="1906529963">
          <w:marLeft w:val="0"/>
          <w:marRight w:val="0"/>
          <w:marTop w:val="0"/>
          <w:marBottom w:val="120"/>
          <w:divBdr>
            <w:top w:val="none" w:sz="0" w:space="0" w:color="auto"/>
            <w:left w:val="none" w:sz="0" w:space="0" w:color="auto"/>
            <w:bottom w:val="none" w:sz="0" w:space="0" w:color="auto"/>
            <w:right w:val="none" w:sz="0" w:space="0" w:color="auto"/>
          </w:divBdr>
          <w:divsChild>
            <w:div w:id="743189803">
              <w:marLeft w:val="0"/>
              <w:marRight w:val="0"/>
              <w:marTop w:val="0"/>
              <w:marBottom w:val="0"/>
              <w:divBdr>
                <w:top w:val="none" w:sz="0" w:space="0" w:color="auto"/>
                <w:left w:val="none" w:sz="0" w:space="0" w:color="auto"/>
                <w:bottom w:val="none" w:sz="0" w:space="0" w:color="auto"/>
                <w:right w:val="none" w:sz="0" w:space="0" w:color="auto"/>
              </w:divBdr>
            </w:div>
          </w:divsChild>
        </w:div>
        <w:div w:id="1372923157">
          <w:marLeft w:val="0"/>
          <w:marRight w:val="0"/>
          <w:marTop w:val="0"/>
          <w:marBottom w:val="0"/>
          <w:divBdr>
            <w:top w:val="none" w:sz="0" w:space="0" w:color="auto"/>
            <w:left w:val="none" w:sz="0" w:space="0" w:color="auto"/>
            <w:bottom w:val="none" w:sz="0" w:space="0" w:color="auto"/>
            <w:right w:val="none" w:sz="0" w:space="0" w:color="auto"/>
          </w:divBdr>
          <w:divsChild>
            <w:div w:id="9247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934127">
      <w:bodyDiv w:val="1"/>
      <w:marLeft w:val="0"/>
      <w:marRight w:val="0"/>
      <w:marTop w:val="0"/>
      <w:marBottom w:val="0"/>
      <w:divBdr>
        <w:top w:val="none" w:sz="0" w:space="0" w:color="auto"/>
        <w:left w:val="none" w:sz="0" w:space="0" w:color="auto"/>
        <w:bottom w:val="none" w:sz="0" w:space="0" w:color="auto"/>
        <w:right w:val="none" w:sz="0" w:space="0" w:color="auto"/>
      </w:divBdr>
    </w:div>
    <w:div w:id="704017989">
      <w:bodyDiv w:val="1"/>
      <w:marLeft w:val="0"/>
      <w:marRight w:val="0"/>
      <w:marTop w:val="0"/>
      <w:marBottom w:val="0"/>
      <w:divBdr>
        <w:top w:val="none" w:sz="0" w:space="0" w:color="auto"/>
        <w:left w:val="none" w:sz="0" w:space="0" w:color="auto"/>
        <w:bottom w:val="none" w:sz="0" w:space="0" w:color="auto"/>
        <w:right w:val="none" w:sz="0" w:space="0" w:color="auto"/>
      </w:divBdr>
      <w:divsChild>
        <w:div w:id="1514221503">
          <w:marLeft w:val="0"/>
          <w:marRight w:val="0"/>
          <w:marTop w:val="0"/>
          <w:marBottom w:val="120"/>
          <w:divBdr>
            <w:top w:val="none" w:sz="0" w:space="0" w:color="auto"/>
            <w:left w:val="none" w:sz="0" w:space="0" w:color="auto"/>
            <w:bottom w:val="none" w:sz="0" w:space="0" w:color="auto"/>
            <w:right w:val="none" w:sz="0" w:space="0" w:color="auto"/>
          </w:divBdr>
          <w:divsChild>
            <w:div w:id="669066295">
              <w:marLeft w:val="0"/>
              <w:marRight w:val="0"/>
              <w:marTop w:val="0"/>
              <w:marBottom w:val="0"/>
              <w:divBdr>
                <w:top w:val="none" w:sz="0" w:space="0" w:color="auto"/>
                <w:left w:val="none" w:sz="0" w:space="0" w:color="auto"/>
                <w:bottom w:val="none" w:sz="0" w:space="0" w:color="auto"/>
                <w:right w:val="none" w:sz="0" w:space="0" w:color="auto"/>
              </w:divBdr>
            </w:div>
          </w:divsChild>
        </w:div>
        <w:div w:id="950549276">
          <w:marLeft w:val="0"/>
          <w:marRight w:val="0"/>
          <w:marTop w:val="0"/>
          <w:marBottom w:val="0"/>
          <w:divBdr>
            <w:top w:val="none" w:sz="0" w:space="0" w:color="auto"/>
            <w:left w:val="none" w:sz="0" w:space="0" w:color="auto"/>
            <w:bottom w:val="none" w:sz="0" w:space="0" w:color="auto"/>
            <w:right w:val="none" w:sz="0" w:space="0" w:color="auto"/>
          </w:divBdr>
          <w:divsChild>
            <w:div w:id="133387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06456">
      <w:bodyDiv w:val="1"/>
      <w:marLeft w:val="0"/>
      <w:marRight w:val="0"/>
      <w:marTop w:val="0"/>
      <w:marBottom w:val="0"/>
      <w:divBdr>
        <w:top w:val="none" w:sz="0" w:space="0" w:color="auto"/>
        <w:left w:val="none" w:sz="0" w:space="0" w:color="auto"/>
        <w:bottom w:val="none" w:sz="0" w:space="0" w:color="auto"/>
        <w:right w:val="none" w:sz="0" w:space="0" w:color="auto"/>
      </w:divBdr>
    </w:div>
    <w:div w:id="837381629">
      <w:bodyDiv w:val="1"/>
      <w:marLeft w:val="0"/>
      <w:marRight w:val="0"/>
      <w:marTop w:val="0"/>
      <w:marBottom w:val="0"/>
      <w:divBdr>
        <w:top w:val="none" w:sz="0" w:space="0" w:color="auto"/>
        <w:left w:val="none" w:sz="0" w:space="0" w:color="auto"/>
        <w:bottom w:val="none" w:sz="0" w:space="0" w:color="auto"/>
        <w:right w:val="none" w:sz="0" w:space="0" w:color="auto"/>
      </w:divBdr>
      <w:divsChild>
        <w:div w:id="1268852941">
          <w:marLeft w:val="0"/>
          <w:marRight w:val="0"/>
          <w:marTop w:val="0"/>
          <w:marBottom w:val="120"/>
          <w:divBdr>
            <w:top w:val="none" w:sz="0" w:space="0" w:color="auto"/>
            <w:left w:val="none" w:sz="0" w:space="0" w:color="auto"/>
            <w:bottom w:val="none" w:sz="0" w:space="0" w:color="auto"/>
            <w:right w:val="none" w:sz="0" w:space="0" w:color="auto"/>
          </w:divBdr>
          <w:divsChild>
            <w:div w:id="255674101">
              <w:marLeft w:val="0"/>
              <w:marRight w:val="0"/>
              <w:marTop w:val="0"/>
              <w:marBottom w:val="0"/>
              <w:divBdr>
                <w:top w:val="none" w:sz="0" w:space="0" w:color="auto"/>
                <w:left w:val="none" w:sz="0" w:space="0" w:color="auto"/>
                <w:bottom w:val="none" w:sz="0" w:space="0" w:color="auto"/>
                <w:right w:val="none" w:sz="0" w:space="0" w:color="auto"/>
              </w:divBdr>
            </w:div>
          </w:divsChild>
        </w:div>
        <w:div w:id="1242371705">
          <w:marLeft w:val="0"/>
          <w:marRight w:val="0"/>
          <w:marTop w:val="0"/>
          <w:marBottom w:val="0"/>
          <w:divBdr>
            <w:top w:val="none" w:sz="0" w:space="0" w:color="auto"/>
            <w:left w:val="none" w:sz="0" w:space="0" w:color="auto"/>
            <w:bottom w:val="none" w:sz="0" w:space="0" w:color="auto"/>
            <w:right w:val="none" w:sz="0" w:space="0" w:color="auto"/>
          </w:divBdr>
          <w:divsChild>
            <w:div w:id="11541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2698">
      <w:bodyDiv w:val="1"/>
      <w:marLeft w:val="0"/>
      <w:marRight w:val="0"/>
      <w:marTop w:val="0"/>
      <w:marBottom w:val="0"/>
      <w:divBdr>
        <w:top w:val="none" w:sz="0" w:space="0" w:color="auto"/>
        <w:left w:val="none" w:sz="0" w:space="0" w:color="auto"/>
        <w:bottom w:val="none" w:sz="0" w:space="0" w:color="auto"/>
        <w:right w:val="none" w:sz="0" w:space="0" w:color="auto"/>
      </w:divBdr>
    </w:div>
    <w:div w:id="1096711339">
      <w:bodyDiv w:val="1"/>
      <w:marLeft w:val="0"/>
      <w:marRight w:val="0"/>
      <w:marTop w:val="0"/>
      <w:marBottom w:val="0"/>
      <w:divBdr>
        <w:top w:val="none" w:sz="0" w:space="0" w:color="auto"/>
        <w:left w:val="none" w:sz="0" w:space="0" w:color="auto"/>
        <w:bottom w:val="none" w:sz="0" w:space="0" w:color="auto"/>
        <w:right w:val="none" w:sz="0" w:space="0" w:color="auto"/>
      </w:divBdr>
      <w:divsChild>
        <w:div w:id="507258466">
          <w:marLeft w:val="0"/>
          <w:marRight w:val="0"/>
          <w:marTop w:val="0"/>
          <w:marBottom w:val="120"/>
          <w:divBdr>
            <w:top w:val="none" w:sz="0" w:space="0" w:color="auto"/>
            <w:left w:val="none" w:sz="0" w:space="0" w:color="auto"/>
            <w:bottom w:val="none" w:sz="0" w:space="0" w:color="auto"/>
            <w:right w:val="none" w:sz="0" w:space="0" w:color="auto"/>
          </w:divBdr>
          <w:divsChild>
            <w:div w:id="550386683">
              <w:marLeft w:val="0"/>
              <w:marRight w:val="0"/>
              <w:marTop w:val="0"/>
              <w:marBottom w:val="0"/>
              <w:divBdr>
                <w:top w:val="none" w:sz="0" w:space="0" w:color="auto"/>
                <w:left w:val="none" w:sz="0" w:space="0" w:color="auto"/>
                <w:bottom w:val="none" w:sz="0" w:space="0" w:color="auto"/>
                <w:right w:val="none" w:sz="0" w:space="0" w:color="auto"/>
              </w:divBdr>
            </w:div>
          </w:divsChild>
        </w:div>
        <w:div w:id="198275378">
          <w:marLeft w:val="0"/>
          <w:marRight w:val="0"/>
          <w:marTop w:val="0"/>
          <w:marBottom w:val="0"/>
          <w:divBdr>
            <w:top w:val="none" w:sz="0" w:space="0" w:color="auto"/>
            <w:left w:val="none" w:sz="0" w:space="0" w:color="auto"/>
            <w:bottom w:val="none" w:sz="0" w:space="0" w:color="auto"/>
            <w:right w:val="none" w:sz="0" w:space="0" w:color="auto"/>
          </w:divBdr>
          <w:divsChild>
            <w:div w:id="18988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36019">
      <w:bodyDiv w:val="1"/>
      <w:marLeft w:val="0"/>
      <w:marRight w:val="0"/>
      <w:marTop w:val="0"/>
      <w:marBottom w:val="0"/>
      <w:divBdr>
        <w:top w:val="none" w:sz="0" w:space="0" w:color="auto"/>
        <w:left w:val="none" w:sz="0" w:space="0" w:color="auto"/>
        <w:bottom w:val="none" w:sz="0" w:space="0" w:color="auto"/>
        <w:right w:val="none" w:sz="0" w:space="0" w:color="auto"/>
      </w:divBdr>
      <w:divsChild>
        <w:div w:id="1034502376">
          <w:marLeft w:val="0"/>
          <w:marRight w:val="0"/>
          <w:marTop w:val="0"/>
          <w:marBottom w:val="120"/>
          <w:divBdr>
            <w:top w:val="none" w:sz="0" w:space="0" w:color="auto"/>
            <w:left w:val="none" w:sz="0" w:space="0" w:color="auto"/>
            <w:bottom w:val="none" w:sz="0" w:space="0" w:color="auto"/>
            <w:right w:val="none" w:sz="0" w:space="0" w:color="auto"/>
          </w:divBdr>
          <w:divsChild>
            <w:div w:id="1314067339">
              <w:marLeft w:val="0"/>
              <w:marRight w:val="0"/>
              <w:marTop w:val="0"/>
              <w:marBottom w:val="0"/>
              <w:divBdr>
                <w:top w:val="none" w:sz="0" w:space="0" w:color="auto"/>
                <w:left w:val="none" w:sz="0" w:space="0" w:color="auto"/>
                <w:bottom w:val="none" w:sz="0" w:space="0" w:color="auto"/>
                <w:right w:val="none" w:sz="0" w:space="0" w:color="auto"/>
              </w:divBdr>
            </w:div>
          </w:divsChild>
        </w:div>
        <w:div w:id="1764690666">
          <w:marLeft w:val="0"/>
          <w:marRight w:val="0"/>
          <w:marTop w:val="0"/>
          <w:marBottom w:val="0"/>
          <w:divBdr>
            <w:top w:val="none" w:sz="0" w:space="0" w:color="auto"/>
            <w:left w:val="none" w:sz="0" w:space="0" w:color="auto"/>
            <w:bottom w:val="none" w:sz="0" w:space="0" w:color="auto"/>
            <w:right w:val="none" w:sz="0" w:space="0" w:color="auto"/>
          </w:divBdr>
          <w:divsChild>
            <w:div w:id="4861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06025">
      <w:bodyDiv w:val="1"/>
      <w:marLeft w:val="0"/>
      <w:marRight w:val="0"/>
      <w:marTop w:val="0"/>
      <w:marBottom w:val="0"/>
      <w:divBdr>
        <w:top w:val="none" w:sz="0" w:space="0" w:color="auto"/>
        <w:left w:val="none" w:sz="0" w:space="0" w:color="auto"/>
        <w:bottom w:val="none" w:sz="0" w:space="0" w:color="auto"/>
        <w:right w:val="none" w:sz="0" w:space="0" w:color="auto"/>
      </w:divBdr>
    </w:div>
    <w:div w:id="1318994245">
      <w:bodyDiv w:val="1"/>
      <w:marLeft w:val="0"/>
      <w:marRight w:val="0"/>
      <w:marTop w:val="0"/>
      <w:marBottom w:val="0"/>
      <w:divBdr>
        <w:top w:val="none" w:sz="0" w:space="0" w:color="auto"/>
        <w:left w:val="none" w:sz="0" w:space="0" w:color="auto"/>
        <w:bottom w:val="none" w:sz="0" w:space="0" w:color="auto"/>
        <w:right w:val="none" w:sz="0" w:space="0" w:color="auto"/>
      </w:divBdr>
      <w:divsChild>
        <w:div w:id="209808954">
          <w:marLeft w:val="547"/>
          <w:marRight w:val="0"/>
          <w:marTop w:val="0"/>
          <w:marBottom w:val="0"/>
          <w:divBdr>
            <w:top w:val="none" w:sz="0" w:space="0" w:color="auto"/>
            <w:left w:val="none" w:sz="0" w:space="0" w:color="auto"/>
            <w:bottom w:val="none" w:sz="0" w:space="0" w:color="auto"/>
            <w:right w:val="none" w:sz="0" w:space="0" w:color="auto"/>
          </w:divBdr>
        </w:div>
      </w:divsChild>
    </w:div>
    <w:div w:id="1354383852">
      <w:bodyDiv w:val="1"/>
      <w:marLeft w:val="0"/>
      <w:marRight w:val="0"/>
      <w:marTop w:val="0"/>
      <w:marBottom w:val="0"/>
      <w:divBdr>
        <w:top w:val="none" w:sz="0" w:space="0" w:color="auto"/>
        <w:left w:val="none" w:sz="0" w:space="0" w:color="auto"/>
        <w:bottom w:val="none" w:sz="0" w:space="0" w:color="auto"/>
        <w:right w:val="none" w:sz="0" w:space="0" w:color="auto"/>
      </w:divBdr>
    </w:div>
    <w:div w:id="1402866692">
      <w:bodyDiv w:val="1"/>
      <w:marLeft w:val="0"/>
      <w:marRight w:val="0"/>
      <w:marTop w:val="0"/>
      <w:marBottom w:val="0"/>
      <w:divBdr>
        <w:top w:val="none" w:sz="0" w:space="0" w:color="auto"/>
        <w:left w:val="none" w:sz="0" w:space="0" w:color="auto"/>
        <w:bottom w:val="none" w:sz="0" w:space="0" w:color="auto"/>
        <w:right w:val="none" w:sz="0" w:space="0" w:color="auto"/>
      </w:divBdr>
    </w:div>
    <w:div w:id="1509438780">
      <w:bodyDiv w:val="1"/>
      <w:marLeft w:val="0"/>
      <w:marRight w:val="0"/>
      <w:marTop w:val="0"/>
      <w:marBottom w:val="0"/>
      <w:divBdr>
        <w:top w:val="none" w:sz="0" w:space="0" w:color="auto"/>
        <w:left w:val="none" w:sz="0" w:space="0" w:color="auto"/>
        <w:bottom w:val="none" w:sz="0" w:space="0" w:color="auto"/>
        <w:right w:val="none" w:sz="0" w:space="0" w:color="auto"/>
      </w:divBdr>
    </w:div>
    <w:div w:id="1533684910">
      <w:bodyDiv w:val="1"/>
      <w:marLeft w:val="0"/>
      <w:marRight w:val="0"/>
      <w:marTop w:val="0"/>
      <w:marBottom w:val="0"/>
      <w:divBdr>
        <w:top w:val="none" w:sz="0" w:space="0" w:color="auto"/>
        <w:left w:val="none" w:sz="0" w:space="0" w:color="auto"/>
        <w:bottom w:val="none" w:sz="0" w:space="0" w:color="auto"/>
        <w:right w:val="none" w:sz="0" w:space="0" w:color="auto"/>
      </w:divBdr>
    </w:div>
    <w:div w:id="1606112313">
      <w:bodyDiv w:val="1"/>
      <w:marLeft w:val="0"/>
      <w:marRight w:val="0"/>
      <w:marTop w:val="0"/>
      <w:marBottom w:val="0"/>
      <w:divBdr>
        <w:top w:val="none" w:sz="0" w:space="0" w:color="auto"/>
        <w:left w:val="none" w:sz="0" w:space="0" w:color="auto"/>
        <w:bottom w:val="none" w:sz="0" w:space="0" w:color="auto"/>
        <w:right w:val="none" w:sz="0" w:space="0" w:color="auto"/>
      </w:divBdr>
      <w:divsChild>
        <w:div w:id="910310485">
          <w:marLeft w:val="0"/>
          <w:marRight w:val="0"/>
          <w:marTop w:val="0"/>
          <w:marBottom w:val="120"/>
          <w:divBdr>
            <w:top w:val="none" w:sz="0" w:space="0" w:color="auto"/>
            <w:left w:val="none" w:sz="0" w:space="0" w:color="auto"/>
            <w:bottom w:val="none" w:sz="0" w:space="0" w:color="auto"/>
            <w:right w:val="none" w:sz="0" w:space="0" w:color="auto"/>
          </w:divBdr>
          <w:divsChild>
            <w:div w:id="954140043">
              <w:marLeft w:val="0"/>
              <w:marRight w:val="0"/>
              <w:marTop w:val="0"/>
              <w:marBottom w:val="0"/>
              <w:divBdr>
                <w:top w:val="none" w:sz="0" w:space="0" w:color="auto"/>
                <w:left w:val="none" w:sz="0" w:space="0" w:color="auto"/>
                <w:bottom w:val="none" w:sz="0" w:space="0" w:color="auto"/>
                <w:right w:val="none" w:sz="0" w:space="0" w:color="auto"/>
              </w:divBdr>
            </w:div>
          </w:divsChild>
        </w:div>
        <w:div w:id="212162275">
          <w:marLeft w:val="0"/>
          <w:marRight w:val="0"/>
          <w:marTop w:val="0"/>
          <w:marBottom w:val="0"/>
          <w:divBdr>
            <w:top w:val="none" w:sz="0" w:space="0" w:color="auto"/>
            <w:left w:val="none" w:sz="0" w:space="0" w:color="auto"/>
            <w:bottom w:val="none" w:sz="0" w:space="0" w:color="auto"/>
            <w:right w:val="none" w:sz="0" w:space="0" w:color="auto"/>
          </w:divBdr>
          <w:divsChild>
            <w:div w:id="5874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7422">
      <w:bodyDiv w:val="1"/>
      <w:marLeft w:val="0"/>
      <w:marRight w:val="0"/>
      <w:marTop w:val="0"/>
      <w:marBottom w:val="0"/>
      <w:divBdr>
        <w:top w:val="none" w:sz="0" w:space="0" w:color="auto"/>
        <w:left w:val="none" w:sz="0" w:space="0" w:color="auto"/>
        <w:bottom w:val="none" w:sz="0" w:space="0" w:color="auto"/>
        <w:right w:val="none" w:sz="0" w:space="0" w:color="auto"/>
      </w:divBdr>
      <w:divsChild>
        <w:div w:id="1000431011">
          <w:marLeft w:val="0"/>
          <w:marRight w:val="0"/>
          <w:marTop w:val="0"/>
          <w:marBottom w:val="120"/>
          <w:divBdr>
            <w:top w:val="none" w:sz="0" w:space="0" w:color="auto"/>
            <w:left w:val="none" w:sz="0" w:space="0" w:color="auto"/>
            <w:bottom w:val="none" w:sz="0" w:space="0" w:color="auto"/>
            <w:right w:val="none" w:sz="0" w:space="0" w:color="auto"/>
          </w:divBdr>
          <w:divsChild>
            <w:div w:id="838079087">
              <w:marLeft w:val="0"/>
              <w:marRight w:val="0"/>
              <w:marTop w:val="0"/>
              <w:marBottom w:val="0"/>
              <w:divBdr>
                <w:top w:val="none" w:sz="0" w:space="0" w:color="auto"/>
                <w:left w:val="none" w:sz="0" w:space="0" w:color="auto"/>
                <w:bottom w:val="none" w:sz="0" w:space="0" w:color="auto"/>
                <w:right w:val="none" w:sz="0" w:space="0" w:color="auto"/>
              </w:divBdr>
            </w:div>
          </w:divsChild>
        </w:div>
        <w:div w:id="1449469643">
          <w:marLeft w:val="0"/>
          <w:marRight w:val="0"/>
          <w:marTop w:val="0"/>
          <w:marBottom w:val="0"/>
          <w:divBdr>
            <w:top w:val="none" w:sz="0" w:space="0" w:color="auto"/>
            <w:left w:val="none" w:sz="0" w:space="0" w:color="auto"/>
            <w:bottom w:val="none" w:sz="0" w:space="0" w:color="auto"/>
            <w:right w:val="none" w:sz="0" w:space="0" w:color="auto"/>
          </w:divBdr>
          <w:divsChild>
            <w:div w:id="168952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9176">
      <w:bodyDiv w:val="1"/>
      <w:marLeft w:val="0"/>
      <w:marRight w:val="0"/>
      <w:marTop w:val="0"/>
      <w:marBottom w:val="0"/>
      <w:divBdr>
        <w:top w:val="none" w:sz="0" w:space="0" w:color="auto"/>
        <w:left w:val="none" w:sz="0" w:space="0" w:color="auto"/>
        <w:bottom w:val="none" w:sz="0" w:space="0" w:color="auto"/>
        <w:right w:val="none" w:sz="0" w:space="0" w:color="auto"/>
      </w:divBdr>
      <w:divsChild>
        <w:div w:id="1512455266">
          <w:marLeft w:val="0"/>
          <w:marRight w:val="0"/>
          <w:marTop w:val="0"/>
          <w:marBottom w:val="120"/>
          <w:divBdr>
            <w:top w:val="none" w:sz="0" w:space="0" w:color="auto"/>
            <w:left w:val="none" w:sz="0" w:space="0" w:color="auto"/>
            <w:bottom w:val="none" w:sz="0" w:space="0" w:color="auto"/>
            <w:right w:val="none" w:sz="0" w:space="0" w:color="auto"/>
          </w:divBdr>
          <w:divsChild>
            <w:div w:id="759714968">
              <w:marLeft w:val="0"/>
              <w:marRight w:val="0"/>
              <w:marTop w:val="0"/>
              <w:marBottom w:val="0"/>
              <w:divBdr>
                <w:top w:val="none" w:sz="0" w:space="0" w:color="auto"/>
                <w:left w:val="none" w:sz="0" w:space="0" w:color="auto"/>
                <w:bottom w:val="none" w:sz="0" w:space="0" w:color="auto"/>
                <w:right w:val="none" w:sz="0" w:space="0" w:color="auto"/>
              </w:divBdr>
            </w:div>
          </w:divsChild>
        </w:div>
        <w:div w:id="1776749551">
          <w:marLeft w:val="0"/>
          <w:marRight w:val="0"/>
          <w:marTop w:val="0"/>
          <w:marBottom w:val="0"/>
          <w:divBdr>
            <w:top w:val="none" w:sz="0" w:space="0" w:color="auto"/>
            <w:left w:val="none" w:sz="0" w:space="0" w:color="auto"/>
            <w:bottom w:val="none" w:sz="0" w:space="0" w:color="auto"/>
            <w:right w:val="none" w:sz="0" w:space="0" w:color="auto"/>
          </w:divBdr>
          <w:divsChild>
            <w:div w:id="28878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59584">
      <w:bodyDiv w:val="1"/>
      <w:marLeft w:val="0"/>
      <w:marRight w:val="0"/>
      <w:marTop w:val="0"/>
      <w:marBottom w:val="0"/>
      <w:divBdr>
        <w:top w:val="none" w:sz="0" w:space="0" w:color="auto"/>
        <w:left w:val="none" w:sz="0" w:space="0" w:color="auto"/>
        <w:bottom w:val="none" w:sz="0" w:space="0" w:color="auto"/>
        <w:right w:val="none" w:sz="0" w:space="0" w:color="auto"/>
      </w:divBdr>
      <w:divsChild>
        <w:div w:id="922641559">
          <w:marLeft w:val="0"/>
          <w:marRight w:val="0"/>
          <w:marTop w:val="0"/>
          <w:marBottom w:val="120"/>
          <w:divBdr>
            <w:top w:val="none" w:sz="0" w:space="0" w:color="auto"/>
            <w:left w:val="none" w:sz="0" w:space="0" w:color="auto"/>
            <w:bottom w:val="none" w:sz="0" w:space="0" w:color="auto"/>
            <w:right w:val="none" w:sz="0" w:space="0" w:color="auto"/>
          </w:divBdr>
          <w:divsChild>
            <w:div w:id="911505955">
              <w:marLeft w:val="0"/>
              <w:marRight w:val="0"/>
              <w:marTop w:val="0"/>
              <w:marBottom w:val="0"/>
              <w:divBdr>
                <w:top w:val="none" w:sz="0" w:space="0" w:color="auto"/>
                <w:left w:val="none" w:sz="0" w:space="0" w:color="auto"/>
                <w:bottom w:val="none" w:sz="0" w:space="0" w:color="auto"/>
                <w:right w:val="none" w:sz="0" w:space="0" w:color="auto"/>
              </w:divBdr>
            </w:div>
          </w:divsChild>
        </w:div>
        <w:div w:id="365255992">
          <w:marLeft w:val="0"/>
          <w:marRight w:val="0"/>
          <w:marTop w:val="0"/>
          <w:marBottom w:val="0"/>
          <w:divBdr>
            <w:top w:val="none" w:sz="0" w:space="0" w:color="auto"/>
            <w:left w:val="none" w:sz="0" w:space="0" w:color="auto"/>
            <w:bottom w:val="none" w:sz="0" w:space="0" w:color="auto"/>
            <w:right w:val="none" w:sz="0" w:space="0" w:color="auto"/>
          </w:divBdr>
          <w:divsChild>
            <w:div w:id="2676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3638">
      <w:bodyDiv w:val="1"/>
      <w:marLeft w:val="0"/>
      <w:marRight w:val="0"/>
      <w:marTop w:val="0"/>
      <w:marBottom w:val="0"/>
      <w:divBdr>
        <w:top w:val="none" w:sz="0" w:space="0" w:color="auto"/>
        <w:left w:val="none" w:sz="0" w:space="0" w:color="auto"/>
        <w:bottom w:val="none" w:sz="0" w:space="0" w:color="auto"/>
        <w:right w:val="none" w:sz="0" w:space="0" w:color="auto"/>
      </w:divBdr>
      <w:divsChild>
        <w:div w:id="498807587">
          <w:marLeft w:val="0"/>
          <w:marRight w:val="0"/>
          <w:marTop w:val="0"/>
          <w:marBottom w:val="120"/>
          <w:divBdr>
            <w:top w:val="none" w:sz="0" w:space="0" w:color="auto"/>
            <w:left w:val="none" w:sz="0" w:space="0" w:color="auto"/>
            <w:bottom w:val="none" w:sz="0" w:space="0" w:color="auto"/>
            <w:right w:val="none" w:sz="0" w:space="0" w:color="auto"/>
          </w:divBdr>
          <w:divsChild>
            <w:div w:id="145170428">
              <w:marLeft w:val="0"/>
              <w:marRight w:val="0"/>
              <w:marTop w:val="0"/>
              <w:marBottom w:val="0"/>
              <w:divBdr>
                <w:top w:val="none" w:sz="0" w:space="0" w:color="auto"/>
                <w:left w:val="none" w:sz="0" w:space="0" w:color="auto"/>
                <w:bottom w:val="none" w:sz="0" w:space="0" w:color="auto"/>
                <w:right w:val="none" w:sz="0" w:space="0" w:color="auto"/>
              </w:divBdr>
            </w:div>
          </w:divsChild>
        </w:div>
        <w:div w:id="119953957">
          <w:marLeft w:val="0"/>
          <w:marRight w:val="0"/>
          <w:marTop w:val="0"/>
          <w:marBottom w:val="0"/>
          <w:divBdr>
            <w:top w:val="none" w:sz="0" w:space="0" w:color="auto"/>
            <w:left w:val="none" w:sz="0" w:space="0" w:color="auto"/>
            <w:bottom w:val="none" w:sz="0" w:space="0" w:color="auto"/>
            <w:right w:val="none" w:sz="0" w:space="0" w:color="auto"/>
          </w:divBdr>
          <w:divsChild>
            <w:div w:id="14216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5144">
      <w:bodyDiv w:val="1"/>
      <w:marLeft w:val="0"/>
      <w:marRight w:val="0"/>
      <w:marTop w:val="0"/>
      <w:marBottom w:val="0"/>
      <w:divBdr>
        <w:top w:val="none" w:sz="0" w:space="0" w:color="auto"/>
        <w:left w:val="none" w:sz="0" w:space="0" w:color="auto"/>
        <w:bottom w:val="none" w:sz="0" w:space="0" w:color="auto"/>
        <w:right w:val="none" w:sz="0" w:space="0" w:color="auto"/>
      </w:divBdr>
      <w:divsChild>
        <w:div w:id="433786500">
          <w:marLeft w:val="0"/>
          <w:marRight w:val="0"/>
          <w:marTop w:val="0"/>
          <w:marBottom w:val="120"/>
          <w:divBdr>
            <w:top w:val="none" w:sz="0" w:space="0" w:color="auto"/>
            <w:left w:val="none" w:sz="0" w:space="0" w:color="auto"/>
            <w:bottom w:val="none" w:sz="0" w:space="0" w:color="auto"/>
            <w:right w:val="none" w:sz="0" w:space="0" w:color="auto"/>
          </w:divBdr>
          <w:divsChild>
            <w:div w:id="1018963818">
              <w:marLeft w:val="0"/>
              <w:marRight w:val="0"/>
              <w:marTop w:val="0"/>
              <w:marBottom w:val="0"/>
              <w:divBdr>
                <w:top w:val="none" w:sz="0" w:space="0" w:color="auto"/>
                <w:left w:val="none" w:sz="0" w:space="0" w:color="auto"/>
                <w:bottom w:val="none" w:sz="0" w:space="0" w:color="auto"/>
                <w:right w:val="none" w:sz="0" w:space="0" w:color="auto"/>
              </w:divBdr>
            </w:div>
          </w:divsChild>
        </w:div>
        <w:div w:id="2065062581">
          <w:marLeft w:val="0"/>
          <w:marRight w:val="0"/>
          <w:marTop w:val="0"/>
          <w:marBottom w:val="0"/>
          <w:divBdr>
            <w:top w:val="none" w:sz="0" w:space="0" w:color="auto"/>
            <w:left w:val="none" w:sz="0" w:space="0" w:color="auto"/>
            <w:bottom w:val="none" w:sz="0" w:space="0" w:color="auto"/>
            <w:right w:val="none" w:sz="0" w:space="0" w:color="auto"/>
          </w:divBdr>
          <w:divsChild>
            <w:div w:id="190363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02801">
      <w:bodyDiv w:val="1"/>
      <w:marLeft w:val="0"/>
      <w:marRight w:val="0"/>
      <w:marTop w:val="0"/>
      <w:marBottom w:val="0"/>
      <w:divBdr>
        <w:top w:val="none" w:sz="0" w:space="0" w:color="auto"/>
        <w:left w:val="none" w:sz="0" w:space="0" w:color="auto"/>
        <w:bottom w:val="none" w:sz="0" w:space="0" w:color="auto"/>
        <w:right w:val="none" w:sz="0" w:space="0" w:color="auto"/>
      </w:divBdr>
      <w:divsChild>
        <w:div w:id="1738479979">
          <w:marLeft w:val="0"/>
          <w:marRight w:val="0"/>
          <w:marTop w:val="0"/>
          <w:marBottom w:val="120"/>
          <w:divBdr>
            <w:top w:val="none" w:sz="0" w:space="0" w:color="auto"/>
            <w:left w:val="none" w:sz="0" w:space="0" w:color="auto"/>
            <w:bottom w:val="none" w:sz="0" w:space="0" w:color="auto"/>
            <w:right w:val="none" w:sz="0" w:space="0" w:color="auto"/>
          </w:divBdr>
          <w:divsChild>
            <w:div w:id="1280338904">
              <w:marLeft w:val="0"/>
              <w:marRight w:val="0"/>
              <w:marTop w:val="0"/>
              <w:marBottom w:val="0"/>
              <w:divBdr>
                <w:top w:val="none" w:sz="0" w:space="0" w:color="auto"/>
                <w:left w:val="none" w:sz="0" w:space="0" w:color="auto"/>
                <w:bottom w:val="none" w:sz="0" w:space="0" w:color="auto"/>
                <w:right w:val="none" w:sz="0" w:space="0" w:color="auto"/>
              </w:divBdr>
            </w:div>
          </w:divsChild>
        </w:div>
        <w:div w:id="503669799">
          <w:marLeft w:val="0"/>
          <w:marRight w:val="0"/>
          <w:marTop w:val="0"/>
          <w:marBottom w:val="0"/>
          <w:divBdr>
            <w:top w:val="none" w:sz="0" w:space="0" w:color="auto"/>
            <w:left w:val="none" w:sz="0" w:space="0" w:color="auto"/>
            <w:bottom w:val="none" w:sz="0" w:space="0" w:color="auto"/>
            <w:right w:val="none" w:sz="0" w:space="0" w:color="auto"/>
          </w:divBdr>
          <w:divsChild>
            <w:div w:id="10700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570821">
      <w:bodyDiv w:val="1"/>
      <w:marLeft w:val="0"/>
      <w:marRight w:val="0"/>
      <w:marTop w:val="0"/>
      <w:marBottom w:val="0"/>
      <w:divBdr>
        <w:top w:val="none" w:sz="0" w:space="0" w:color="auto"/>
        <w:left w:val="none" w:sz="0" w:space="0" w:color="auto"/>
        <w:bottom w:val="none" w:sz="0" w:space="0" w:color="auto"/>
        <w:right w:val="none" w:sz="0" w:space="0" w:color="auto"/>
      </w:divBdr>
    </w:div>
    <w:div w:id="1779638186">
      <w:bodyDiv w:val="1"/>
      <w:marLeft w:val="0"/>
      <w:marRight w:val="0"/>
      <w:marTop w:val="0"/>
      <w:marBottom w:val="0"/>
      <w:divBdr>
        <w:top w:val="none" w:sz="0" w:space="0" w:color="auto"/>
        <w:left w:val="none" w:sz="0" w:space="0" w:color="auto"/>
        <w:bottom w:val="none" w:sz="0" w:space="0" w:color="auto"/>
        <w:right w:val="none" w:sz="0" w:space="0" w:color="auto"/>
      </w:divBdr>
    </w:div>
    <w:div w:id="1844314837">
      <w:bodyDiv w:val="1"/>
      <w:marLeft w:val="0"/>
      <w:marRight w:val="0"/>
      <w:marTop w:val="0"/>
      <w:marBottom w:val="0"/>
      <w:divBdr>
        <w:top w:val="none" w:sz="0" w:space="0" w:color="auto"/>
        <w:left w:val="none" w:sz="0" w:space="0" w:color="auto"/>
        <w:bottom w:val="none" w:sz="0" w:space="0" w:color="auto"/>
        <w:right w:val="none" w:sz="0" w:space="0" w:color="auto"/>
      </w:divBdr>
    </w:div>
    <w:div w:id="1863474725">
      <w:bodyDiv w:val="1"/>
      <w:marLeft w:val="0"/>
      <w:marRight w:val="0"/>
      <w:marTop w:val="0"/>
      <w:marBottom w:val="0"/>
      <w:divBdr>
        <w:top w:val="none" w:sz="0" w:space="0" w:color="auto"/>
        <w:left w:val="none" w:sz="0" w:space="0" w:color="auto"/>
        <w:bottom w:val="none" w:sz="0" w:space="0" w:color="auto"/>
        <w:right w:val="none" w:sz="0" w:space="0" w:color="auto"/>
      </w:divBdr>
    </w:div>
    <w:div w:id="1882398388">
      <w:bodyDiv w:val="1"/>
      <w:marLeft w:val="0"/>
      <w:marRight w:val="0"/>
      <w:marTop w:val="0"/>
      <w:marBottom w:val="0"/>
      <w:divBdr>
        <w:top w:val="none" w:sz="0" w:space="0" w:color="auto"/>
        <w:left w:val="none" w:sz="0" w:space="0" w:color="auto"/>
        <w:bottom w:val="none" w:sz="0" w:space="0" w:color="auto"/>
        <w:right w:val="none" w:sz="0" w:space="0" w:color="auto"/>
      </w:divBdr>
    </w:div>
    <w:div w:id="199066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chart" Target="charts/chart2.xml"/><Relationship Id="rId26" Type="http://schemas.openxmlformats.org/officeDocument/2006/relationships/hyperlink" Target="http://www.invega.lt/lt/paslaugos/lengvatines-paskolos/atviras-kreditu-fondas.htm" TargetMode="External"/><Relationship Id="rId39" Type="http://schemas.openxmlformats.org/officeDocument/2006/relationships/hyperlink" Target="http://www.bunken.nga.gr.jp/siryousitu/eturansitu/charter/iula_decl_txt.html" TargetMode="External"/><Relationship Id="rId21" Type="http://schemas.openxmlformats.org/officeDocument/2006/relationships/chart" Target="charts/chart5.xml"/><Relationship Id="rId34" Type="http://schemas.openxmlformats.org/officeDocument/2006/relationships/hyperlink" Target="http://www.ukmin.lt/web/lt/verslo_aplinka/smulkaus-ir-vidutinio-verslo-politika/verslumo-skatinimas/erasmus_jauniesiems_verslininkams" TargetMode="External"/><Relationship Id="rId42" Type="http://schemas.openxmlformats.org/officeDocument/2006/relationships/hyperlink" Target="http://www.invega.lt/lt/paslaugos/lengvatines-paskolos/mazu-kreditu-teikimas-2-etapas.htm" TargetMode="External"/><Relationship Id="rId47" Type="http://schemas.openxmlformats.org/officeDocument/2006/relationships/hyperlink" Target="http://panrs.lt/t20120223/2012t_27.pdf" TargetMode="External"/><Relationship Id="rId50" Type="http://schemas.openxmlformats.org/officeDocument/2006/relationships/hyperlink" Target="http://www.ukmin.lt/web/lt/verslo_aplinka/smulkaus-ir-vidutinio-verslo-politika/verslo_finansavimo_priemones" TargetMode="External"/><Relationship Id="rId55"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chart" Target="charts/chart1.xml"/><Relationship Id="rId25" Type="http://schemas.openxmlformats.org/officeDocument/2006/relationships/hyperlink" Target="file:///C:\Users\hp\Desktop\Bakalauro%20darbo%20med&#382;iaga\%3chttp:\etalpykla.lituanistikadb.lt\fedora\objects\LT-LDB-0001:J.04~2008~1367164719885\datastreams\DS.002.0.01.ARTIC\content" TargetMode="External"/><Relationship Id="rId33" Type="http://schemas.openxmlformats.org/officeDocument/2006/relationships/hyperlink" Target="http://www.erasmus-entrepreneurs.eu/page.php?cid=2" TargetMode="External"/><Relationship Id="rId38" Type="http://schemas.openxmlformats.org/officeDocument/2006/relationships/hyperlink" Target="http://www.invega.lt/lt/center-top/garantijos.htm" TargetMode="External"/><Relationship Id="rId46" Type="http://schemas.openxmlformats.org/officeDocument/2006/relationships/hyperlink" Target="https://www.nma.lt/uploads/files/dir730/dir36/dir1/4_0.php" TargetMode="External"/><Relationship Id="rId2" Type="http://schemas.openxmlformats.org/officeDocument/2006/relationships/numbering" Target="numbering.xml"/><Relationship Id="rId16" Type="http://schemas.openxmlformats.org/officeDocument/2006/relationships/hyperlink" Target="http://www.ukmin.lt/uploads/documents/Erasmus%20Entrepreneurs%20Anniversary%20Brochure_1.pdf" TargetMode="External"/><Relationship Id="rId20" Type="http://schemas.openxmlformats.org/officeDocument/2006/relationships/chart" Target="charts/chart4.xml"/><Relationship Id="rId29" Type="http://schemas.openxmlformats.org/officeDocument/2006/relationships/hyperlink" Target="http://193.206.48.5/eventi/innovarepercompetere/carpenter-petersen-gsmf.pdf" TargetMode="External"/><Relationship Id="rId41" Type="http://schemas.openxmlformats.org/officeDocument/2006/relationships/hyperlink" Target="http://www.invega.lt/lt/paslaugos/lengvatines-paskolos/mazu-kreditu-teikimas-1-etapas.htm"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hyperlink" Target="http://eur-lex.europa.eu/LexUriServ/LexUriServ.do?uri=COM:2008:0394:FIN:EN:PDF" TargetMode="External"/><Relationship Id="rId32" Type="http://schemas.openxmlformats.org/officeDocument/2006/relationships/hyperlink" Target="http://ec.europa.eu/enterprise/initiatives/sme-week/documents/portraits/2012/secret2012_web_lt.pdf" TargetMode="External"/><Relationship Id="rId37" Type="http://schemas.openxmlformats.org/officeDocument/2006/relationships/hyperlink" Target="http://ec.europa.eu/public_opinion/flash/fl_354_en.pdf" TargetMode="External"/><Relationship Id="rId40" Type="http://schemas.openxmlformats.org/officeDocument/2006/relationships/hyperlink" Target="https://www.google.com/url?sa=t&amp;rct=j&amp;q=&amp;esrc=s&amp;source=web&amp;cd=1&amp;ved=0CB0QFjAA&amp;url=http%3A%2F%2Fwww.vkontrole.lt%2Ffailas.aspx%3Fid%3D2852&amp;ei=fGr7VPjMDqmqywP8roGwDw&amp;usg=AFQjCNG8hEtfaG9Ppp-LC57I_5nbV-_Bsw&amp;sig2=0NdmcNBa7GDhoZ-hc0kaHg&amp;bvm=bv.87611401,d.bGQ&amp;cad=rja" TargetMode="External"/><Relationship Id="rId45" Type="http://schemas.openxmlformats.org/officeDocument/2006/relationships/hyperlink" Target="http://www.verslilietuva.lt/lt/verslo-pradzia/veikla/mokesciai/" TargetMode="External"/><Relationship Id="rId53" Type="http://schemas.openxmlformats.org/officeDocument/2006/relationships/hyperlink" Target="http://www.invega.lt/lt/paslaugos/lengvatines-paskolos/verslumo-skatinimo-fondas.htm" TargetMode="External"/><Relationship Id="rId58" Type="http://schemas.openxmlformats.org/officeDocument/2006/relationships/theme" Target="theme/theme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chart" Target="charts/chart7.xml"/><Relationship Id="rId28" Type="http://schemas.openxmlformats.org/officeDocument/2006/relationships/hyperlink" Target="http://web.a.ebscohost.com.ezproxy.vdu.lt/ehost/detail/detail?vid=8&amp;sid=e4c2634c-2f1d-47d8-86bb-3e170e6639ea%40sessionmgr4002&amp;hid=4114&amp;bdata=JnNpdGU9ZWhvc3QtbGl2ZQ%3d%3d" TargetMode="External"/><Relationship Id="rId36" Type="http://schemas.openxmlformats.org/officeDocument/2006/relationships/hyperlink" Target="http://www3.lrs.lt/pls/inter3/oldsearch.preps2?Condition1=48874&amp;Condition2" TargetMode="External"/><Relationship Id="rId49" Type="http://schemas.openxmlformats.org/officeDocument/2006/relationships/hyperlink" Target="https://www.seb.lt/verslo-klientams/finansavimas/investiciju-ir-verslo-pletros-finansavimas/kreditai" TargetMode="External"/><Relationship Id="rId57" Type="http://schemas.openxmlformats.org/officeDocument/2006/relationships/fontTable" Target="fontTable.xml"/><Relationship Id="rId10" Type="http://schemas.openxmlformats.org/officeDocument/2006/relationships/hyperlink" Target="http://www3.lrs.lt/cgi-bin/preps2?a=106367&amp;b=" TargetMode="External"/><Relationship Id="rId19" Type="http://schemas.openxmlformats.org/officeDocument/2006/relationships/chart" Target="charts/chart3.xml"/><Relationship Id="rId31" Type="http://schemas.openxmlformats.org/officeDocument/2006/relationships/hyperlink" Target="http://www.ukmin.lt/uploads/documents/Erasmus%20Entrepreneurs%20Anniversary%20Brochure_1.pdf" TargetMode="External"/><Relationship Id="rId44" Type="http://schemas.openxmlformats.org/officeDocument/2006/relationships/hyperlink" Target="http://www.ub.edu/sea2009.com/Papers/117.pdf" TargetMode="External"/><Relationship Id="rId52" Type="http://schemas.openxmlformats.org/officeDocument/2006/relationships/hyperlink" Target="http://ec.europa.eu/news/business/130110_lt.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Colors" Target="diagrams/colors1.xml"/><Relationship Id="rId22" Type="http://schemas.openxmlformats.org/officeDocument/2006/relationships/chart" Target="charts/chart6.xml"/><Relationship Id="rId27" Type="http://schemas.openxmlformats.org/officeDocument/2006/relationships/hyperlink" Target="http://www.mruni.eu/lt/mokslas/leidyba/leidiniai/dl_n.php?sfile=103917&amp;id=13967" TargetMode="External"/><Relationship Id="rId30" Type="http://schemas.openxmlformats.org/officeDocument/2006/relationships/hyperlink" Target="http://eur-lex.europa.eu/legal-content/EN/TXT/PDF/?uri=CELEX:52007DC0584&amp;from=EN" TargetMode="External"/><Relationship Id="rId35" Type="http://schemas.openxmlformats.org/officeDocument/2006/relationships/hyperlink" Target="http://www.eif.org/news_centre/publications/Jeremie_leaflet_files/jeremie_leaflet_lt.pdf" TargetMode="External"/><Relationship Id="rId43" Type="http://schemas.openxmlformats.org/officeDocument/2006/relationships/hyperlink" Target="http://etalpykla.lituanistikadb.lt/fedora/objects/LT-LDB-0001:J.04~2004~1367184243341/datastreams/DS.002.0.01.ARTIC/content" TargetMode="External"/><Relationship Id="rId48" Type="http://schemas.openxmlformats.org/officeDocument/2006/relationships/hyperlink" Target="http://ec.europa.eu/enterprise/policies/sme/promoting-entrepreneurship/index_en.htm" TargetMode="External"/><Relationship Id="rId56"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http://www.sb.lt/lt/naujienos/verslo-pletrai-banko-paskola%2C-kapitalo-investicija-arba-abu-finansavimo-saltiniai/"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Chart%20in%20Microsoft%20Office%20Word"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Chart%20in%20Microsoft%20Office%20Word"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60"/>
      <c:rotY val="342"/>
      <c:rAngAx val="0"/>
      <c:perspective val="10"/>
    </c:view3D>
    <c:floor>
      <c:thickness val="0"/>
    </c:floor>
    <c:sideWall>
      <c:thickness val="0"/>
    </c:sideWall>
    <c:backWall>
      <c:thickness val="0"/>
    </c:backWall>
    <c:plotArea>
      <c:layout>
        <c:manualLayout>
          <c:layoutTarget val="inner"/>
          <c:xMode val="edge"/>
          <c:yMode val="edge"/>
          <c:x val="6.8146081721628504E-2"/>
          <c:y val="2.958191856094999E-2"/>
          <c:w val="0.59149063237599764"/>
          <c:h val="0.86089303765362724"/>
        </c:manualLayout>
      </c:layout>
      <c:pie3DChart>
        <c:varyColors val="1"/>
        <c:ser>
          <c:idx val="0"/>
          <c:order val="0"/>
          <c:tx>
            <c:strRef>
              <c:f>'[Chart in Microsoft Office Word]Sheet1'!$B$2</c:f>
              <c:strCache>
                <c:ptCount val="1"/>
                <c:pt idx="0">
                  <c:v>10</c:v>
                </c:pt>
              </c:strCache>
            </c:strRef>
          </c:tx>
          <c:dLbls>
            <c:numFmt formatCode="0.0%" sourceLinked="0"/>
            <c:txPr>
              <a:bodyPr/>
              <a:lstStyle/>
              <a:p>
                <a:pPr>
                  <a:defRPr lang="es-ES" sz="1000"/>
                </a:pPr>
                <a:endParaRPr lang="en-US"/>
              </a:p>
            </c:txPr>
            <c:dLblPos val="outEnd"/>
            <c:showLegendKey val="0"/>
            <c:showVal val="0"/>
            <c:showCatName val="0"/>
            <c:showSerName val="0"/>
            <c:showPercent val="1"/>
            <c:showBubbleSize val="0"/>
            <c:showLeaderLines val="1"/>
          </c:dLbls>
          <c:cat>
            <c:strRef>
              <c:f>'[Chart in Microsoft Office Word]Sheet1'!$A$2:$A$6</c:f>
              <c:strCache>
                <c:ptCount val="5"/>
                <c:pt idx="0">
                  <c:v>Medienos, baldų, popieriaus</c:v>
                </c:pt>
                <c:pt idx="1">
                  <c:v>Statybos</c:v>
                </c:pt>
                <c:pt idx="2">
                  <c:v>Maisto produktų gamybos</c:v>
                </c:pt>
                <c:pt idx="3">
                  <c:v>Paslaugų teikimo</c:v>
                </c:pt>
                <c:pt idx="4">
                  <c:v>Kitas variantas</c:v>
                </c:pt>
              </c:strCache>
            </c:strRef>
          </c:cat>
          <c:val>
            <c:numRef>
              <c:f>'[Chart in Microsoft Office Word]Sheet1'!$B$2:$B$6</c:f>
              <c:numCache>
                <c:formatCode>General</c:formatCode>
                <c:ptCount val="5"/>
                <c:pt idx="0">
                  <c:v>10</c:v>
                </c:pt>
                <c:pt idx="1">
                  <c:v>5</c:v>
                </c:pt>
                <c:pt idx="2">
                  <c:v>12</c:v>
                </c:pt>
                <c:pt idx="3">
                  <c:v>10</c:v>
                </c:pt>
                <c:pt idx="4">
                  <c:v>14</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74458651199621051"/>
          <c:y val="0.16474737532808401"/>
          <c:w val="0.23000118560549451"/>
          <c:h val="0.59448899884637119"/>
        </c:manualLayout>
      </c:layout>
      <c:overlay val="0"/>
      <c:txPr>
        <a:bodyPr/>
        <a:lstStyle/>
        <a:p>
          <a:pPr>
            <a:defRPr lang="es-ES" sz="1000" b="0"/>
          </a:pPr>
          <a:endParaRPr lang="en-US"/>
        </a:p>
      </c:txPr>
    </c:legend>
    <c:plotVisOnly val="1"/>
    <c:dispBlanksAs val="zero"/>
    <c:showDLblsOverMax val="0"/>
  </c:chart>
  <c:spPr>
    <a:ln w="12700" cmpd="sng">
      <a:solidFill>
        <a:schemeClr val="tx1"/>
      </a:solidFill>
    </a:ln>
  </c:spPr>
  <c:txPr>
    <a:bodyPr/>
    <a:lstStyle/>
    <a:p>
      <a:pPr>
        <a:defRPr sz="1100" b="1">
          <a:latin typeface="Times New Roman" pitchFamily="18" charset="0"/>
          <a:cs typeface="Times New Roman" pitchFamily="18"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Lbls>
            <c:numFmt formatCode="0.0%" sourceLinked="0"/>
            <c:txPr>
              <a:bodyPr/>
              <a:lstStyle/>
              <a:p>
                <a:pPr>
                  <a:defRPr lang="es-ES" b="1">
                    <a:latin typeface="Times New Roman" pitchFamily="18" charset="0"/>
                    <a:cs typeface="Times New Roman" pitchFamily="18" charset="0"/>
                  </a:defRPr>
                </a:pPr>
                <a:endParaRPr lang="en-US"/>
              </a:p>
            </c:txPr>
            <c:dLblPos val="outEnd"/>
            <c:showLegendKey val="0"/>
            <c:showVal val="0"/>
            <c:showCatName val="0"/>
            <c:showSerName val="0"/>
            <c:showPercent val="1"/>
            <c:showBubbleSize val="0"/>
            <c:showLeaderLines val="1"/>
          </c:dLbls>
          <c:cat>
            <c:strRef>
              <c:f>Sheet1!$A$2:$A$5</c:f>
              <c:strCache>
                <c:ptCount val="4"/>
                <c:pt idx="0">
                  <c:v>Iki 1 metų</c:v>
                </c:pt>
                <c:pt idx="1">
                  <c:v>2-5 metus</c:v>
                </c:pt>
                <c:pt idx="2">
                  <c:v>6-10 metų</c:v>
                </c:pt>
                <c:pt idx="3">
                  <c:v>Ilgiau nei 10 metų</c:v>
                </c:pt>
              </c:strCache>
            </c:strRef>
          </c:cat>
          <c:val>
            <c:numRef>
              <c:f>Sheet1!$B$2:$B$5</c:f>
              <c:numCache>
                <c:formatCode>General</c:formatCode>
                <c:ptCount val="4"/>
                <c:pt idx="0">
                  <c:v>10</c:v>
                </c:pt>
                <c:pt idx="1">
                  <c:v>17</c:v>
                </c:pt>
                <c:pt idx="2">
                  <c:v>11</c:v>
                </c:pt>
                <c:pt idx="3">
                  <c:v>13</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lang="es-ES">
              <a:latin typeface="Times New Roman" pitchFamily="18" charset="0"/>
              <a:cs typeface="Times New Roman" pitchFamily="18" charset="0"/>
            </a:defRPr>
          </a:pPr>
          <a:endParaRPr lang="en-US"/>
        </a:p>
      </c:txPr>
    </c:legend>
    <c:plotVisOnly val="1"/>
    <c:dispBlanksAs val="zero"/>
    <c:showDLblsOverMax val="0"/>
  </c:chart>
  <c:spPr>
    <a:ln>
      <a:solidFill>
        <a:schemeClr val="tx1"/>
      </a:solid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5 pav. Verslininkų informacijos šaltiniai apie ES finansinės paramos teikimą</c:v>
                </c:pt>
              </c:strCache>
            </c:strRef>
          </c:tx>
          <c:dLbls>
            <c:numFmt formatCode="0.0%" sourceLinked="0"/>
            <c:txPr>
              <a:bodyPr/>
              <a:lstStyle/>
              <a:p>
                <a:pPr>
                  <a:defRPr lang="es-ES" b="1"/>
                </a:pPr>
                <a:endParaRPr lang="en-US"/>
              </a:p>
            </c:txPr>
            <c:dLblPos val="outEnd"/>
            <c:showLegendKey val="0"/>
            <c:showVal val="0"/>
            <c:showCatName val="0"/>
            <c:showSerName val="0"/>
            <c:showPercent val="1"/>
            <c:showBubbleSize val="0"/>
            <c:showLeaderLines val="0"/>
          </c:dLbls>
          <c:cat>
            <c:strRef>
              <c:f>Sheet1!$A$2:$A$6</c:f>
              <c:strCache>
                <c:ptCount val="5"/>
                <c:pt idx="0">
                  <c:v>Internetinių puslapių (nma.lt, europosparama.lt ir kt.);</c:v>
                </c:pt>
                <c:pt idx="1">
                  <c:v>Darbo biržos;</c:v>
                </c:pt>
                <c:pt idx="2">
                  <c:v>Kitų verslininkų;</c:v>
                </c:pt>
                <c:pt idx="3">
                  <c:v>Prekybos, pramonės ir amatų rūmų;</c:v>
                </c:pt>
                <c:pt idx="4">
                  <c:v>Seminarų, konsultacijų;</c:v>
                </c:pt>
              </c:strCache>
            </c:strRef>
          </c:cat>
          <c:val>
            <c:numRef>
              <c:f>Sheet1!$B$2:$B$6</c:f>
              <c:numCache>
                <c:formatCode>General</c:formatCode>
                <c:ptCount val="5"/>
                <c:pt idx="0">
                  <c:v>38</c:v>
                </c:pt>
                <c:pt idx="1">
                  <c:v>19</c:v>
                </c:pt>
                <c:pt idx="2">
                  <c:v>41</c:v>
                </c:pt>
                <c:pt idx="3">
                  <c:v>2</c:v>
                </c:pt>
                <c:pt idx="4">
                  <c:v>20</c:v>
                </c:pt>
              </c:numCache>
            </c:numRef>
          </c:val>
        </c:ser>
        <c:ser>
          <c:idx val="1"/>
          <c:order val="1"/>
          <c:tx>
            <c:strRef>
              <c:f>Sheet1!$C$1</c:f>
              <c:strCache>
                <c:ptCount val="1"/>
                <c:pt idx="0">
                  <c:v>Column1</c:v>
                </c:pt>
              </c:strCache>
            </c:strRef>
          </c:tx>
          <c:cat>
            <c:strRef>
              <c:f>Sheet1!$A$2:$A$6</c:f>
              <c:strCache>
                <c:ptCount val="5"/>
                <c:pt idx="0">
                  <c:v>Internetinių puslapių (nma.lt, europosparama.lt ir kt.);</c:v>
                </c:pt>
                <c:pt idx="1">
                  <c:v>Darbo biržos;</c:v>
                </c:pt>
                <c:pt idx="2">
                  <c:v>Kitų verslininkų;</c:v>
                </c:pt>
                <c:pt idx="3">
                  <c:v>Prekybos, pramonės ir amatų rūmų;</c:v>
                </c:pt>
                <c:pt idx="4">
                  <c:v>Seminarų, konsultacijų;</c:v>
                </c:pt>
              </c:strCache>
            </c:strRef>
          </c:cat>
          <c:val>
            <c:numRef>
              <c:f>Sheet1!$C$2:$C$6</c:f>
              <c:numCache>
                <c:formatCode>General</c:formatCode>
                <c:ptCount val="5"/>
                <c:pt idx="0">
                  <c:v>0</c:v>
                </c:pt>
                <c:pt idx="1">
                  <c:v>0</c:v>
                </c:pt>
                <c:pt idx="2">
                  <c:v>0</c:v>
                </c:pt>
                <c:pt idx="3">
                  <c:v>0</c:v>
                </c:pt>
              </c:numCache>
            </c:numRef>
          </c:val>
        </c:ser>
        <c:dLbls>
          <c:showLegendKey val="0"/>
          <c:showVal val="0"/>
          <c:showCatName val="0"/>
          <c:showSerName val="0"/>
          <c:showPercent val="0"/>
          <c:showBubbleSize val="0"/>
          <c:showLeaderLines val="0"/>
        </c:dLbls>
      </c:pie3DChart>
    </c:plotArea>
    <c:legend>
      <c:legendPos val="r"/>
      <c:legendEntry>
        <c:idx val="0"/>
        <c:txPr>
          <a:bodyPr/>
          <a:lstStyle/>
          <a:p>
            <a:pPr>
              <a:defRPr lang="es-ES" sz="1000"/>
            </a:pPr>
            <a:endParaRPr lang="en-US"/>
          </a:p>
        </c:txPr>
      </c:legendEntry>
      <c:layout>
        <c:manualLayout>
          <c:xMode val="edge"/>
          <c:yMode val="edge"/>
          <c:x val="0.65536481478909181"/>
          <c:y val="0.11927444444444464"/>
          <c:w val="0.32288717298105646"/>
          <c:h val="0.68147259259259263"/>
        </c:manualLayout>
      </c:layout>
      <c:overlay val="0"/>
      <c:txPr>
        <a:bodyPr/>
        <a:lstStyle/>
        <a:p>
          <a:pPr>
            <a:defRPr lang="es-ES"/>
          </a:pPr>
          <a:endParaRPr lang="en-US"/>
        </a:p>
      </c:txPr>
    </c:legend>
    <c:plotVisOnly val="1"/>
    <c:dispBlanksAs val="zero"/>
    <c:showDLblsOverMax val="0"/>
  </c:chart>
  <c:spPr>
    <a:ln>
      <a:solidFill>
        <a:schemeClr val="tx1"/>
      </a:solidFill>
    </a:ln>
  </c:spPr>
  <c:txPr>
    <a:bodyPr/>
    <a:lstStyle/>
    <a:p>
      <a:pPr>
        <a:defRPr>
          <a:latin typeface="Times New Roman" pitchFamily="18" charset="0"/>
          <a:cs typeface="Times New Roman" pitchFamily="18" charset="0"/>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dLbls>
            <c:dLbl>
              <c:idx val="1"/>
              <c:layout>
                <c:manualLayout>
                  <c:x val="0.18848308599288746"/>
                  <c:y val="-6.4676388888888894E-2"/>
                </c:manualLayout>
              </c:layout>
              <c:dLblPos val="bestFit"/>
              <c:showLegendKey val="0"/>
              <c:showVal val="0"/>
              <c:showCatName val="0"/>
              <c:showSerName val="0"/>
              <c:showPercent val="1"/>
              <c:showBubbleSize val="0"/>
            </c:dLbl>
            <c:numFmt formatCode="0.0%" sourceLinked="0"/>
            <c:txPr>
              <a:bodyPr/>
              <a:lstStyle/>
              <a:p>
                <a:pPr>
                  <a:defRPr lang="es-ES" b="1">
                    <a:latin typeface="Times New Roman" pitchFamily="18" charset="0"/>
                    <a:cs typeface="Times New Roman" pitchFamily="18" charset="0"/>
                  </a:defRPr>
                </a:pPr>
                <a:endParaRPr lang="en-US"/>
              </a:p>
            </c:txPr>
            <c:dLblPos val="outEnd"/>
            <c:showLegendKey val="0"/>
            <c:showVal val="0"/>
            <c:showCatName val="0"/>
            <c:showSerName val="0"/>
            <c:showPercent val="1"/>
            <c:showBubbleSize val="0"/>
            <c:showLeaderLines val="0"/>
          </c:dLbls>
          <c:cat>
            <c:strRef>
              <c:f>'[Chart in Microsoft Office Word]Sheet1'!$A$12:$A$15</c:f>
              <c:strCache>
                <c:ptCount val="4"/>
                <c:pt idx="0">
                  <c:v>Pastatų statybai, kapitaliniam remontui, rekonstravimui;</c:v>
                </c:pt>
                <c:pt idx="1">
                  <c:v>Naujos technikos, įrangos, baldų įsigyjimui ir įrengimui;</c:v>
                </c:pt>
                <c:pt idx="2">
                  <c:v>Interneto svetainės sukūrimui;</c:v>
                </c:pt>
                <c:pt idx="3">
                  <c:v>Kitas variantas, jei galite, nurodykite</c:v>
                </c:pt>
              </c:strCache>
            </c:strRef>
          </c:cat>
          <c:val>
            <c:numRef>
              <c:f>'[Chart in Microsoft Office Word]Sheet1'!$B$12:$B$15</c:f>
              <c:numCache>
                <c:formatCode>General</c:formatCode>
                <c:ptCount val="4"/>
                <c:pt idx="0">
                  <c:v>11</c:v>
                </c:pt>
                <c:pt idx="1">
                  <c:v>30</c:v>
                </c:pt>
                <c:pt idx="2">
                  <c:v>1</c:v>
                </c:pt>
                <c:pt idx="3">
                  <c:v>9</c:v>
                </c:pt>
              </c:numCache>
            </c:numRef>
          </c:val>
        </c:ser>
        <c:dLbls>
          <c:showLegendKey val="0"/>
          <c:showVal val="0"/>
          <c:showCatName val="0"/>
          <c:showSerName val="0"/>
          <c:showPercent val="1"/>
          <c:showBubbleSize val="0"/>
          <c:showLeaderLines val="0"/>
        </c:dLbls>
      </c:pie3DChart>
    </c:plotArea>
    <c:legend>
      <c:legendPos val="r"/>
      <c:overlay val="0"/>
      <c:txPr>
        <a:bodyPr/>
        <a:lstStyle/>
        <a:p>
          <a:pPr>
            <a:defRPr lang="es-ES">
              <a:latin typeface="Times New Roman" pitchFamily="18" charset="0"/>
              <a:cs typeface="Times New Roman" pitchFamily="18" charset="0"/>
            </a:defRPr>
          </a:pPr>
          <a:endParaRPr lang="en-US"/>
        </a:p>
      </c:txPr>
    </c:legend>
    <c:plotVisOnly val="1"/>
    <c:dispBlanksAs val="zero"/>
    <c:showDLblsOverMax val="0"/>
  </c:chart>
  <c:spPr>
    <a:ln>
      <a:solidFill>
        <a:schemeClr val="tx1"/>
      </a:solid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905074365704294E-2"/>
          <c:y val="5.0925925925925923E-2"/>
          <c:w val="0.64922834645669791"/>
          <c:h val="0.73587197433654672"/>
        </c:manualLayout>
      </c:layout>
      <c:barChart>
        <c:barDir val="bar"/>
        <c:grouping val="percentStacked"/>
        <c:varyColors val="0"/>
        <c:ser>
          <c:idx val="0"/>
          <c:order val="0"/>
          <c:tx>
            <c:strRef>
              <c:f>Sheet1!$A$2</c:f>
              <c:strCache>
                <c:ptCount val="1"/>
                <c:pt idx="0">
                  <c:v>Gaunamas pelnas;</c:v>
                </c:pt>
              </c:strCache>
            </c:strRef>
          </c:tx>
          <c:invertIfNegative val="0"/>
          <c:dLbls>
            <c:dLbl>
              <c:idx val="0"/>
              <c:layout>
                <c:manualLayout>
                  <c:x val="0"/>
                  <c:y val="-6.1569309589880446E-2"/>
                </c:manualLayout>
              </c:layout>
              <c:tx>
                <c:rich>
                  <a:bodyPr/>
                  <a:lstStyle/>
                  <a:p>
                    <a:pPr>
                      <a:defRPr/>
                    </a:pPr>
                    <a:r>
                      <a:rPr lang="lt-LT"/>
                      <a:t>51</a:t>
                    </a:r>
                    <a:r>
                      <a:rPr lang="lt-LT" baseline="0"/>
                      <a:t> %</a:t>
                    </a:r>
                    <a:endParaRPr lang="en-US"/>
                  </a:p>
                </c:rich>
              </c:tx>
              <c:numFmt formatCode="General" sourceLinked="0"/>
              <c:spPr/>
              <c:dLblPos val="ctr"/>
              <c:showLegendKey val="0"/>
              <c:showVal val="1"/>
              <c:showCatName val="0"/>
              <c:showSerName val="0"/>
              <c:showPercent val="0"/>
              <c:showBubbleSize val="0"/>
            </c:dLbl>
            <c:showLegendKey val="0"/>
            <c:showVal val="0"/>
            <c:showCatName val="0"/>
            <c:showSerName val="0"/>
            <c:showPercent val="0"/>
            <c:showBubbleSize val="0"/>
          </c:dLbls>
          <c:cat>
            <c:numRef>
              <c:f>Sheet1!$B$1:$F$1</c:f>
              <c:numCache>
                <c:formatCode>General</c:formatCode>
                <c:ptCount val="5"/>
                <c:pt idx="0">
                  <c:v>1</c:v>
                </c:pt>
                <c:pt idx="1">
                  <c:v>2</c:v>
                </c:pt>
                <c:pt idx="2">
                  <c:v>3</c:v>
                </c:pt>
                <c:pt idx="3">
                  <c:v>4</c:v>
                </c:pt>
                <c:pt idx="4">
                  <c:v>5</c:v>
                </c:pt>
              </c:numCache>
            </c:numRef>
          </c:cat>
          <c:val>
            <c:numRef>
              <c:f>Sheet1!$B$2:$F$2</c:f>
              <c:numCache>
                <c:formatCode>General</c:formatCode>
                <c:ptCount val="5"/>
                <c:pt idx="0">
                  <c:v>26</c:v>
                </c:pt>
                <c:pt idx="1">
                  <c:v>8</c:v>
                </c:pt>
                <c:pt idx="2">
                  <c:v>5</c:v>
                </c:pt>
                <c:pt idx="3">
                  <c:v>9</c:v>
                </c:pt>
                <c:pt idx="4">
                  <c:v>3</c:v>
                </c:pt>
              </c:numCache>
            </c:numRef>
          </c:val>
        </c:ser>
        <c:ser>
          <c:idx val="1"/>
          <c:order val="1"/>
          <c:tx>
            <c:strRef>
              <c:f>Sheet1!$A$3</c:f>
              <c:strCache>
                <c:ptCount val="1"/>
                <c:pt idx="0">
                  <c:v>Banko paskola;</c:v>
                </c:pt>
              </c:strCache>
            </c:strRef>
          </c:tx>
          <c:invertIfNegative val="0"/>
          <c:dLbls>
            <c:dLbl>
              <c:idx val="0"/>
              <c:layout>
                <c:manualLayout>
                  <c:x val="9.7318007662835181E-3"/>
                  <c:y val="-6.1569309589880446E-2"/>
                </c:manualLayout>
              </c:layout>
              <c:tx>
                <c:rich>
                  <a:bodyPr/>
                  <a:lstStyle/>
                  <a:p>
                    <a:r>
                      <a:rPr lang="lt-LT"/>
                      <a:t>25,5</a:t>
                    </a:r>
                    <a:r>
                      <a:rPr lang="lt-LT" baseline="0"/>
                      <a:t> %</a:t>
                    </a:r>
                    <a:endParaRPr lang="en-US"/>
                  </a:p>
                </c:rich>
              </c:tx>
              <c:showLegendKey val="0"/>
              <c:showVal val="1"/>
              <c:showCatName val="0"/>
              <c:showSerName val="0"/>
              <c:showPercent val="0"/>
              <c:showBubbleSize val="0"/>
            </c:dLbl>
            <c:dLbl>
              <c:idx val="1"/>
              <c:layout>
                <c:manualLayout>
                  <c:x val="-2.4329501915708778E-3"/>
                  <c:y val="-6.1569309589880446E-2"/>
                </c:manualLayout>
              </c:layout>
              <c:tx>
                <c:rich>
                  <a:bodyPr/>
                  <a:lstStyle/>
                  <a:p>
                    <a:r>
                      <a:rPr lang="lt-LT"/>
                      <a:t>37,3 %</a:t>
                    </a:r>
                    <a:endParaRPr lang="en-US"/>
                  </a:p>
                </c:rich>
              </c:tx>
              <c:showLegendKey val="0"/>
              <c:showVal val="1"/>
              <c:showCatName val="0"/>
              <c:showSerName val="0"/>
              <c:showPercent val="0"/>
              <c:showBubbleSize val="0"/>
            </c:dLbl>
            <c:dLbl>
              <c:idx val="2"/>
              <c:delete val="1"/>
            </c:dLbl>
            <c:dLbl>
              <c:idx val="3"/>
              <c:delete val="1"/>
            </c:dLbl>
            <c:dLbl>
              <c:idx val="4"/>
              <c:delete val="1"/>
            </c:dLbl>
            <c:showLegendKey val="0"/>
            <c:showVal val="1"/>
            <c:showCatName val="0"/>
            <c:showSerName val="0"/>
            <c:showPercent val="0"/>
            <c:showBubbleSize val="0"/>
            <c:showLeaderLines val="0"/>
          </c:dLbls>
          <c:cat>
            <c:numRef>
              <c:f>Sheet1!$B$1:$F$1</c:f>
              <c:numCache>
                <c:formatCode>General</c:formatCode>
                <c:ptCount val="5"/>
                <c:pt idx="0">
                  <c:v>1</c:v>
                </c:pt>
                <c:pt idx="1">
                  <c:v>2</c:v>
                </c:pt>
                <c:pt idx="2">
                  <c:v>3</c:v>
                </c:pt>
                <c:pt idx="3">
                  <c:v>4</c:v>
                </c:pt>
                <c:pt idx="4">
                  <c:v>5</c:v>
                </c:pt>
              </c:numCache>
            </c:numRef>
          </c:cat>
          <c:val>
            <c:numRef>
              <c:f>Sheet1!$B$3:$F$3</c:f>
              <c:numCache>
                <c:formatCode>General</c:formatCode>
                <c:ptCount val="5"/>
                <c:pt idx="0">
                  <c:v>13</c:v>
                </c:pt>
                <c:pt idx="1">
                  <c:v>19</c:v>
                </c:pt>
                <c:pt idx="2">
                  <c:v>12</c:v>
                </c:pt>
                <c:pt idx="3">
                  <c:v>5</c:v>
                </c:pt>
                <c:pt idx="4">
                  <c:v>2</c:v>
                </c:pt>
              </c:numCache>
            </c:numRef>
          </c:val>
        </c:ser>
        <c:ser>
          <c:idx val="2"/>
          <c:order val="2"/>
          <c:tx>
            <c:strRef>
              <c:f>Sheet1!$A$4</c:f>
              <c:strCache>
                <c:ptCount val="1"/>
                <c:pt idx="0">
                  <c:v>Kredito unijos paskola;</c:v>
                </c:pt>
              </c:strCache>
            </c:strRef>
          </c:tx>
          <c:invertIfNegative val="0"/>
          <c:dLbls>
            <c:dLbl>
              <c:idx val="1"/>
              <c:layout>
                <c:manualLayout>
                  <c:x val="-4.8659003831417634E-3"/>
                  <c:y val="-6.1569309589880446E-2"/>
                </c:manualLayout>
              </c:layout>
              <c:tx>
                <c:rich>
                  <a:bodyPr/>
                  <a:lstStyle/>
                  <a:p>
                    <a:r>
                      <a:rPr lang="lt-LT"/>
                      <a:t>37,3</a:t>
                    </a:r>
                    <a:r>
                      <a:rPr lang="lt-LT" baseline="0"/>
                      <a:t> %</a:t>
                    </a:r>
                    <a:endParaRPr lang="en-US"/>
                  </a:p>
                </c:rich>
              </c:tx>
              <c:showLegendKey val="0"/>
              <c:showVal val="1"/>
              <c:showCatName val="0"/>
              <c:showSerName val="0"/>
              <c:showPercent val="0"/>
              <c:showBubbleSize val="0"/>
            </c:dLbl>
            <c:dLbl>
              <c:idx val="2"/>
              <c:layout>
                <c:manualLayout>
                  <c:x val="-1.2164750957854362E-2"/>
                  <c:y val="-5.5412378630892482E-2"/>
                </c:manualLayout>
              </c:layout>
              <c:tx>
                <c:rich>
                  <a:bodyPr/>
                  <a:lstStyle/>
                  <a:p>
                    <a:r>
                      <a:rPr lang="lt-LT"/>
                      <a:t>49</a:t>
                    </a:r>
                    <a:r>
                      <a:rPr lang="lt-LT" baseline="0"/>
                      <a:t> %</a:t>
                    </a:r>
                    <a:endParaRPr lang="en-US"/>
                  </a:p>
                </c:rich>
              </c:tx>
              <c:showLegendKey val="0"/>
              <c:showVal val="1"/>
              <c:showCatName val="0"/>
              <c:showSerName val="0"/>
              <c:showPercent val="0"/>
              <c:showBubbleSize val="0"/>
            </c:dLbl>
            <c:showLegendKey val="0"/>
            <c:showVal val="0"/>
            <c:showCatName val="0"/>
            <c:showSerName val="0"/>
            <c:showPercent val="0"/>
            <c:showBubbleSize val="0"/>
          </c:dLbls>
          <c:cat>
            <c:numRef>
              <c:f>Sheet1!$B$1:$F$1</c:f>
              <c:numCache>
                <c:formatCode>General</c:formatCode>
                <c:ptCount val="5"/>
                <c:pt idx="0">
                  <c:v>1</c:v>
                </c:pt>
                <c:pt idx="1">
                  <c:v>2</c:v>
                </c:pt>
                <c:pt idx="2">
                  <c:v>3</c:v>
                </c:pt>
                <c:pt idx="3">
                  <c:v>4</c:v>
                </c:pt>
                <c:pt idx="4">
                  <c:v>5</c:v>
                </c:pt>
              </c:numCache>
            </c:numRef>
          </c:cat>
          <c:val>
            <c:numRef>
              <c:f>Sheet1!$B$4:$F$4</c:f>
              <c:numCache>
                <c:formatCode>General</c:formatCode>
                <c:ptCount val="5"/>
                <c:pt idx="0">
                  <c:v>2</c:v>
                </c:pt>
                <c:pt idx="1">
                  <c:v>19</c:v>
                </c:pt>
                <c:pt idx="2">
                  <c:v>25</c:v>
                </c:pt>
                <c:pt idx="3">
                  <c:v>5</c:v>
                </c:pt>
                <c:pt idx="4">
                  <c:v>0</c:v>
                </c:pt>
              </c:numCache>
            </c:numRef>
          </c:val>
        </c:ser>
        <c:ser>
          <c:idx val="3"/>
          <c:order val="3"/>
          <c:tx>
            <c:strRef>
              <c:f>Sheet1!$A$5</c:f>
              <c:strCache>
                <c:ptCount val="1"/>
                <c:pt idx="0">
                  <c:v>Europos unijų fondai;</c:v>
                </c:pt>
              </c:strCache>
            </c:strRef>
          </c:tx>
          <c:invertIfNegative val="0"/>
          <c:cat>
            <c:numRef>
              <c:f>Sheet1!$B$1:$F$1</c:f>
              <c:numCache>
                <c:formatCode>General</c:formatCode>
                <c:ptCount val="5"/>
                <c:pt idx="0">
                  <c:v>1</c:v>
                </c:pt>
                <c:pt idx="1">
                  <c:v>2</c:v>
                </c:pt>
                <c:pt idx="2">
                  <c:v>3</c:v>
                </c:pt>
                <c:pt idx="3">
                  <c:v>4</c:v>
                </c:pt>
                <c:pt idx="4">
                  <c:v>5</c:v>
                </c:pt>
              </c:numCache>
            </c:numRef>
          </c:cat>
          <c:val>
            <c:numRef>
              <c:f>Sheet1!$B$5:$F$5</c:f>
              <c:numCache>
                <c:formatCode>General</c:formatCode>
                <c:ptCount val="5"/>
                <c:pt idx="0">
                  <c:v>9</c:v>
                </c:pt>
                <c:pt idx="1">
                  <c:v>4</c:v>
                </c:pt>
                <c:pt idx="2">
                  <c:v>8</c:v>
                </c:pt>
                <c:pt idx="3">
                  <c:v>30</c:v>
                </c:pt>
                <c:pt idx="4">
                  <c:v>0</c:v>
                </c:pt>
              </c:numCache>
            </c:numRef>
          </c:val>
        </c:ser>
        <c:ser>
          <c:idx val="4"/>
          <c:order val="4"/>
          <c:tx>
            <c:strRef>
              <c:f>Sheet1!$A$6</c:f>
              <c:strCache>
                <c:ptCount val="1"/>
                <c:pt idx="0">
                  <c:v>Kita</c:v>
                </c:pt>
              </c:strCache>
            </c:strRef>
          </c:tx>
          <c:invertIfNegative val="0"/>
          <c:cat>
            <c:numRef>
              <c:f>Sheet1!$B$1:$F$1</c:f>
              <c:numCache>
                <c:formatCode>General</c:formatCode>
                <c:ptCount val="5"/>
                <c:pt idx="0">
                  <c:v>1</c:v>
                </c:pt>
                <c:pt idx="1">
                  <c:v>2</c:v>
                </c:pt>
                <c:pt idx="2">
                  <c:v>3</c:v>
                </c:pt>
                <c:pt idx="3">
                  <c:v>4</c:v>
                </c:pt>
                <c:pt idx="4">
                  <c:v>5</c:v>
                </c:pt>
              </c:numCache>
            </c:numRef>
          </c:cat>
          <c:val>
            <c:numRef>
              <c:f>Sheet1!$B$6:$F$6</c:f>
              <c:numCache>
                <c:formatCode>General</c:formatCode>
                <c:ptCount val="5"/>
                <c:pt idx="0">
                  <c:v>1</c:v>
                </c:pt>
                <c:pt idx="1">
                  <c:v>1</c:v>
                </c:pt>
                <c:pt idx="2">
                  <c:v>1</c:v>
                </c:pt>
                <c:pt idx="3">
                  <c:v>2</c:v>
                </c:pt>
                <c:pt idx="4">
                  <c:v>46</c:v>
                </c:pt>
              </c:numCache>
            </c:numRef>
          </c:val>
        </c:ser>
        <c:dLbls>
          <c:showLegendKey val="0"/>
          <c:showVal val="0"/>
          <c:showCatName val="0"/>
          <c:showSerName val="0"/>
          <c:showPercent val="0"/>
          <c:showBubbleSize val="0"/>
        </c:dLbls>
        <c:gapWidth val="150"/>
        <c:overlap val="100"/>
        <c:axId val="146331136"/>
        <c:axId val="146332672"/>
      </c:barChart>
      <c:catAx>
        <c:axId val="146331136"/>
        <c:scaling>
          <c:orientation val="minMax"/>
        </c:scaling>
        <c:delete val="0"/>
        <c:axPos val="l"/>
        <c:numFmt formatCode="General" sourceLinked="1"/>
        <c:majorTickMark val="out"/>
        <c:minorTickMark val="none"/>
        <c:tickLblPos val="nextTo"/>
        <c:txPr>
          <a:bodyPr/>
          <a:lstStyle/>
          <a:p>
            <a:pPr>
              <a:defRPr lang="es-ES"/>
            </a:pPr>
            <a:endParaRPr lang="en-US"/>
          </a:p>
        </c:txPr>
        <c:crossAx val="146332672"/>
        <c:crosses val="autoZero"/>
        <c:auto val="1"/>
        <c:lblAlgn val="ctr"/>
        <c:lblOffset val="100"/>
        <c:tickLblSkip val="1"/>
        <c:noMultiLvlLbl val="0"/>
      </c:catAx>
      <c:valAx>
        <c:axId val="146332672"/>
        <c:scaling>
          <c:orientation val="minMax"/>
        </c:scaling>
        <c:delete val="0"/>
        <c:axPos val="b"/>
        <c:majorGridlines/>
        <c:numFmt formatCode="0%" sourceLinked="1"/>
        <c:majorTickMark val="out"/>
        <c:minorTickMark val="none"/>
        <c:tickLblPos val="nextTo"/>
        <c:txPr>
          <a:bodyPr/>
          <a:lstStyle/>
          <a:p>
            <a:pPr>
              <a:defRPr lang="es-ES"/>
            </a:pPr>
            <a:endParaRPr lang="en-US"/>
          </a:p>
        </c:txPr>
        <c:crossAx val="146331136"/>
        <c:crosses val="autoZero"/>
        <c:crossBetween val="between"/>
      </c:valAx>
    </c:plotArea>
    <c:legend>
      <c:legendPos val="r"/>
      <c:layout>
        <c:manualLayout>
          <c:xMode val="edge"/>
          <c:yMode val="edge"/>
          <c:x val="0.71873753280840391"/>
          <c:y val="0.18885498687664176"/>
          <c:w val="0.26459580052493425"/>
          <c:h val="0.56673410615340236"/>
        </c:manualLayout>
      </c:layout>
      <c:overlay val="0"/>
      <c:txPr>
        <a:bodyPr/>
        <a:lstStyle/>
        <a:p>
          <a:pPr>
            <a:defRPr lang="es-ES"/>
          </a:pPr>
          <a:endParaRPr lang="en-US"/>
        </a:p>
      </c:txPr>
    </c:legend>
    <c:plotVisOnly val="1"/>
    <c:dispBlanksAs val="gap"/>
    <c:showDLblsOverMax val="0"/>
  </c:chart>
  <c:spPr>
    <a:ln>
      <a:solidFill>
        <a:sysClr val="windowText" lastClr="000000"/>
      </a:solidFill>
    </a:ln>
  </c:spPr>
  <c:txPr>
    <a:bodyPr/>
    <a:lstStyle/>
    <a:p>
      <a:pPr>
        <a:defRPr>
          <a:latin typeface="Times New Roman" pitchFamily="18" charset="0"/>
          <a:cs typeface="Times New Roman" pitchFamily="18" charset="0"/>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0458937198067634E-2"/>
          <c:y val="6.03566529492464E-2"/>
          <c:w val="0.6644155350146449"/>
          <c:h val="0.74182906149077776"/>
        </c:manualLayout>
      </c:layout>
      <c:barChart>
        <c:barDir val="bar"/>
        <c:grouping val="stacked"/>
        <c:varyColors val="0"/>
        <c:ser>
          <c:idx val="0"/>
          <c:order val="0"/>
          <c:tx>
            <c:strRef>
              <c:f>Sheet2!$A$2</c:f>
              <c:strCache>
                <c:ptCount val="1"/>
                <c:pt idx="0">
                  <c:v>Pagerėjo produkto kokybė</c:v>
                </c:pt>
              </c:strCache>
            </c:strRef>
          </c:tx>
          <c:invertIfNegative val="0"/>
          <c:dLbls>
            <c:dLbl>
              <c:idx val="0"/>
              <c:layout>
                <c:manualLayout>
                  <c:x val="0"/>
                  <c:y val="-6.1569279741234495E-2"/>
                </c:manualLayout>
              </c:layout>
              <c:showLegendKey val="0"/>
              <c:showVal val="1"/>
              <c:showCatName val="0"/>
              <c:showSerName val="0"/>
              <c:showPercent val="0"/>
              <c:showBubbleSize val="0"/>
            </c:dLbl>
            <c:dLbl>
              <c:idx val="1"/>
              <c:layout>
                <c:manualLayout>
                  <c:x val="-4.8659003831417634E-3"/>
                  <c:y val="-5.5412351767111123E-2"/>
                </c:manualLayout>
              </c:layout>
              <c:showLegendKey val="0"/>
              <c:showVal val="1"/>
              <c:showCatName val="0"/>
              <c:showSerName val="0"/>
              <c:showPercent val="0"/>
              <c:showBubbleSize val="0"/>
            </c:dLbl>
            <c:dLbl>
              <c:idx val="2"/>
              <c:layout>
                <c:manualLayout>
                  <c:x val="-1.2164750957854404E-2"/>
                  <c:y val="-6.1569279741234495E-2"/>
                </c:manualLayout>
              </c:layout>
              <c:showLegendKey val="0"/>
              <c:showVal val="1"/>
              <c:showCatName val="0"/>
              <c:showSerName val="0"/>
              <c:showPercent val="0"/>
              <c:showBubbleSize val="0"/>
            </c:dLbl>
            <c:showLegendKey val="0"/>
            <c:showVal val="0"/>
            <c:showCatName val="0"/>
            <c:showSerName val="0"/>
            <c:showPercent val="0"/>
            <c:showBubbleSize val="0"/>
          </c:dLbls>
          <c:cat>
            <c:numRef>
              <c:f>Sheet2!$B$1:$F$1</c:f>
              <c:numCache>
                <c:formatCode>General</c:formatCode>
                <c:ptCount val="5"/>
                <c:pt idx="0">
                  <c:v>1</c:v>
                </c:pt>
                <c:pt idx="1">
                  <c:v>2</c:v>
                </c:pt>
                <c:pt idx="2">
                  <c:v>3</c:v>
                </c:pt>
                <c:pt idx="3">
                  <c:v>4</c:v>
                </c:pt>
                <c:pt idx="4">
                  <c:v>5</c:v>
                </c:pt>
              </c:numCache>
            </c:numRef>
          </c:cat>
          <c:val>
            <c:numRef>
              <c:f>Sheet2!$B$2:$F$2</c:f>
              <c:numCache>
                <c:formatCode>0.0%</c:formatCode>
                <c:ptCount val="5"/>
                <c:pt idx="0">
                  <c:v>0.21600000000000041</c:v>
                </c:pt>
                <c:pt idx="1">
                  <c:v>0.31400000000000178</c:v>
                </c:pt>
                <c:pt idx="2">
                  <c:v>0.29400000000000032</c:v>
                </c:pt>
                <c:pt idx="3">
                  <c:v>0.17600000000000021</c:v>
                </c:pt>
                <c:pt idx="4">
                  <c:v>0</c:v>
                </c:pt>
              </c:numCache>
            </c:numRef>
          </c:val>
        </c:ser>
        <c:ser>
          <c:idx val="1"/>
          <c:order val="1"/>
          <c:tx>
            <c:strRef>
              <c:f>Sheet2!$A$3</c:f>
              <c:strCache>
                <c:ptCount val="1"/>
                <c:pt idx="0">
                  <c:v>Padidėjo našumas</c:v>
                </c:pt>
              </c:strCache>
            </c:strRef>
          </c:tx>
          <c:invertIfNegative val="0"/>
          <c:dLbls>
            <c:dLbl>
              <c:idx val="0"/>
              <c:layout>
                <c:manualLayout>
                  <c:x val="-4.8659003831417634E-3"/>
                  <c:y val="-6.1569279741234495E-2"/>
                </c:manualLayout>
              </c:layout>
              <c:showLegendKey val="0"/>
              <c:showVal val="1"/>
              <c:showCatName val="0"/>
              <c:showSerName val="0"/>
              <c:showPercent val="0"/>
              <c:showBubbleSize val="0"/>
            </c:dLbl>
            <c:txPr>
              <a:bodyPr/>
              <a:lstStyle/>
              <a:p>
                <a:pPr>
                  <a:defRPr b="0"/>
                </a:pPr>
                <a:endParaRPr lang="en-US"/>
              </a:p>
            </c:txPr>
            <c:showLegendKey val="0"/>
            <c:showVal val="0"/>
            <c:showCatName val="0"/>
            <c:showSerName val="0"/>
            <c:showPercent val="0"/>
            <c:showBubbleSize val="0"/>
          </c:dLbls>
          <c:cat>
            <c:numRef>
              <c:f>Sheet2!$B$1:$F$1</c:f>
              <c:numCache>
                <c:formatCode>General</c:formatCode>
                <c:ptCount val="5"/>
                <c:pt idx="0">
                  <c:v>1</c:v>
                </c:pt>
                <c:pt idx="1">
                  <c:v>2</c:v>
                </c:pt>
                <c:pt idx="2">
                  <c:v>3</c:v>
                </c:pt>
                <c:pt idx="3">
                  <c:v>4</c:v>
                </c:pt>
                <c:pt idx="4">
                  <c:v>5</c:v>
                </c:pt>
              </c:numCache>
            </c:numRef>
          </c:cat>
          <c:val>
            <c:numRef>
              <c:f>Sheet2!$B$3:$F$3</c:f>
              <c:numCache>
                <c:formatCode>0.0%</c:formatCode>
                <c:ptCount val="5"/>
                <c:pt idx="0">
                  <c:v>0.56899999999999995</c:v>
                </c:pt>
                <c:pt idx="1">
                  <c:v>0.17600000000000021</c:v>
                </c:pt>
                <c:pt idx="2">
                  <c:v>0.15700000000000044</c:v>
                </c:pt>
                <c:pt idx="3">
                  <c:v>7.8000000000000014E-2</c:v>
                </c:pt>
                <c:pt idx="4">
                  <c:v>2.0000000000000011E-2</c:v>
                </c:pt>
              </c:numCache>
            </c:numRef>
          </c:val>
        </c:ser>
        <c:ser>
          <c:idx val="2"/>
          <c:order val="2"/>
          <c:tx>
            <c:strRef>
              <c:f>Sheet2!$A$4</c:f>
              <c:strCache>
                <c:ptCount val="1"/>
                <c:pt idx="0">
                  <c:v>Padidėjo darbuotojų užimtumas</c:v>
                </c:pt>
              </c:strCache>
            </c:strRef>
          </c:tx>
          <c:invertIfNegative val="0"/>
          <c:dLbls>
            <c:dLbl>
              <c:idx val="0"/>
              <c:layout>
                <c:manualLayout>
                  <c:x val="0"/>
                  <c:y val="-5.5412351767111123E-2"/>
                </c:manualLayout>
              </c:layout>
              <c:showLegendKey val="0"/>
              <c:showVal val="1"/>
              <c:showCatName val="0"/>
              <c:showSerName val="0"/>
              <c:showPercent val="0"/>
              <c:showBubbleSize val="0"/>
            </c:dLbl>
            <c:dLbl>
              <c:idx val="1"/>
              <c:layout>
                <c:manualLayout>
                  <c:x val="9.7318007662835181E-3"/>
                  <c:y val="-6.1569279741234495E-2"/>
                </c:manualLayout>
              </c:layout>
              <c:showLegendKey val="0"/>
              <c:showVal val="1"/>
              <c:showCatName val="0"/>
              <c:showSerName val="0"/>
              <c:showPercent val="0"/>
              <c:showBubbleSize val="0"/>
            </c:dLbl>
            <c:dLbl>
              <c:idx val="2"/>
              <c:layout>
                <c:manualLayout>
                  <c:x val="-2.676245210727965E-2"/>
                  <c:y val="-4.3098495818864192E-2"/>
                </c:manualLayout>
              </c:layout>
              <c:showLegendKey val="0"/>
              <c:showVal val="1"/>
              <c:showCatName val="0"/>
              <c:showSerName val="0"/>
              <c:showPercent val="0"/>
              <c:showBubbleSize val="0"/>
            </c:dLbl>
            <c:showLegendKey val="0"/>
            <c:showVal val="0"/>
            <c:showCatName val="0"/>
            <c:showSerName val="0"/>
            <c:showPercent val="0"/>
            <c:showBubbleSize val="0"/>
          </c:dLbls>
          <c:cat>
            <c:numRef>
              <c:f>Sheet2!$B$1:$F$1</c:f>
              <c:numCache>
                <c:formatCode>General</c:formatCode>
                <c:ptCount val="5"/>
                <c:pt idx="0">
                  <c:v>1</c:v>
                </c:pt>
                <c:pt idx="1">
                  <c:v>2</c:v>
                </c:pt>
                <c:pt idx="2">
                  <c:v>3</c:v>
                </c:pt>
                <c:pt idx="3">
                  <c:v>4</c:v>
                </c:pt>
                <c:pt idx="4">
                  <c:v>5</c:v>
                </c:pt>
              </c:numCache>
            </c:numRef>
          </c:cat>
          <c:val>
            <c:numRef>
              <c:f>Sheet2!$B$4:$F$4</c:f>
              <c:numCache>
                <c:formatCode>0.0%</c:formatCode>
                <c:ptCount val="5"/>
                <c:pt idx="0">
                  <c:v>0.13700000000000001</c:v>
                </c:pt>
                <c:pt idx="1">
                  <c:v>0.29400000000000032</c:v>
                </c:pt>
                <c:pt idx="2">
                  <c:v>0.29400000000000032</c:v>
                </c:pt>
                <c:pt idx="3">
                  <c:v>0.27500000000000002</c:v>
                </c:pt>
                <c:pt idx="4">
                  <c:v>0</c:v>
                </c:pt>
              </c:numCache>
            </c:numRef>
          </c:val>
        </c:ser>
        <c:ser>
          <c:idx val="3"/>
          <c:order val="3"/>
          <c:tx>
            <c:strRef>
              <c:f>Sheet2!$A$5</c:f>
              <c:strCache>
                <c:ptCount val="1"/>
                <c:pt idx="0">
                  <c:v>Kita</c:v>
                </c:pt>
              </c:strCache>
            </c:strRef>
          </c:tx>
          <c:invertIfNegative val="0"/>
          <c:cat>
            <c:numRef>
              <c:f>Sheet2!$B$1:$F$1</c:f>
              <c:numCache>
                <c:formatCode>General</c:formatCode>
                <c:ptCount val="5"/>
                <c:pt idx="0">
                  <c:v>1</c:v>
                </c:pt>
                <c:pt idx="1">
                  <c:v>2</c:v>
                </c:pt>
                <c:pt idx="2">
                  <c:v>3</c:v>
                </c:pt>
                <c:pt idx="3">
                  <c:v>4</c:v>
                </c:pt>
                <c:pt idx="4">
                  <c:v>5</c:v>
                </c:pt>
              </c:numCache>
            </c:numRef>
          </c:cat>
          <c:val>
            <c:numRef>
              <c:f>Sheet2!$B$5:$F$5</c:f>
              <c:numCache>
                <c:formatCode>0.0%</c:formatCode>
                <c:ptCount val="5"/>
                <c:pt idx="0">
                  <c:v>2.0000000000000011E-2</c:v>
                </c:pt>
                <c:pt idx="1">
                  <c:v>0</c:v>
                </c:pt>
                <c:pt idx="2">
                  <c:v>2.0000000000000011E-2</c:v>
                </c:pt>
                <c:pt idx="3">
                  <c:v>0</c:v>
                </c:pt>
                <c:pt idx="4">
                  <c:v>0.96100000000000063</c:v>
                </c:pt>
              </c:numCache>
            </c:numRef>
          </c:val>
        </c:ser>
        <c:ser>
          <c:idx val="4"/>
          <c:order val="4"/>
          <c:tx>
            <c:strRef>
              <c:f>Sheet2!$A$6</c:f>
              <c:strCache>
                <c:ptCount val="1"/>
                <c:pt idx="0">
                  <c:v>Išaugo pelnas</c:v>
                </c:pt>
              </c:strCache>
            </c:strRef>
          </c:tx>
          <c:invertIfNegative val="0"/>
          <c:dLbls>
            <c:dLbl>
              <c:idx val="3"/>
              <c:layout>
                <c:manualLayout>
                  <c:x val="-1.7030651340996173E-2"/>
                  <c:y val="-6.1569279741234495E-2"/>
                </c:manualLayout>
              </c:layout>
              <c:showLegendKey val="0"/>
              <c:showVal val="1"/>
              <c:showCatName val="0"/>
              <c:showSerName val="0"/>
              <c:showPercent val="0"/>
              <c:showBubbleSize val="0"/>
            </c:dLbl>
            <c:showLegendKey val="0"/>
            <c:showVal val="0"/>
            <c:showCatName val="0"/>
            <c:showSerName val="0"/>
            <c:showPercent val="0"/>
            <c:showBubbleSize val="0"/>
          </c:dLbls>
          <c:cat>
            <c:numRef>
              <c:f>Sheet2!$B$1:$F$1</c:f>
              <c:numCache>
                <c:formatCode>General</c:formatCode>
                <c:ptCount val="5"/>
                <c:pt idx="0">
                  <c:v>1</c:v>
                </c:pt>
                <c:pt idx="1">
                  <c:v>2</c:v>
                </c:pt>
                <c:pt idx="2">
                  <c:v>3</c:v>
                </c:pt>
                <c:pt idx="3">
                  <c:v>4</c:v>
                </c:pt>
                <c:pt idx="4">
                  <c:v>5</c:v>
                </c:pt>
              </c:numCache>
            </c:numRef>
          </c:cat>
          <c:val>
            <c:numRef>
              <c:f>Sheet2!$B$6:$F$6</c:f>
              <c:numCache>
                <c:formatCode>0.0%</c:formatCode>
                <c:ptCount val="5"/>
                <c:pt idx="0">
                  <c:v>5.9000000000000337E-2</c:v>
                </c:pt>
                <c:pt idx="1">
                  <c:v>0.21600000000000041</c:v>
                </c:pt>
                <c:pt idx="2">
                  <c:v>0.23500000000000001</c:v>
                </c:pt>
                <c:pt idx="3">
                  <c:v>0.47100000000000031</c:v>
                </c:pt>
                <c:pt idx="4">
                  <c:v>2.0000000000000011E-2</c:v>
                </c:pt>
              </c:numCache>
            </c:numRef>
          </c:val>
        </c:ser>
        <c:dLbls>
          <c:showLegendKey val="0"/>
          <c:showVal val="0"/>
          <c:showCatName val="0"/>
          <c:showSerName val="0"/>
          <c:showPercent val="0"/>
          <c:showBubbleSize val="0"/>
        </c:dLbls>
        <c:gapWidth val="150"/>
        <c:overlap val="100"/>
        <c:axId val="194683264"/>
        <c:axId val="194684800"/>
      </c:barChart>
      <c:catAx>
        <c:axId val="194683264"/>
        <c:scaling>
          <c:orientation val="minMax"/>
        </c:scaling>
        <c:delete val="0"/>
        <c:axPos val="l"/>
        <c:numFmt formatCode="General" sourceLinked="1"/>
        <c:majorTickMark val="out"/>
        <c:minorTickMark val="none"/>
        <c:tickLblPos val="nextTo"/>
        <c:txPr>
          <a:bodyPr/>
          <a:lstStyle/>
          <a:p>
            <a:pPr>
              <a:defRPr lang="es-ES"/>
            </a:pPr>
            <a:endParaRPr lang="en-US"/>
          </a:p>
        </c:txPr>
        <c:crossAx val="194684800"/>
        <c:crosses val="autoZero"/>
        <c:auto val="1"/>
        <c:lblAlgn val="ctr"/>
        <c:lblOffset val="100"/>
        <c:noMultiLvlLbl val="0"/>
      </c:catAx>
      <c:valAx>
        <c:axId val="194684800"/>
        <c:scaling>
          <c:orientation val="minMax"/>
          <c:max val="1"/>
          <c:min val="0"/>
        </c:scaling>
        <c:delete val="0"/>
        <c:axPos val="b"/>
        <c:majorGridlines/>
        <c:numFmt formatCode="0%" sourceLinked="0"/>
        <c:majorTickMark val="out"/>
        <c:minorTickMark val="none"/>
        <c:tickLblPos val="nextTo"/>
        <c:txPr>
          <a:bodyPr/>
          <a:lstStyle/>
          <a:p>
            <a:pPr>
              <a:defRPr lang="es-ES"/>
            </a:pPr>
            <a:endParaRPr lang="en-US"/>
          </a:p>
        </c:txPr>
        <c:crossAx val="194683264"/>
        <c:crosses val="autoZero"/>
        <c:crossBetween val="between"/>
        <c:majorUnit val="0.2"/>
      </c:valAx>
    </c:plotArea>
    <c:legend>
      <c:legendPos val="r"/>
      <c:layout>
        <c:manualLayout>
          <c:xMode val="edge"/>
          <c:yMode val="edge"/>
          <c:x val="0.73169282394318225"/>
          <c:y val="8.6202249369788653E-2"/>
          <c:w val="0.2658966246572258"/>
          <c:h val="0.71236836136223125"/>
        </c:manualLayout>
      </c:layout>
      <c:overlay val="0"/>
      <c:txPr>
        <a:bodyPr/>
        <a:lstStyle/>
        <a:p>
          <a:pPr>
            <a:defRPr lang="es-ES"/>
          </a:pPr>
          <a:endParaRPr lang="en-US"/>
        </a:p>
      </c:txPr>
    </c:legend>
    <c:plotVisOnly val="1"/>
    <c:dispBlanksAs val="gap"/>
    <c:showDLblsOverMax val="0"/>
  </c:chart>
  <c:spPr>
    <a:ln>
      <a:solidFill>
        <a:schemeClr val="tx1"/>
      </a:solidFill>
    </a:ln>
  </c:spPr>
  <c:txPr>
    <a:bodyPr/>
    <a:lstStyle/>
    <a:p>
      <a:pPr>
        <a:defRPr>
          <a:latin typeface="Times New Roman" pitchFamily="18" charset="0"/>
          <a:cs typeface="Times New Roman" pitchFamily="18" charset="0"/>
        </a:defRPr>
      </a:pPr>
      <a:endParaRPr lang="en-US"/>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517295638042914E-2"/>
          <c:y val="0"/>
          <c:w val="0.69989098768071645"/>
          <c:h val="0.79454619000946158"/>
        </c:manualLayout>
      </c:layout>
      <c:barChart>
        <c:barDir val="bar"/>
        <c:grouping val="stacked"/>
        <c:varyColors val="0"/>
        <c:ser>
          <c:idx val="0"/>
          <c:order val="0"/>
          <c:tx>
            <c:strRef>
              <c:f>Sheet3!$A$2</c:f>
              <c:strCache>
                <c:ptCount val="1"/>
                <c:pt idx="0">
                  <c:v>Pelnas</c:v>
                </c:pt>
              </c:strCache>
            </c:strRef>
          </c:tx>
          <c:invertIfNegative val="0"/>
          <c:dLbls>
            <c:dLbl>
              <c:idx val="3"/>
              <c:layout>
                <c:manualLayout>
                  <c:x val="-4.8606384161514037E-3"/>
                  <c:y val="-4.9253441923599123E-2"/>
                </c:manualLayout>
              </c:layout>
              <c:showLegendKey val="0"/>
              <c:showVal val="1"/>
              <c:showCatName val="0"/>
              <c:showSerName val="0"/>
              <c:showPercent val="0"/>
              <c:showBubbleSize val="0"/>
            </c:dLbl>
            <c:showLegendKey val="0"/>
            <c:showVal val="0"/>
            <c:showCatName val="0"/>
            <c:showSerName val="0"/>
            <c:showPercent val="0"/>
            <c:showBubbleSize val="0"/>
          </c:dLbls>
          <c:cat>
            <c:numRef>
              <c:f>Sheet3!$B$1:$G$1</c:f>
              <c:numCache>
                <c:formatCode>General</c:formatCode>
                <c:ptCount val="6"/>
                <c:pt idx="0">
                  <c:v>1</c:v>
                </c:pt>
                <c:pt idx="1">
                  <c:v>2</c:v>
                </c:pt>
                <c:pt idx="2">
                  <c:v>3</c:v>
                </c:pt>
                <c:pt idx="3">
                  <c:v>4</c:v>
                </c:pt>
                <c:pt idx="4">
                  <c:v>5</c:v>
                </c:pt>
                <c:pt idx="5">
                  <c:v>6</c:v>
                </c:pt>
              </c:numCache>
            </c:numRef>
          </c:cat>
          <c:val>
            <c:numRef>
              <c:f>Sheet3!$B$2:$G$2</c:f>
              <c:numCache>
                <c:formatCode>0.00%</c:formatCode>
                <c:ptCount val="6"/>
                <c:pt idx="0">
                  <c:v>0.255</c:v>
                </c:pt>
                <c:pt idx="1">
                  <c:v>0.15700000000000044</c:v>
                </c:pt>
                <c:pt idx="2">
                  <c:v>0.21600000000000041</c:v>
                </c:pt>
                <c:pt idx="3">
                  <c:v>0.29400000000000032</c:v>
                </c:pt>
                <c:pt idx="4">
                  <c:v>7.8000000000000014E-2</c:v>
                </c:pt>
                <c:pt idx="5">
                  <c:v>0</c:v>
                </c:pt>
              </c:numCache>
            </c:numRef>
          </c:val>
        </c:ser>
        <c:ser>
          <c:idx val="1"/>
          <c:order val="1"/>
          <c:tx>
            <c:strRef>
              <c:f>Sheet3!$A$3</c:f>
              <c:strCache>
                <c:ptCount val="1"/>
                <c:pt idx="0">
                  <c:v>Pardavimų (paslaugų) apimtis</c:v>
                </c:pt>
              </c:strCache>
            </c:strRef>
          </c:tx>
          <c:invertIfNegative val="0"/>
          <c:dLbls>
            <c:dLbl>
              <c:idx val="0"/>
              <c:layout>
                <c:manualLayout>
                  <c:x val="-4.8606384161514037E-3"/>
                  <c:y val="-6.1566802404498737E-2"/>
                </c:manualLayout>
              </c:layout>
              <c:showLegendKey val="0"/>
              <c:showVal val="1"/>
              <c:showCatName val="0"/>
              <c:showSerName val="0"/>
              <c:showPercent val="0"/>
              <c:showBubbleSize val="0"/>
            </c:dLbl>
            <c:showLegendKey val="0"/>
            <c:showVal val="0"/>
            <c:showCatName val="0"/>
            <c:showSerName val="0"/>
            <c:showPercent val="0"/>
            <c:showBubbleSize val="0"/>
          </c:dLbls>
          <c:cat>
            <c:numRef>
              <c:f>Sheet3!$B$1:$G$1</c:f>
              <c:numCache>
                <c:formatCode>General</c:formatCode>
                <c:ptCount val="6"/>
                <c:pt idx="0">
                  <c:v>1</c:v>
                </c:pt>
                <c:pt idx="1">
                  <c:v>2</c:v>
                </c:pt>
                <c:pt idx="2">
                  <c:v>3</c:v>
                </c:pt>
                <c:pt idx="3">
                  <c:v>4</c:v>
                </c:pt>
                <c:pt idx="4">
                  <c:v>5</c:v>
                </c:pt>
                <c:pt idx="5">
                  <c:v>6</c:v>
                </c:pt>
              </c:numCache>
            </c:numRef>
          </c:cat>
          <c:val>
            <c:numRef>
              <c:f>Sheet3!$B$3:$G$3</c:f>
              <c:numCache>
                <c:formatCode>0.00%</c:formatCode>
                <c:ptCount val="6"/>
                <c:pt idx="0">
                  <c:v>0.52900000000000003</c:v>
                </c:pt>
                <c:pt idx="1">
                  <c:v>0.35300000000000031</c:v>
                </c:pt>
                <c:pt idx="2">
                  <c:v>7.8000000000000014E-2</c:v>
                </c:pt>
                <c:pt idx="3">
                  <c:v>3.9000000000000014E-2</c:v>
                </c:pt>
                <c:pt idx="4">
                  <c:v>0</c:v>
                </c:pt>
                <c:pt idx="5">
                  <c:v>0</c:v>
                </c:pt>
              </c:numCache>
            </c:numRef>
          </c:val>
        </c:ser>
        <c:ser>
          <c:idx val="2"/>
          <c:order val="2"/>
          <c:tx>
            <c:strRef>
              <c:f>Sheet3!$A$4</c:f>
              <c:strCache>
                <c:ptCount val="1"/>
                <c:pt idx="0">
                  <c:v>Darbo vietų skaičius</c:v>
                </c:pt>
              </c:strCache>
            </c:strRef>
          </c:tx>
          <c:invertIfNegative val="0"/>
          <c:dLbls>
            <c:dLbl>
              <c:idx val="2"/>
              <c:layout>
                <c:manualLayout>
                  <c:x val="0"/>
                  <c:y val="-5.5410122164048912E-2"/>
                </c:manualLayout>
              </c:layout>
              <c:showLegendKey val="0"/>
              <c:showVal val="1"/>
              <c:showCatName val="0"/>
              <c:showSerName val="0"/>
              <c:showPercent val="0"/>
              <c:showBubbleSize val="0"/>
            </c:dLbl>
            <c:showLegendKey val="0"/>
            <c:showVal val="0"/>
            <c:showCatName val="0"/>
            <c:showSerName val="0"/>
            <c:showPercent val="0"/>
            <c:showBubbleSize val="0"/>
          </c:dLbls>
          <c:cat>
            <c:numRef>
              <c:f>Sheet3!$B$1:$G$1</c:f>
              <c:numCache>
                <c:formatCode>General</c:formatCode>
                <c:ptCount val="6"/>
                <c:pt idx="0">
                  <c:v>1</c:v>
                </c:pt>
                <c:pt idx="1">
                  <c:v>2</c:v>
                </c:pt>
                <c:pt idx="2">
                  <c:v>3</c:v>
                </c:pt>
                <c:pt idx="3">
                  <c:v>4</c:v>
                </c:pt>
                <c:pt idx="4">
                  <c:v>5</c:v>
                </c:pt>
                <c:pt idx="5">
                  <c:v>6</c:v>
                </c:pt>
              </c:numCache>
            </c:numRef>
          </c:cat>
          <c:val>
            <c:numRef>
              <c:f>Sheet3!$B$4:$G$4</c:f>
              <c:numCache>
                <c:formatCode>0.00%</c:formatCode>
                <c:ptCount val="6"/>
                <c:pt idx="0">
                  <c:v>3.9000000000000014E-2</c:v>
                </c:pt>
                <c:pt idx="1">
                  <c:v>5.9000000000000337E-2</c:v>
                </c:pt>
                <c:pt idx="2">
                  <c:v>0.33300000000000235</c:v>
                </c:pt>
                <c:pt idx="3">
                  <c:v>0.255</c:v>
                </c:pt>
                <c:pt idx="4">
                  <c:v>0.29400000000000032</c:v>
                </c:pt>
                <c:pt idx="5">
                  <c:v>2.0000000000000011E-2</c:v>
                </c:pt>
              </c:numCache>
            </c:numRef>
          </c:val>
        </c:ser>
        <c:ser>
          <c:idx val="3"/>
          <c:order val="3"/>
          <c:tx>
            <c:strRef>
              <c:f>Sheet3!$A$5</c:f>
              <c:strCache>
                <c:ptCount val="1"/>
                <c:pt idx="0">
                  <c:v>Apyvarta</c:v>
                </c:pt>
              </c:strCache>
            </c:strRef>
          </c:tx>
          <c:invertIfNegative val="0"/>
          <c:dLbls>
            <c:dLbl>
              <c:idx val="1"/>
              <c:layout>
                <c:manualLayout>
                  <c:x val="-1.4581915248454223E-2"/>
                  <c:y val="-6.1566802404498737E-2"/>
                </c:manualLayout>
              </c:layout>
              <c:showLegendKey val="0"/>
              <c:showVal val="1"/>
              <c:showCatName val="0"/>
              <c:showSerName val="0"/>
              <c:showPercent val="0"/>
              <c:showBubbleSize val="0"/>
            </c:dLbl>
            <c:showLegendKey val="0"/>
            <c:showVal val="0"/>
            <c:showCatName val="0"/>
            <c:showSerName val="0"/>
            <c:showPercent val="0"/>
            <c:showBubbleSize val="0"/>
          </c:dLbls>
          <c:cat>
            <c:numRef>
              <c:f>Sheet3!$B$1:$G$1</c:f>
              <c:numCache>
                <c:formatCode>General</c:formatCode>
                <c:ptCount val="6"/>
                <c:pt idx="0">
                  <c:v>1</c:v>
                </c:pt>
                <c:pt idx="1">
                  <c:v>2</c:v>
                </c:pt>
                <c:pt idx="2">
                  <c:v>3</c:v>
                </c:pt>
                <c:pt idx="3">
                  <c:v>4</c:v>
                </c:pt>
                <c:pt idx="4">
                  <c:v>5</c:v>
                </c:pt>
                <c:pt idx="5">
                  <c:v>6</c:v>
                </c:pt>
              </c:numCache>
            </c:numRef>
          </c:cat>
          <c:val>
            <c:numRef>
              <c:f>Sheet3!$B$5:$G$5</c:f>
              <c:numCache>
                <c:formatCode>0.00%</c:formatCode>
                <c:ptCount val="6"/>
                <c:pt idx="0">
                  <c:v>0.11799999999999998</c:v>
                </c:pt>
                <c:pt idx="1">
                  <c:v>0.37300000000000177</c:v>
                </c:pt>
                <c:pt idx="2">
                  <c:v>0.17600000000000021</c:v>
                </c:pt>
                <c:pt idx="3">
                  <c:v>0.255</c:v>
                </c:pt>
                <c:pt idx="4">
                  <c:v>7.8000000000000014E-2</c:v>
                </c:pt>
                <c:pt idx="5">
                  <c:v>0</c:v>
                </c:pt>
              </c:numCache>
            </c:numRef>
          </c:val>
        </c:ser>
        <c:ser>
          <c:idx val="4"/>
          <c:order val="4"/>
          <c:tx>
            <c:strRef>
              <c:f>Sheet3!$A$6</c:f>
              <c:strCache>
                <c:ptCount val="1"/>
                <c:pt idx="0">
                  <c:v>Konkurencingumas rinkoje</c:v>
                </c:pt>
              </c:strCache>
            </c:strRef>
          </c:tx>
          <c:invertIfNegative val="0"/>
          <c:dLbls>
            <c:dLbl>
              <c:idx val="4"/>
              <c:layout>
                <c:manualLayout>
                  <c:x val="-2.4303192080757079E-3"/>
                  <c:y val="-6.1566802404498737E-2"/>
                </c:manualLayout>
              </c:layout>
              <c:showLegendKey val="0"/>
              <c:showVal val="1"/>
              <c:showCatName val="0"/>
              <c:showSerName val="0"/>
              <c:showPercent val="0"/>
              <c:showBubbleSize val="0"/>
            </c:dLbl>
            <c:showLegendKey val="0"/>
            <c:showVal val="0"/>
            <c:showCatName val="0"/>
            <c:showSerName val="0"/>
            <c:showPercent val="0"/>
            <c:showBubbleSize val="0"/>
          </c:dLbls>
          <c:cat>
            <c:numRef>
              <c:f>Sheet3!$B$1:$G$1</c:f>
              <c:numCache>
                <c:formatCode>General</c:formatCode>
                <c:ptCount val="6"/>
                <c:pt idx="0">
                  <c:v>1</c:v>
                </c:pt>
                <c:pt idx="1">
                  <c:v>2</c:v>
                </c:pt>
                <c:pt idx="2">
                  <c:v>3</c:v>
                </c:pt>
                <c:pt idx="3">
                  <c:v>4</c:v>
                </c:pt>
                <c:pt idx="4">
                  <c:v>5</c:v>
                </c:pt>
                <c:pt idx="5">
                  <c:v>6</c:v>
                </c:pt>
              </c:numCache>
            </c:numRef>
          </c:cat>
          <c:val>
            <c:numRef>
              <c:f>Sheet3!$B$6:$G$6</c:f>
              <c:numCache>
                <c:formatCode>0.00%</c:formatCode>
                <c:ptCount val="6"/>
                <c:pt idx="0">
                  <c:v>2.0000000000000011E-2</c:v>
                </c:pt>
                <c:pt idx="1">
                  <c:v>5.9000000000000337E-2</c:v>
                </c:pt>
                <c:pt idx="2">
                  <c:v>0.19600000000000001</c:v>
                </c:pt>
                <c:pt idx="3">
                  <c:v>0.15700000000000044</c:v>
                </c:pt>
                <c:pt idx="4">
                  <c:v>0.54900000000000004</c:v>
                </c:pt>
                <c:pt idx="5">
                  <c:v>2.0000000000000011E-2</c:v>
                </c:pt>
              </c:numCache>
            </c:numRef>
          </c:val>
        </c:ser>
        <c:ser>
          <c:idx val="5"/>
          <c:order val="5"/>
          <c:tx>
            <c:strRef>
              <c:f>Sheet3!$A$7</c:f>
              <c:strCache>
                <c:ptCount val="1"/>
                <c:pt idx="0">
                  <c:v>Kita</c:v>
                </c:pt>
              </c:strCache>
            </c:strRef>
          </c:tx>
          <c:invertIfNegative val="0"/>
          <c:cat>
            <c:numRef>
              <c:f>Sheet3!$B$1:$G$1</c:f>
              <c:numCache>
                <c:formatCode>General</c:formatCode>
                <c:ptCount val="6"/>
                <c:pt idx="0">
                  <c:v>1</c:v>
                </c:pt>
                <c:pt idx="1">
                  <c:v>2</c:v>
                </c:pt>
                <c:pt idx="2">
                  <c:v>3</c:v>
                </c:pt>
                <c:pt idx="3">
                  <c:v>4</c:v>
                </c:pt>
                <c:pt idx="4">
                  <c:v>5</c:v>
                </c:pt>
                <c:pt idx="5">
                  <c:v>6</c:v>
                </c:pt>
              </c:numCache>
            </c:numRef>
          </c:cat>
          <c:val>
            <c:numRef>
              <c:f>Sheet3!$B$7:$G$7</c:f>
              <c:numCache>
                <c:formatCode>0.00%</c:formatCode>
                <c:ptCount val="6"/>
                <c:pt idx="0">
                  <c:v>3.9000000000000014E-2</c:v>
                </c:pt>
                <c:pt idx="1">
                  <c:v>0</c:v>
                </c:pt>
                <c:pt idx="2">
                  <c:v>0</c:v>
                </c:pt>
                <c:pt idx="3">
                  <c:v>0</c:v>
                </c:pt>
                <c:pt idx="4">
                  <c:v>0</c:v>
                </c:pt>
                <c:pt idx="5">
                  <c:v>0.96100000000000063</c:v>
                </c:pt>
              </c:numCache>
            </c:numRef>
          </c:val>
        </c:ser>
        <c:dLbls>
          <c:showLegendKey val="0"/>
          <c:showVal val="0"/>
          <c:showCatName val="0"/>
          <c:showSerName val="0"/>
          <c:showPercent val="0"/>
          <c:showBubbleSize val="0"/>
        </c:dLbls>
        <c:gapWidth val="150"/>
        <c:overlap val="100"/>
        <c:axId val="195645824"/>
        <c:axId val="195647360"/>
      </c:barChart>
      <c:catAx>
        <c:axId val="195645824"/>
        <c:scaling>
          <c:orientation val="minMax"/>
        </c:scaling>
        <c:delete val="0"/>
        <c:axPos val="l"/>
        <c:numFmt formatCode="General" sourceLinked="1"/>
        <c:majorTickMark val="out"/>
        <c:minorTickMark val="none"/>
        <c:tickLblPos val="nextTo"/>
        <c:crossAx val="195647360"/>
        <c:crosses val="autoZero"/>
        <c:auto val="1"/>
        <c:lblAlgn val="ctr"/>
        <c:lblOffset val="100"/>
        <c:noMultiLvlLbl val="0"/>
      </c:catAx>
      <c:valAx>
        <c:axId val="195647360"/>
        <c:scaling>
          <c:orientation val="minMax"/>
          <c:max val="1"/>
          <c:min val="0"/>
        </c:scaling>
        <c:delete val="0"/>
        <c:axPos val="b"/>
        <c:majorGridlines/>
        <c:numFmt formatCode="0%" sourceLinked="0"/>
        <c:majorTickMark val="out"/>
        <c:minorTickMark val="none"/>
        <c:tickLblPos val="nextTo"/>
        <c:crossAx val="195645824"/>
        <c:crosses val="autoZero"/>
        <c:crossBetween val="between"/>
      </c:valAx>
    </c:plotArea>
    <c:legend>
      <c:legendPos val="r"/>
      <c:layout>
        <c:manualLayout>
          <c:xMode val="edge"/>
          <c:yMode val="edge"/>
          <c:x val="0.78706111069451545"/>
          <c:y val="1.4003108028143808E-3"/>
          <c:w val="0.21293894357888776"/>
          <c:h val="0.99859953950960145"/>
        </c:manualLayout>
      </c:layout>
      <c:overlay val="0"/>
    </c:legend>
    <c:plotVisOnly val="1"/>
    <c:dispBlanksAs val="gap"/>
    <c:showDLblsOverMax val="0"/>
  </c:chart>
  <c:spPr>
    <a:ln>
      <a:solidFill>
        <a:schemeClr val="tx1"/>
      </a:solidFill>
    </a:ln>
  </c:spPr>
  <c:txPr>
    <a:bodyPr/>
    <a:lstStyle/>
    <a:p>
      <a:pPr>
        <a:defRPr>
          <a:latin typeface="Times New Roman" pitchFamily="18" charset="0"/>
          <a:cs typeface="Times New Roman" pitchFamily="18" charset="0"/>
        </a:defRPr>
      </a:pPr>
      <a:endParaRPr lang="en-US"/>
    </a:p>
  </c:txPr>
  <c:externalData r:id="rId1">
    <c:autoUpdate val="0"/>
  </c:externalData>
  <c:userShapes r:id="rId2"/>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5DA5D1-A133-4EE0-8D8E-A3EBA30E8C78}"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s-ES"/>
        </a:p>
      </dgm:t>
    </dgm:pt>
    <dgm:pt modelId="{4BF273CB-3880-4F38-8163-31E6606198DD}">
      <dgm:prSet phldrT="[Text]"/>
      <dgm:spPr/>
      <dgm:t>
        <a:bodyPr/>
        <a:lstStyle/>
        <a:p>
          <a:pPr algn="ctr"/>
          <a:r>
            <a:rPr lang="lt-LT">
              <a:latin typeface="Times New Roman" pitchFamily="18" charset="0"/>
              <a:cs typeface="Times New Roman" pitchFamily="18" charset="0"/>
            </a:rPr>
            <a:t>Verslo rėmimo tipai</a:t>
          </a:r>
          <a:endParaRPr lang="es-ES">
            <a:latin typeface="Times New Roman" pitchFamily="18" charset="0"/>
            <a:cs typeface="Times New Roman" pitchFamily="18" charset="0"/>
          </a:endParaRPr>
        </a:p>
      </dgm:t>
    </dgm:pt>
    <dgm:pt modelId="{38DACB2C-27E3-4FA2-AF5D-2244C2856144}" type="sibTrans" cxnId="{D0466EB7-F5EC-4829-81FA-892272B3393A}">
      <dgm:prSet/>
      <dgm:spPr/>
      <dgm:t>
        <a:bodyPr/>
        <a:lstStyle/>
        <a:p>
          <a:pPr algn="ctr"/>
          <a:endParaRPr lang="es-ES">
            <a:latin typeface="Times New Roman" pitchFamily="18" charset="0"/>
            <a:cs typeface="Times New Roman" pitchFamily="18" charset="0"/>
          </a:endParaRPr>
        </a:p>
      </dgm:t>
    </dgm:pt>
    <dgm:pt modelId="{73F345E5-6716-4126-B277-20A590C7637F}" type="parTrans" cxnId="{D0466EB7-F5EC-4829-81FA-892272B3393A}">
      <dgm:prSet/>
      <dgm:spPr/>
      <dgm:t>
        <a:bodyPr/>
        <a:lstStyle/>
        <a:p>
          <a:pPr algn="ctr"/>
          <a:endParaRPr lang="es-ES">
            <a:latin typeface="Times New Roman" pitchFamily="18" charset="0"/>
            <a:cs typeface="Times New Roman" pitchFamily="18" charset="0"/>
          </a:endParaRPr>
        </a:p>
      </dgm:t>
    </dgm:pt>
    <dgm:pt modelId="{4928B0A1-ACB2-4010-98F0-0D3B81C9D2C2}" type="asst">
      <dgm:prSet phldrT="[Text]"/>
      <dgm:spPr/>
      <dgm:t>
        <a:bodyPr/>
        <a:lstStyle/>
        <a:p>
          <a:pPr algn="ctr"/>
          <a:r>
            <a:rPr lang="lt-LT">
              <a:latin typeface="Times New Roman" pitchFamily="18" charset="0"/>
              <a:cs typeface="Times New Roman" pitchFamily="18" charset="0"/>
            </a:rPr>
            <a:t>Finansiniai</a:t>
          </a:r>
          <a:endParaRPr lang="es-ES">
            <a:latin typeface="Times New Roman" pitchFamily="18" charset="0"/>
            <a:cs typeface="Times New Roman" pitchFamily="18" charset="0"/>
          </a:endParaRPr>
        </a:p>
      </dgm:t>
    </dgm:pt>
    <dgm:pt modelId="{4D856A69-3FA1-40C2-A25C-F919914FDEEB}" type="sibTrans" cxnId="{8A2E7802-184C-48D6-A890-FCBEBC5209AA}">
      <dgm:prSet/>
      <dgm:spPr/>
      <dgm:t>
        <a:bodyPr/>
        <a:lstStyle/>
        <a:p>
          <a:pPr algn="ctr"/>
          <a:endParaRPr lang="es-ES">
            <a:latin typeface="Times New Roman" pitchFamily="18" charset="0"/>
            <a:cs typeface="Times New Roman" pitchFamily="18" charset="0"/>
          </a:endParaRPr>
        </a:p>
      </dgm:t>
    </dgm:pt>
    <dgm:pt modelId="{ED6C7BE3-B804-40B6-9FBB-BCDFCBF197BB}" type="parTrans" cxnId="{8A2E7802-184C-48D6-A890-FCBEBC5209AA}">
      <dgm:prSet/>
      <dgm:spPr/>
      <dgm:t>
        <a:bodyPr/>
        <a:lstStyle/>
        <a:p>
          <a:pPr algn="ctr"/>
          <a:endParaRPr lang="es-ES">
            <a:latin typeface="Times New Roman" pitchFamily="18" charset="0"/>
            <a:cs typeface="Times New Roman" pitchFamily="18" charset="0"/>
          </a:endParaRPr>
        </a:p>
      </dgm:t>
    </dgm:pt>
    <dgm:pt modelId="{2F4D8F8A-70EC-49E7-9395-8F206ACA96ED}" type="asst">
      <dgm:prSet/>
      <dgm:spPr/>
      <dgm:t>
        <a:bodyPr/>
        <a:lstStyle/>
        <a:p>
          <a:pPr algn="ctr"/>
          <a:r>
            <a:rPr lang="lt-LT">
              <a:latin typeface="Times New Roman" pitchFamily="18" charset="0"/>
              <a:cs typeface="Times New Roman" pitchFamily="18" charset="0"/>
            </a:rPr>
            <a:t>Nefinansiniai</a:t>
          </a:r>
          <a:endParaRPr lang="es-ES">
            <a:latin typeface="Times New Roman" pitchFamily="18" charset="0"/>
            <a:cs typeface="Times New Roman" pitchFamily="18" charset="0"/>
          </a:endParaRPr>
        </a:p>
      </dgm:t>
    </dgm:pt>
    <dgm:pt modelId="{9081F5AC-80D3-4125-AB0B-D3EE0CB33AA1}" type="parTrans" cxnId="{6C13D3A9-8A09-474D-8621-531B27A2C6B3}">
      <dgm:prSet/>
      <dgm:spPr/>
      <dgm:t>
        <a:bodyPr/>
        <a:lstStyle/>
        <a:p>
          <a:pPr algn="ctr"/>
          <a:endParaRPr lang="es-ES">
            <a:latin typeface="Times New Roman" pitchFamily="18" charset="0"/>
            <a:cs typeface="Times New Roman" pitchFamily="18" charset="0"/>
          </a:endParaRPr>
        </a:p>
      </dgm:t>
    </dgm:pt>
    <dgm:pt modelId="{0892A31D-535F-4C0F-BEAB-0B5144ACD2DD}" type="sibTrans" cxnId="{6C13D3A9-8A09-474D-8621-531B27A2C6B3}">
      <dgm:prSet/>
      <dgm:spPr/>
      <dgm:t>
        <a:bodyPr/>
        <a:lstStyle/>
        <a:p>
          <a:pPr algn="ctr"/>
          <a:endParaRPr lang="es-ES">
            <a:latin typeface="Times New Roman" pitchFamily="18" charset="0"/>
            <a:cs typeface="Times New Roman" pitchFamily="18" charset="0"/>
          </a:endParaRPr>
        </a:p>
      </dgm:t>
    </dgm:pt>
    <dgm:pt modelId="{0CC33653-3BF3-4478-BCCD-28012FCE7E97}" type="asst">
      <dgm:prSet/>
      <dgm:spPr/>
      <dgm:t>
        <a:bodyPr/>
        <a:lstStyle/>
        <a:p>
          <a:pPr algn="ctr"/>
          <a:r>
            <a:rPr lang="lt-LT">
              <a:latin typeface="Times New Roman" pitchFamily="18" charset="0"/>
              <a:cs typeface="Times New Roman" pitchFamily="18" charset="0"/>
            </a:rPr>
            <a:t>Mokestinės lengvatos</a:t>
          </a:r>
          <a:endParaRPr lang="es-ES">
            <a:latin typeface="Times New Roman" pitchFamily="18" charset="0"/>
            <a:cs typeface="Times New Roman" pitchFamily="18" charset="0"/>
          </a:endParaRPr>
        </a:p>
      </dgm:t>
    </dgm:pt>
    <dgm:pt modelId="{1EBC940B-E2A1-4FAE-B728-B08FC8AA99E3}" type="parTrans" cxnId="{AE00A6C0-D5CA-4492-B1EA-0EF1119D902F}">
      <dgm:prSet/>
      <dgm:spPr/>
      <dgm:t>
        <a:bodyPr/>
        <a:lstStyle/>
        <a:p>
          <a:pPr algn="ctr"/>
          <a:endParaRPr lang="es-ES">
            <a:latin typeface="Times New Roman" pitchFamily="18" charset="0"/>
            <a:cs typeface="Times New Roman" pitchFamily="18" charset="0"/>
          </a:endParaRPr>
        </a:p>
      </dgm:t>
    </dgm:pt>
    <dgm:pt modelId="{F281FB89-BFEA-4D7C-AF6C-F6C54CFCD1DA}" type="sibTrans" cxnId="{AE00A6C0-D5CA-4492-B1EA-0EF1119D902F}">
      <dgm:prSet/>
      <dgm:spPr/>
      <dgm:t>
        <a:bodyPr/>
        <a:lstStyle/>
        <a:p>
          <a:pPr algn="ctr"/>
          <a:endParaRPr lang="es-ES">
            <a:latin typeface="Times New Roman" pitchFamily="18" charset="0"/>
            <a:cs typeface="Times New Roman" pitchFamily="18" charset="0"/>
          </a:endParaRPr>
        </a:p>
      </dgm:t>
    </dgm:pt>
    <dgm:pt modelId="{CB7C62A1-1368-48E0-9DE7-DE2B67E7C65F}" type="asst">
      <dgm:prSet/>
      <dgm:spPr/>
      <dgm:t>
        <a:bodyPr/>
        <a:lstStyle/>
        <a:p>
          <a:pPr algn="ctr"/>
          <a:r>
            <a:rPr lang="lt-LT">
              <a:latin typeface="Times New Roman" pitchFamily="18" charset="0"/>
              <a:cs typeface="Times New Roman" pitchFamily="18" charset="0"/>
            </a:rPr>
            <a:t>Lengvatinės paskolos</a:t>
          </a:r>
          <a:endParaRPr lang="es-ES">
            <a:latin typeface="Times New Roman" pitchFamily="18" charset="0"/>
            <a:cs typeface="Times New Roman" pitchFamily="18" charset="0"/>
          </a:endParaRPr>
        </a:p>
      </dgm:t>
    </dgm:pt>
    <dgm:pt modelId="{B0417EF3-B57A-4E56-B6D8-AED3986186E4}" type="parTrans" cxnId="{2EFA301E-2535-4922-A917-AF7C00DF44CD}">
      <dgm:prSet/>
      <dgm:spPr/>
      <dgm:t>
        <a:bodyPr/>
        <a:lstStyle/>
        <a:p>
          <a:pPr algn="ctr"/>
          <a:endParaRPr lang="es-ES">
            <a:latin typeface="Times New Roman" pitchFamily="18" charset="0"/>
            <a:cs typeface="Times New Roman" pitchFamily="18" charset="0"/>
          </a:endParaRPr>
        </a:p>
      </dgm:t>
    </dgm:pt>
    <dgm:pt modelId="{7D3FED06-1249-4BF7-BF0A-9BEF8055E3D6}" type="sibTrans" cxnId="{2EFA301E-2535-4922-A917-AF7C00DF44CD}">
      <dgm:prSet/>
      <dgm:spPr/>
      <dgm:t>
        <a:bodyPr/>
        <a:lstStyle/>
        <a:p>
          <a:pPr algn="ctr"/>
          <a:endParaRPr lang="es-ES">
            <a:latin typeface="Times New Roman" pitchFamily="18" charset="0"/>
            <a:cs typeface="Times New Roman" pitchFamily="18" charset="0"/>
          </a:endParaRPr>
        </a:p>
      </dgm:t>
    </dgm:pt>
    <dgm:pt modelId="{87F1FF92-80C0-4306-966C-3ED0D4A56110}" type="asst">
      <dgm:prSet/>
      <dgm:spPr/>
      <dgm:t>
        <a:bodyPr/>
        <a:lstStyle/>
        <a:p>
          <a:pPr algn="ctr"/>
          <a:r>
            <a:rPr lang="lt-LT">
              <a:latin typeface="Times New Roman" pitchFamily="18" charset="0"/>
              <a:cs typeface="Times New Roman" pitchFamily="18" charset="0"/>
            </a:rPr>
            <a:t>Verslo skatinimo fondas</a:t>
          </a:r>
          <a:endParaRPr lang="es-ES">
            <a:latin typeface="Times New Roman" pitchFamily="18" charset="0"/>
            <a:cs typeface="Times New Roman" pitchFamily="18" charset="0"/>
          </a:endParaRPr>
        </a:p>
      </dgm:t>
    </dgm:pt>
    <dgm:pt modelId="{A4BED262-2978-405B-825B-D20BF76E6ACA}" type="parTrans" cxnId="{F91D559B-392C-4B52-8A7D-A2C206404DFD}">
      <dgm:prSet/>
      <dgm:spPr/>
      <dgm:t>
        <a:bodyPr/>
        <a:lstStyle/>
        <a:p>
          <a:pPr algn="ctr"/>
          <a:endParaRPr lang="es-ES">
            <a:latin typeface="Times New Roman" pitchFamily="18" charset="0"/>
            <a:cs typeface="Times New Roman" pitchFamily="18" charset="0"/>
          </a:endParaRPr>
        </a:p>
      </dgm:t>
    </dgm:pt>
    <dgm:pt modelId="{8DB7C672-57EA-4BF2-94D2-93ABF2F4C9F9}" type="sibTrans" cxnId="{F91D559B-392C-4B52-8A7D-A2C206404DFD}">
      <dgm:prSet/>
      <dgm:spPr/>
      <dgm:t>
        <a:bodyPr/>
        <a:lstStyle/>
        <a:p>
          <a:pPr algn="ctr"/>
          <a:endParaRPr lang="es-ES">
            <a:latin typeface="Times New Roman" pitchFamily="18" charset="0"/>
            <a:cs typeface="Times New Roman" pitchFamily="18" charset="0"/>
          </a:endParaRPr>
        </a:p>
      </dgm:t>
    </dgm:pt>
    <dgm:pt modelId="{6D5F54F7-843E-4137-A212-DFCDDA11BEF0}" type="asst">
      <dgm:prSet/>
      <dgm:spPr/>
      <dgm:t>
        <a:bodyPr/>
        <a:lstStyle/>
        <a:p>
          <a:pPr algn="ctr"/>
          <a:r>
            <a:rPr lang="lt-LT">
              <a:latin typeface="Times New Roman" pitchFamily="18" charset="0"/>
              <a:cs typeface="Times New Roman" pitchFamily="18" charset="0"/>
            </a:rPr>
            <a:t>Verslo garantijos</a:t>
          </a:r>
          <a:endParaRPr lang="es-ES">
            <a:latin typeface="Times New Roman" pitchFamily="18" charset="0"/>
            <a:cs typeface="Times New Roman" pitchFamily="18" charset="0"/>
          </a:endParaRPr>
        </a:p>
      </dgm:t>
    </dgm:pt>
    <dgm:pt modelId="{253591E2-6D6C-4609-A823-865F21316628}" type="parTrans" cxnId="{69FF5AB8-1D4E-49A5-9ED9-818D2E76D5A2}">
      <dgm:prSet/>
      <dgm:spPr/>
      <dgm:t>
        <a:bodyPr/>
        <a:lstStyle/>
        <a:p>
          <a:pPr algn="ctr"/>
          <a:endParaRPr lang="es-ES">
            <a:latin typeface="Times New Roman" pitchFamily="18" charset="0"/>
            <a:cs typeface="Times New Roman" pitchFamily="18" charset="0"/>
          </a:endParaRPr>
        </a:p>
      </dgm:t>
    </dgm:pt>
    <dgm:pt modelId="{74987F3C-FDF6-43CB-8957-A79AFE38CEB2}" type="sibTrans" cxnId="{69FF5AB8-1D4E-49A5-9ED9-818D2E76D5A2}">
      <dgm:prSet/>
      <dgm:spPr/>
      <dgm:t>
        <a:bodyPr/>
        <a:lstStyle/>
        <a:p>
          <a:pPr algn="ctr"/>
          <a:endParaRPr lang="es-ES">
            <a:latin typeface="Times New Roman" pitchFamily="18" charset="0"/>
            <a:cs typeface="Times New Roman" pitchFamily="18" charset="0"/>
          </a:endParaRPr>
        </a:p>
      </dgm:t>
    </dgm:pt>
    <dgm:pt modelId="{BF2350F7-2E5F-46E9-A2B3-F4E37267D13E}" type="asst">
      <dgm:prSet/>
      <dgm:spPr/>
      <dgm:t>
        <a:bodyPr/>
        <a:lstStyle/>
        <a:p>
          <a:pPr algn="ctr"/>
          <a:r>
            <a:rPr lang="lt-LT">
              <a:latin typeface="Times New Roman" pitchFamily="18" charset="0"/>
              <a:cs typeface="Times New Roman" pitchFamily="18" charset="0"/>
            </a:rPr>
            <a:t>Konsultacijos</a:t>
          </a:r>
          <a:endParaRPr lang="es-ES">
            <a:latin typeface="Times New Roman" pitchFamily="18" charset="0"/>
            <a:cs typeface="Times New Roman" pitchFamily="18" charset="0"/>
          </a:endParaRPr>
        </a:p>
      </dgm:t>
    </dgm:pt>
    <dgm:pt modelId="{CC50CFE4-D87F-464B-AC05-F7749738B8B1}" type="parTrans" cxnId="{4255EAF8-E895-46A5-8893-7E7F40D41CBF}">
      <dgm:prSet/>
      <dgm:spPr/>
      <dgm:t>
        <a:bodyPr/>
        <a:lstStyle/>
        <a:p>
          <a:pPr algn="ctr"/>
          <a:endParaRPr lang="es-ES">
            <a:latin typeface="Times New Roman" pitchFamily="18" charset="0"/>
            <a:cs typeface="Times New Roman" pitchFamily="18" charset="0"/>
          </a:endParaRPr>
        </a:p>
      </dgm:t>
    </dgm:pt>
    <dgm:pt modelId="{111DB603-C5EB-45C1-8EA9-6A4A37C9FFC1}" type="sibTrans" cxnId="{4255EAF8-E895-46A5-8893-7E7F40D41CBF}">
      <dgm:prSet/>
      <dgm:spPr/>
      <dgm:t>
        <a:bodyPr/>
        <a:lstStyle/>
        <a:p>
          <a:pPr algn="ctr"/>
          <a:endParaRPr lang="es-ES">
            <a:latin typeface="Times New Roman" pitchFamily="18" charset="0"/>
            <a:cs typeface="Times New Roman" pitchFamily="18" charset="0"/>
          </a:endParaRPr>
        </a:p>
      </dgm:t>
    </dgm:pt>
    <dgm:pt modelId="{F4AC0C10-8C42-425A-BE2B-5B83D942456D}" type="asst">
      <dgm:prSet/>
      <dgm:spPr/>
      <dgm:t>
        <a:bodyPr/>
        <a:lstStyle/>
        <a:p>
          <a:pPr algn="ctr"/>
          <a:r>
            <a:rPr lang="lt-LT">
              <a:latin typeface="Times New Roman" pitchFamily="18" charset="0"/>
              <a:cs typeface="Times New Roman" pitchFamily="18" charset="0"/>
            </a:rPr>
            <a:t>Palūkanų kompensavimas</a:t>
          </a:r>
          <a:endParaRPr lang="es-ES">
            <a:latin typeface="Times New Roman" pitchFamily="18" charset="0"/>
            <a:cs typeface="Times New Roman" pitchFamily="18" charset="0"/>
          </a:endParaRPr>
        </a:p>
      </dgm:t>
    </dgm:pt>
    <dgm:pt modelId="{FED0B4A8-EDB9-424C-896D-8EF6A5A99485}" type="parTrans" cxnId="{FFC3CA06-DFB9-4AFD-B304-9613C01F583E}">
      <dgm:prSet/>
      <dgm:spPr/>
      <dgm:t>
        <a:bodyPr/>
        <a:lstStyle/>
        <a:p>
          <a:pPr algn="ctr"/>
          <a:endParaRPr lang="es-ES">
            <a:latin typeface="Times New Roman" pitchFamily="18" charset="0"/>
            <a:cs typeface="Times New Roman" pitchFamily="18" charset="0"/>
          </a:endParaRPr>
        </a:p>
      </dgm:t>
    </dgm:pt>
    <dgm:pt modelId="{14B2D59E-3EA9-46EA-8670-E654C8B51BAA}" type="sibTrans" cxnId="{FFC3CA06-DFB9-4AFD-B304-9613C01F583E}">
      <dgm:prSet/>
      <dgm:spPr/>
      <dgm:t>
        <a:bodyPr/>
        <a:lstStyle/>
        <a:p>
          <a:pPr algn="ctr"/>
          <a:endParaRPr lang="es-ES">
            <a:latin typeface="Times New Roman" pitchFamily="18" charset="0"/>
            <a:cs typeface="Times New Roman" pitchFamily="18" charset="0"/>
          </a:endParaRPr>
        </a:p>
      </dgm:t>
    </dgm:pt>
    <dgm:pt modelId="{816247CC-27EC-4BF3-9FE1-F7873D003419}" type="asst">
      <dgm:prSet/>
      <dgm:spPr/>
      <dgm:t>
        <a:bodyPr/>
        <a:lstStyle/>
        <a:p>
          <a:pPr algn="ctr"/>
          <a:r>
            <a:rPr lang="lt-LT">
              <a:latin typeface="Times New Roman" pitchFamily="18" charset="0"/>
              <a:cs typeface="Times New Roman" pitchFamily="18" charset="0"/>
            </a:rPr>
            <a:t>Kvalifikacijos kėlimas</a:t>
          </a:r>
          <a:endParaRPr lang="es-ES">
            <a:latin typeface="Times New Roman" pitchFamily="18" charset="0"/>
            <a:cs typeface="Times New Roman" pitchFamily="18" charset="0"/>
          </a:endParaRPr>
        </a:p>
      </dgm:t>
    </dgm:pt>
    <dgm:pt modelId="{01A5D340-E938-4E75-84FF-0121B6258032}" type="parTrans" cxnId="{1BEDD103-9DBB-4281-B1DB-D925B2800700}">
      <dgm:prSet/>
      <dgm:spPr/>
      <dgm:t>
        <a:bodyPr/>
        <a:lstStyle/>
        <a:p>
          <a:pPr algn="ctr"/>
          <a:endParaRPr lang="es-ES">
            <a:latin typeface="Times New Roman" pitchFamily="18" charset="0"/>
            <a:cs typeface="Times New Roman" pitchFamily="18" charset="0"/>
          </a:endParaRPr>
        </a:p>
      </dgm:t>
    </dgm:pt>
    <dgm:pt modelId="{C6A7CC20-3E16-430E-9E83-0809635B3A3A}" type="sibTrans" cxnId="{1BEDD103-9DBB-4281-B1DB-D925B2800700}">
      <dgm:prSet/>
      <dgm:spPr/>
      <dgm:t>
        <a:bodyPr/>
        <a:lstStyle/>
        <a:p>
          <a:pPr algn="ctr"/>
          <a:endParaRPr lang="es-ES">
            <a:latin typeface="Times New Roman" pitchFamily="18" charset="0"/>
            <a:cs typeface="Times New Roman" pitchFamily="18" charset="0"/>
          </a:endParaRPr>
        </a:p>
      </dgm:t>
    </dgm:pt>
    <dgm:pt modelId="{A44CEB3A-D882-4802-B0E1-A8844C4EA9ED}" type="asst">
      <dgm:prSet/>
      <dgm:spPr/>
      <dgm:t>
        <a:bodyPr/>
        <a:lstStyle/>
        <a:p>
          <a:pPr algn="ctr"/>
          <a:r>
            <a:rPr lang="lt-LT">
              <a:latin typeface="Times New Roman" pitchFamily="18" charset="0"/>
              <a:cs typeface="Times New Roman" pitchFamily="18" charset="0"/>
            </a:rPr>
            <a:t>Subsidijos</a:t>
          </a:r>
          <a:endParaRPr lang="es-ES">
            <a:latin typeface="Times New Roman" pitchFamily="18" charset="0"/>
            <a:cs typeface="Times New Roman" pitchFamily="18" charset="0"/>
          </a:endParaRPr>
        </a:p>
      </dgm:t>
    </dgm:pt>
    <dgm:pt modelId="{F74D3946-22B5-49BC-B38D-BB42CC94668E}" type="parTrans" cxnId="{A9B245A5-BEF9-4B1B-9EEC-8EA78ECE7CB4}">
      <dgm:prSet/>
      <dgm:spPr/>
      <dgm:t>
        <a:bodyPr/>
        <a:lstStyle/>
        <a:p>
          <a:pPr algn="ctr"/>
          <a:endParaRPr lang="es-ES">
            <a:latin typeface="Times New Roman" pitchFamily="18" charset="0"/>
            <a:cs typeface="Times New Roman" pitchFamily="18" charset="0"/>
          </a:endParaRPr>
        </a:p>
      </dgm:t>
    </dgm:pt>
    <dgm:pt modelId="{9616B923-0522-4441-A1BA-A4DD0F1D89A1}" type="sibTrans" cxnId="{A9B245A5-BEF9-4B1B-9EEC-8EA78ECE7CB4}">
      <dgm:prSet/>
      <dgm:spPr/>
      <dgm:t>
        <a:bodyPr/>
        <a:lstStyle/>
        <a:p>
          <a:pPr algn="ctr"/>
          <a:endParaRPr lang="es-ES">
            <a:latin typeface="Times New Roman" pitchFamily="18" charset="0"/>
            <a:cs typeface="Times New Roman" pitchFamily="18" charset="0"/>
          </a:endParaRPr>
        </a:p>
      </dgm:t>
    </dgm:pt>
    <dgm:pt modelId="{5D0C7BE6-026D-42D4-98FC-045A5CD3DA4E}" type="asst">
      <dgm:prSet/>
      <dgm:spPr/>
      <dgm:t>
        <a:bodyPr/>
        <a:lstStyle/>
        <a:p>
          <a:pPr algn="ctr"/>
          <a:r>
            <a:rPr lang="lt-LT">
              <a:latin typeface="Times New Roman" pitchFamily="18" charset="0"/>
              <a:cs typeface="Times New Roman" pitchFamily="18" charset="0"/>
            </a:rPr>
            <a:t>Komerciniai bankai, </a:t>
          </a:r>
          <a:br>
            <a:rPr lang="lt-LT">
              <a:latin typeface="Times New Roman" pitchFamily="18" charset="0"/>
              <a:cs typeface="Times New Roman" pitchFamily="18" charset="0"/>
            </a:rPr>
          </a:br>
          <a:r>
            <a:rPr lang="lt-LT">
              <a:latin typeface="Times New Roman" pitchFamily="18" charset="0"/>
              <a:cs typeface="Times New Roman" pitchFamily="18" charset="0"/>
            </a:rPr>
            <a:t>Kredito unijos</a:t>
          </a:r>
          <a:endParaRPr lang="es-ES">
            <a:latin typeface="Times New Roman" pitchFamily="18" charset="0"/>
            <a:cs typeface="Times New Roman" pitchFamily="18" charset="0"/>
          </a:endParaRPr>
        </a:p>
      </dgm:t>
    </dgm:pt>
    <dgm:pt modelId="{908D7329-A979-416D-ADE4-63A1155C8F14}" type="parTrans" cxnId="{842F4400-21EE-423D-B5D8-7C582EE8EACE}">
      <dgm:prSet/>
      <dgm:spPr/>
      <dgm:t>
        <a:bodyPr/>
        <a:lstStyle/>
        <a:p>
          <a:pPr algn="ctr"/>
          <a:endParaRPr lang="es-ES">
            <a:latin typeface="Times New Roman" pitchFamily="18" charset="0"/>
            <a:cs typeface="Times New Roman" pitchFamily="18" charset="0"/>
          </a:endParaRPr>
        </a:p>
      </dgm:t>
    </dgm:pt>
    <dgm:pt modelId="{8ABB2C64-4041-4F10-977B-4DA2B7DD732F}" type="sibTrans" cxnId="{842F4400-21EE-423D-B5D8-7C582EE8EACE}">
      <dgm:prSet/>
      <dgm:spPr/>
      <dgm:t>
        <a:bodyPr/>
        <a:lstStyle/>
        <a:p>
          <a:pPr algn="ctr"/>
          <a:endParaRPr lang="es-ES">
            <a:latin typeface="Times New Roman" pitchFamily="18" charset="0"/>
            <a:cs typeface="Times New Roman" pitchFamily="18" charset="0"/>
          </a:endParaRPr>
        </a:p>
      </dgm:t>
    </dgm:pt>
    <dgm:pt modelId="{7AB4A92A-0FB5-4B74-B279-614F8ABC71D5}" type="pres">
      <dgm:prSet presAssocID="{8C5DA5D1-A133-4EE0-8D8E-A3EBA30E8C78}" presName="hierChild1" presStyleCnt="0">
        <dgm:presLayoutVars>
          <dgm:orgChart val="1"/>
          <dgm:chPref val="1"/>
          <dgm:dir/>
          <dgm:animOne val="branch"/>
          <dgm:animLvl val="lvl"/>
          <dgm:resizeHandles/>
        </dgm:presLayoutVars>
      </dgm:prSet>
      <dgm:spPr/>
      <dgm:t>
        <a:bodyPr/>
        <a:lstStyle/>
        <a:p>
          <a:endParaRPr lang="es-ES"/>
        </a:p>
      </dgm:t>
    </dgm:pt>
    <dgm:pt modelId="{584FB907-A41A-4E54-A0A7-78BED0197F8A}" type="pres">
      <dgm:prSet presAssocID="{4BF273CB-3880-4F38-8163-31E6606198DD}" presName="hierRoot1" presStyleCnt="0">
        <dgm:presLayoutVars>
          <dgm:hierBranch val="init"/>
        </dgm:presLayoutVars>
      </dgm:prSet>
      <dgm:spPr/>
      <dgm:t>
        <a:bodyPr/>
        <a:lstStyle/>
        <a:p>
          <a:endParaRPr lang="es-ES"/>
        </a:p>
      </dgm:t>
    </dgm:pt>
    <dgm:pt modelId="{96D50A98-85F9-4DFF-9C6C-FCB08DC65C8E}" type="pres">
      <dgm:prSet presAssocID="{4BF273CB-3880-4F38-8163-31E6606198DD}" presName="rootComposite1" presStyleCnt="0"/>
      <dgm:spPr/>
      <dgm:t>
        <a:bodyPr/>
        <a:lstStyle/>
        <a:p>
          <a:endParaRPr lang="es-ES"/>
        </a:p>
      </dgm:t>
    </dgm:pt>
    <dgm:pt modelId="{A4AF7766-8A35-41CA-A63A-73B6C4D13C83}" type="pres">
      <dgm:prSet presAssocID="{4BF273CB-3880-4F38-8163-31E6606198DD}" presName="rootText1" presStyleLbl="node0" presStyleIdx="0" presStyleCnt="1">
        <dgm:presLayoutVars>
          <dgm:chPref val="3"/>
        </dgm:presLayoutVars>
      </dgm:prSet>
      <dgm:spPr/>
      <dgm:t>
        <a:bodyPr/>
        <a:lstStyle/>
        <a:p>
          <a:endParaRPr lang="es-ES"/>
        </a:p>
      </dgm:t>
    </dgm:pt>
    <dgm:pt modelId="{19B20140-DB9F-4027-A480-43368888EFC0}" type="pres">
      <dgm:prSet presAssocID="{4BF273CB-3880-4F38-8163-31E6606198DD}" presName="rootConnector1" presStyleLbl="node1" presStyleIdx="0" presStyleCnt="0"/>
      <dgm:spPr/>
      <dgm:t>
        <a:bodyPr/>
        <a:lstStyle/>
        <a:p>
          <a:endParaRPr lang="es-ES"/>
        </a:p>
      </dgm:t>
    </dgm:pt>
    <dgm:pt modelId="{87FB4542-9A25-4452-9B09-76155C58DB10}" type="pres">
      <dgm:prSet presAssocID="{4BF273CB-3880-4F38-8163-31E6606198DD}" presName="hierChild2" presStyleCnt="0"/>
      <dgm:spPr/>
      <dgm:t>
        <a:bodyPr/>
        <a:lstStyle/>
        <a:p>
          <a:endParaRPr lang="es-ES"/>
        </a:p>
      </dgm:t>
    </dgm:pt>
    <dgm:pt modelId="{737EB2A2-FCBF-449F-9EFF-448D03750086}" type="pres">
      <dgm:prSet presAssocID="{4BF273CB-3880-4F38-8163-31E6606198DD}" presName="hierChild3" presStyleCnt="0"/>
      <dgm:spPr/>
      <dgm:t>
        <a:bodyPr/>
        <a:lstStyle/>
        <a:p>
          <a:endParaRPr lang="es-ES"/>
        </a:p>
      </dgm:t>
    </dgm:pt>
    <dgm:pt modelId="{71AEB713-28CD-456D-9176-6CE0FD1D4D8B}" type="pres">
      <dgm:prSet presAssocID="{ED6C7BE3-B804-40B6-9FBB-BCDFCBF197BB}" presName="Name111" presStyleLbl="parChTrans1D2" presStyleIdx="0" presStyleCnt="2"/>
      <dgm:spPr/>
      <dgm:t>
        <a:bodyPr/>
        <a:lstStyle/>
        <a:p>
          <a:endParaRPr lang="es-ES"/>
        </a:p>
      </dgm:t>
    </dgm:pt>
    <dgm:pt modelId="{4362EDCA-C30B-4BBD-8015-3316069A26EA}" type="pres">
      <dgm:prSet presAssocID="{4928B0A1-ACB2-4010-98F0-0D3B81C9D2C2}" presName="hierRoot3" presStyleCnt="0">
        <dgm:presLayoutVars>
          <dgm:hierBranch val="init"/>
        </dgm:presLayoutVars>
      </dgm:prSet>
      <dgm:spPr/>
      <dgm:t>
        <a:bodyPr/>
        <a:lstStyle/>
        <a:p>
          <a:endParaRPr lang="es-ES"/>
        </a:p>
      </dgm:t>
    </dgm:pt>
    <dgm:pt modelId="{8365C998-A792-41E5-B40D-A4B316CCA528}" type="pres">
      <dgm:prSet presAssocID="{4928B0A1-ACB2-4010-98F0-0D3B81C9D2C2}" presName="rootComposite3" presStyleCnt="0"/>
      <dgm:spPr/>
      <dgm:t>
        <a:bodyPr/>
        <a:lstStyle/>
        <a:p>
          <a:endParaRPr lang="es-ES"/>
        </a:p>
      </dgm:t>
    </dgm:pt>
    <dgm:pt modelId="{C6DA6996-7290-446F-9066-314972F9C854}" type="pres">
      <dgm:prSet presAssocID="{4928B0A1-ACB2-4010-98F0-0D3B81C9D2C2}" presName="rootText3" presStyleLbl="asst1" presStyleIdx="0" presStyleCnt="11">
        <dgm:presLayoutVars>
          <dgm:chPref val="3"/>
        </dgm:presLayoutVars>
      </dgm:prSet>
      <dgm:spPr/>
      <dgm:t>
        <a:bodyPr/>
        <a:lstStyle/>
        <a:p>
          <a:endParaRPr lang="es-ES"/>
        </a:p>
      </dgm:t>
    </dgm:pt>
    <dgm:pt modelId="{7CD8BC9F-9AC4-468D-B353-51F33F4126B6}" type="pres">
      <dgm:prSet presAssocID="{4928B0A1-ACB2-4010-98F0-0D3B81C9D2C2}" presName="rootConnector3" presStyleLbl="asst1" presStyleIdx="0" presStyleCnt="11"/>
      <dgm:spPr/>
      <dgm:t>
        <a:bodyPr/>
        <a:lstStyle/>
        <a:p>
          <a:endParaRPr lang="es-ES"/>
        </a:p>
      </dgm:t>
    </dgm:pt>
    <dgm:pt modelId="{C9BDF404-E7FB-471A-BCF1-3A840FD97C22}" type="pres">
      <dgm:prSet presAssocID="{4928B0A1-ACB2-4010-98F0-0D3B81C9D2C2}" presName="hierChild6" presStyleCnt="0"/>
      <dgm:spPr/>
      <dgm:t>
        <a:bodyPr/>
        <a:lstStyle/>
        <a:p>
          <a:endParaRPr lang="es-ES"/>
        </a:p>
      </dgm:t>
    </dgm:pt>
    <dgm:pt modelId="{FF1D8C19-17C1-4F09-8ECF-16B0DE70E70E}" type="pres">
      <dgm:prSet presAssocID="{4928B0A1-ACB2-4010-98F0-0D3B81C9D2C2}" presName="hierChild7" presStyleCnt="0"/>
      <dgm:spPr/>
      <dgm:t>
        <a:bodyPr/>
        <a:lstStyle/>
        <a:p>
          <a:endParaRPr lang="es-ES"/>
        </a:p>
      </dgm:t>
    </dgm:pt>
    <dgm:pt modelId="{2D62B9AC-64A5-46AD-A56F-8384B4B90D34}" type="pres">
      <dgm:prSet presAssocID="{1EBC940B-E2A1-4FAE-B728-B08FC8AA99E3}" presName="Name111" presStyleLbl="parChTrans1D3" presStyleIdx="0" presStyleCnt="9"/>
      <dgm:spPr/>
      <dgm:t>
        <a:bodyPr/>
        <a:lstStyle/>
        <a:p>
          <a:endParaRPr lang="es-ES"/>
        </a:p>
      </dgm:t>
    </dgm:pt>
    <dgm:pt modelId="{04F65EC5-FDD2-46E5-BAB7-BB701A486CF0}" type="pres">
      <dgm:prSet presAssocID="{0CC33653-3BF3-4478-BCCD-28012FCE7E97}" presName="hierRoot3" presStyleCnt="0">
        <dgm:presLayoutVars>
          <dgm:hierBranch val="init"/>
        </dgm:presLayoutVars>
      </dgm:prSet>
      <dgm:spPr/>
      <dgm:t>
        <a:bodyPr/>
        <a:lstStyle/>
        <a:p>
          <a:endParaRPr lang="es-ES"/>
        </a:p>
      </dgm:t>
    </dgm:pt>
    <dgm:pt modelId="{03716628-6BA8-4375-ABBD-D194B917030A}" type="pres">
      <dgm:prSet presAssocID="{0CC33653-3BF3-4478-BCCD-28012FCE7E97}" presName="rootComposite3" presStyleCnt="0"/>
      <dgm:spPr/>
      <dgm:t>
        <a:bodyPr/>
        <a:lstStyle/>
        <a:p>
          <a:endParaRPr lang="es-ES"/>
        </a:p>
      </dgm:t>
    </dgm:pt>
    <dgm:pt modelId="{33A4693A-4414-4B6C-85E0-6C086806BC50}" type="pres">
      <dgm:prSet presAssocID="{0CC33653-3BF3-4478-BCCD-28012FCE7E97}" presName="rootText3" presStyleLbl="asst1" presStyleIdx="1" presStyleCnt="11">
        <dgm:presLayoutVars>
          <dgm:chPref val="3"/>
        </dgm:presLayoutVars>
      </dgm:prSet>
      <dgm:spPr/>
      <dgm:t>
        <a:bodyPr/>
        <a:lstStyle/>
        <a:p>
          <a:endParaRPr lang="es-ES"/>
        </a:p>
      </dgm:t>
    </dgm:pt>
    <dgm:pt modelId="{F9AB8DB5-5A29-4E6C-8D99-A5EDF1382D91}" type="pres">
      <dgm:prSet presAssocID="{0CC33653-3BF3-4478-BCCD-28012FCE7E97}" presName="rootConnector3" presStyleLbl="asst1" presStyleIdx="1" presStyleCnt="11"/>
      <dgm:spPr/>
      <dgm:t>
        <a:bodyPr/>
        <a:lstStyle/>
        <a:p>
          <a:endParaRPr lang="es-ES"/>
        </a:p>
      </dgm:t>
    </dgm:pt>
    <dgm:pt modelId="{13D0D432-E069-4FC3-AD5D-E9A65BE0D0FD}" type="pres">
      <dgm:prSet presAssocID="{0CC33653-3BF3-4478-BCCD-28012FCE7E97}" presName="hierChild6" presStyleCnt="0"/>
      <dgm:spPr/>
      <dgm:t>
        <a:bodyPr/>
        <a:lstStyle/>
        <a:p>
          <a:endParaRPr lang="es-ES"/>
        </a:p>
      </dgm:t>
    </dgm:pt>
    <dgm:pt modelId="{CE1ED9BD-B89F-44A9-BA4E-733B052DD559}" type="pres">
      <dgm:prSet presAssocID="{0CC33653-3BF3-4478-BCCD-28012FCE7E97}" presName="hierChild7" presStyleCnt="0"/>
      <dgm:spPr/>
      <dgm:t>
        <a:bodyPr/>
        <a:lstStyle/>
        <a:p>
          <a:endParaRPr lang="es-ES"/>
        </a:p>
      </dgm:t>
    </dgm:pt>
    <dgm:pt modelId="{ECF37E91-DEFC-4374-B320-E0DA5C1CFA85}" type="pres">
      <dgm:prSet presAssocID="{B0417EF3-B57A-4E56-B6D8-AED3986186E4}" presName="Name111" presStyleLbl="parChTrans1D3" presStyleIdx="1" presStyleCnt="9"/>
      <dgm:spPr/>
      <dgm:t>
        <a:bodyPr/>
        <a:lstStyle/>
        <a:p>
          <a:endParaRPr lang="es-ES"/>
        </a:p>
      </dgm:t>
    </dgm:pt>
    <dgm:pt modelId="{230B82E2-0D08-4863-A906-6DE846F8F0B6}" type="pres">
      <dgm:prSet presAssocID="{CB7C62A1-1368-48E0-9DE7-DE2B67E7C65F}" presName="hierRoot3" presStyleCnt="0">
        <dgm:presLayoutVars>
          <dgm:hierBranch val="init"/>
        </dgm:presLayoutVars>
      </dgm:prSet>
      <dgm:spPr/>
      <dgm:t>
        <a:bodyPr/>
        <a:lstStyle/>
        <a:p>
          <a:endParaRPr lang="es-ES"/>
        </a:p>
      </dgm:t>
    </dgm:pt>
    <dgm:pt modelId="{96AE7BAD-BBDB-4C9F-BE3B-EF4910CE2F0D}" type="pres">
      <dgm:prSet presAssocID="{CB7C62A1-1368-48E0-9DE7-DE2B67E7C65F}" presName="rootComposite3" presStyleCnt="0"/>
      <dgm:spPr/>
      <dgm:t>
        <a:bodyPr/>
        <a:lstStyle/>
        <a:p>
          <a:endParaRPr lang="es-ES"/>
        </a:p>
      </dgm:t>
    </dgm:pt>
    <dgm:pt modelId="{387586F8-A1BD-4CF2-82A7-E0DD16E02A5B}" type="pres">
      <dgm:prSet presAssocID="{CB7C62A1-1368-48E0-9DE7-DE2B67E7C65F}" presName="rootText3" presStyleLbl="asst1" presStyleIdx="2" presStyleCnt="11">
        <dgm:presLayoutVars>
          <dgm:chPref val="3"/>
        </dgm:presLayoutVars>
      </dgm:prSet>
      <dgm:spPr/>
      <dgm:t>
        <a:bodyPr/>
        <a:lstStyle/>
        <a:p>
          <a:endParaRPr lang="es-ES"/>
        </a:p>
      </dgm:t>
    </dgm:pt>
    <dgm:pt modelId="{D78D26B9-2756-4F1B-B887-887906567F71}" type="pres">
      <dgm:prSet presAssocID="{CB7C62A1-1368-48E0-9DE7-DE2B67E7C65F}" presName="rootConnector3" presStyleLbl="asst1" presStyleIdx="2" presStyleCnt="11"/>
      <dgm:spPr/>
      <dgm:t>
        <a:bodyPr/>
        <a:lstStyle/>
        <a:p>
          <a:endParaRPr lang="es-ES"/>
        </a:p>
      </dgm:t>
    </dgm:pt>
    <dgm:pt modelId="{EF49F226-77E2-4234-A928-333D9518BC8E}" type="pres">
      <dgm:prSet presAssocID="{CB7C62A1-1368-48E0-9DE7-DE2B67E7C65F}" presName="hierChild6" presStyleCnt="0"/>
      <dgm:spPr/>
      <dgm:t>
        <a:bodyPr/>
        <a:lstStyle/>
        <a:p>
          <a:endParaRPr lang="es-ES"/>
        </a:p>
      </dgm:t>
    </dgm:pt>
    <dgm:pt modelId="{7FBCBC4C-2515-4B75-A318-F31991321486}" type="pres">
      <dgm:prSet presAssocID="{CB7C62A1-1368-48E0-9DE7-DE2B67E7C65F}" presName="hierChild7" presStyleCnt="0"/>
      <dgm:spPr/>
      <dgm:t>
        <a:bodyPr/>
        <a:lstStyle/>
        <a:p>
          <a:endParaRPr lang="es-ES"/>
        </a:p>
      </dgm:t>
    </dgm:pt>
    <dgm:pt modelId="{C2EB06AE-6003-41CA-9EA0-CB008E967CA1}" type="pres">
      <dgm:prSet presAssocID="{A4BED262-2978-405B-825B-D20BF76E6ACA}" presName="Name111" presStyleLbl="parChTrans1D3" presStyleIdx="2" presStyleCnt="9"/>
      <dgm:spPr/>
      <dgm:t>
        <a:bodyPr/>
        <a:lstStyle/>
        <a:p>
          <a:endParaRPr lang="es-ES"/>
        </a:p>
      </dgm:t>
    </dgm:pt>
    <dgm:pt modelId="{DC210ABC-6F93-421D-BE0C-12D7CAD9251A}" type="pres">
      <dgm:prSet presAssocID="{87F1FF92-80C0-4306-966C-3ED0D4A56110}" presName="hierRoot3" presStyleCnt="0">
        <dgm:presLayoutVars>
          <dgm:hierBranch val="init"/>
        </dgm:presLayoutVars>
      </dgm:prSet>
      <dgm:spPr/>
      <dgm:t>
        <a:bodyPr/>
        <a:lstStyle/>
        <a:p>
          <a:endParaRPr lang="es-ES"/>
        </a:p>
      </dgm:t>
    </dgm:pt>
    <dgm:pt modelId="{A8890A13-4DC8-4668-85DC-E83E90C2509C}" type="pres">
      <dgm:prSet presAssocID="{87F1FF92-80C0-4306-966C-3ED0D4A56110}" presName="rootComposite3" presStyleCnt="0"/>
      <dgm:spPr/>
      <dgm:t>
        <a:bodyPr/>
        <a:lstStyle/>
        <a:p>
          <a:endParaRPr lang="es-ES"/>
        </a:p>
      </dgm:t>
    </dgm:pt>
    <dgm:pt modelId="{ED7A7B36-FA7A-458B-85FE-3F278E0608B4}" type="pres">
      <dgm:prSet presAssocID="{87F1FF92-80C0-4306-966C-3ED0D4A56110}" presName="rootText3" presStyleLbl="asst1" presStyleIdx="3" presStyleCnt="11">
        <dgm:presLayoutVars>
          <dgm:chPref val="3"/>
        </dgm:presLayoutVars>
      </dgm:prSet>
      <dgm:spPr/>
      <dgm:t>
        <a:bodyPr/>
        <a:lstStyle/>
        <a:p>
          <a:endParaRPr lang="es-ES"/>
        </a:p>
      </dgm:t>
    </dgm:pt>
    <dgm:pt modelId="{EE7A7743-77B4-4F65-9253-451451F3C0A4}" type="pres">
      <dgm:prSet presAssocID="{87F1FF92-80C0-4306-966C-3ED0D4A56110}" presName="rootConnector3" presStyleLbl="asst1" presStyleIdx="3" presStyleCnt="11"/>
      <dgm:spPr/>
      <dgm:t>
        <a:bodyPr/>
        <a:lstStyle/>
        <a:p>
          <a:endParaRPr lang="es-ES"/>
        </a:p>
      </dgm:t>
    </dgm:pt>
    <dgm:pt modelId="{4958570D-F379-41AE-9AB3-A0E7C681B816}" type="pres">
      <dgm:prSet presAssocID="{87F1FF92-80C0-4306-966C-3ED0D4A56110}" presName="hierChild6" presStyleCnt="0"/>
      <dgm:spPr/>
      <dgm:t>
        <a:bodyPr/>
        <a:lstStyle/>
        <a:p>
          <a:endParaRPr lang="es-ES"/>
        </a:p>
      </dgm:t>
    </dgm:pt>
    <dgm:pt modelId="{D6563019-1A4F-45D6-A931-FF659A959373}" type="pres">
      <dgm:prSet presAssocID="{87F1FF92-80C0-4306-966C-3ED0D4A56110}" presName="hierChild7" presStyleCnt="0"/>
      <dgm:spPr/>
      <dgm:t>
        <a:bodyPr/>
        <a:lstStyle/>
        <a:p>
          <a:endParaRPr lang="es-ES"/>
        </a:p>
      </dgm:t>
    </dgm:pt>
    <dgm:pt modelId="{17D0C57E-3B4E-4EE7-A257-69ECC4390517}" type="pres">
      <dgm:prSet presAssocID="{FED0B4A8-EDB9-424C-896D-8EF6A5A99485}" presName="Name111" presStyleLbl="parChTrans1D3" presStyleIdx="3" presStyleCnt="9"/>
      <dgm:spPr/>
      <dgm:t>
        <a:bodyPr/>
        <a:lstStyle/>
        <a:p>
          <a:endParaRPr lang="es-ES"/>
        </a:p>
      </dgm:t>
    </dgm:pt>
    <dgm:pt modelId="{E9C5B5F3-C3F2-4DE3-B4BA-E003D198F66E}" type="pres">
      <dgm:prSet presAssocID="{F4AC0C10-8C42-425A-BE2B-5B83D942456D}" presName="hierRoot3" presStyleCnt="0">
        <dgm:presLayoutVars>
          <dgm:hierBranch val="init"/>
        </dgm:presLayoutVars>
      </dgm:prSet>
      <dgm:spPr/>
      <dgm:t>
        <a:bodyPr/>
        <a:lstStyle/>
        <a:p>
          <a:endParaRPr lang="es-ES"/>
        </a:p>
      </dgm:t>
    </dgm:pt>
    <dgm:pt modelId="{4185A0AB-BE37-4D0A-856D-F4D5E98E84E7}" type="pres">
      <dgm:prSet presAssocID="{F4AC0C10-8C42-425A-BE2B-5B83D942456D}" presName="rootComposite3" presStyleCnt="0"/>
      <dgm:spPr/>
      <dgm:t>
        <a:bodyPr/>
        <a:lstStyle/>
        <a:p>
          <a:endParaRPr lang="es-ES"/>
        </a:p>
      </dgm:t>
    </dgm:pt>
    <dgm:pt modelId="{E65D1114-7BA3-4A78-8EBC-BE81B59303E6}" type="pres">
      <dgm:prSet presAssocID="{F4AC0C10-8C42-425A-BE2B-5B83D942456D}" presName="rootText3" presStyleLbl="asst1" presStyleIdx="4" presStyleCnt="11">
        <dgm:presLayoutVars>
          <dgm:chPref val="3"/>
        </dgm:presLayoutVars>
      </dgm:prSet>
      <dgm:spPr/>
      <dgm:t>
        <a:bodyPr/>
        <a:lstStyle/>
        <a:p>
          <a:endParaRPr lang="es-ES"/>
        </a:p>
      </dgm:t>
    </dgm:pt>
    <dgm:pt modelId="{0FCC4A1E-684A-47C0-86FE-6111DDFA2937}" type="pres">
      <dgm:prSet presAssocID="{F4AC0C10-8C42-425A-BE2B-5B83D942456D}" presName="rootConnector3" presStyleLbl="asst1" presStyleIdx="4" presStyleCnt="11"/>
      <dgm:spPr/>
      <dgm:t>
        <a:bodyPr/>
        <a:lstStyle/>
        <a:p>
          <a:endParaRPr lang="es-ES"/>
        </a:p>
      </dgm:t>
    </dgm:pt>
    <dgm:pt modelId="{7A65E4D1-B32A-4E7B-902F-0B7CD25A1A64}" type="pres">
      <dgm:prSet presAssocID="{F4AC0C10-8C42-425A-BE2B-5B83D942456D}" presName="hierChild6" presStyleCnt="0"/>
      <dgm:spPr/>
      <dgm:t>
        <a:bodyPr/>
        <a:lstStyle/>
        <a:p>
          <a:endParaRPr lang="es-ES"/>
        </a:p>
      </dgm:t>
    </dgm:pt>
    <dgm:pt modelId="{E8510118-3BD5-4485-8971-42F61FF9921C}" type="pres">
      <dgm:prSet presAssocID="{F4AC0C10-8C42-425A-BE2B-5B83D942456D}" presName="hierChild7" presStyleCnt="0"/>
      <dgm:spPr/>
      <dgm:t>
        <a:bodyPr/>
        <a:lstStyle/>
        <a:p>
          <a:endParaRPr lang="es-ES"/>
        </a:p>
      </dgm:t>
    </dgm:pt>
    <dgm:pt modelId="{800EE224-E5D2-4D37-B337-C9EEB988F9CA}" type="pres">
      <dgm:prSet presAssocID="{F74D3946-22B5-49BC-B38D-BB42CC94668E}" presName="Name111" presStyleLbl="parChTrans1D3" presStyleIdx="4" presStyleCnt="9"/>
      <dgm:spPr/>
      <dgm:t>
        <a:bodyPr/>
        <a:lstStyle/>
        <a:p>
          <a:endParaRPr lang="es-ES"/>
        </a:p>
      </dgm:t>
    </dgm:pt>
    <dgm:pt modelId="{5ED320E3-FA78-4C4B-A0F8-32AB6CD153BB}" type="pres">
      <dgm:prSet presAssocID="{A44CEB3A-D882-4802-B0E1-A8844C4EA9ED}" presName="hierRoot3" presStyleCnt="0">
        <dgm:presLayoutVars>
          <dgm:hierBranch val="init"/>
        </dgm:presLayoutVars>
      </dgm:prSet>
      <dgm:spPr/>
      <dgm:t>
        <a:bodyPr/>
        <a:lstStyle/>
        <a:p>
          <a:endParaRPr lang="es-ES"/>
        </a:p>
      </dgm:t>
    </dgm:pt>
    <dgm:pt modelId="{E55400D4-398E-45AC-86AC-B8891F9D5538}" type="pres">
      <dgm:prSet presAssocID="{A44CEB3A-D882-4802-B0E1-A8844C4EA9ED}" presName="rootComposite3" presStyleCnt="0"/>
      <dgm:spPr/>
      <dgm:t>
        <a:bodyPr/>
        <a:lstStyle/>
        <a:p>
          <a:endParaRPr lang="es-ES"/>
        </a:p>
      </dgm:t>
    </dgm:pt>
    <dgm:pt modelId="{4DED249D-FF79-416B-A20C-46124C47BBF7}" type="pres">
      <dgm:prSet presAssocID="{A44CEB3A-D882-4802-B0E1-A8844C4EA9ED}" presName="rootText3" presStyleLbl="asst1" presStyleIdx="5" presStyleCnt="11">
        <dgm:presLayoutVars>
          <dgm:chPref val="3"/>
        </dgm:presLayoutVars>
      </dgm:prSet>
      <dgm:spPr/>
      <dgm:t>
        <a:bodyPr/>
        <a:lstStyle/>
        <a:p>
          <a:endParaRPr lang="es-ES"/>
        </a:p>
      </dgm:t>
    </dgm:pt>
    <dgm:pt modelId="{D18AA688-2382-4189-8F96-AF81401D9012}" type="pres">
      <dgm:prSet presAssocID="{A44CEB3A-D882-4802-B0E1-A8844C4EA9ED}" presName="rootConnector3" presStyleLbl="asst1" presStyleIdx="5" presStyleCnt="11"/>
      <dgm:spPr/>
      <dgm:t>
        <a:bodyPr/>
        <a:lstStyle/>
        <a:p>
          <a:endParaRPr lang="es-ES"/>
        </a:p>
      </dgm:t>
    </dgm:pt>
    <dgm:pt modelId="{E04E2C1D-3790-4F82-994B-CD39C5DF6E09}" type="pres">
      <dgm:prSet presAssocID="{A44CEB3A-D882-4802-B0E1-A8844C4EA9ED}" presName="hierChild6" presStyleCnt="0"/>
      <dgm:spPr/>
      <dgm:t>
        <a:bodyPr/>
        <a:lstStyle/>
        <a:p>
          <a:endParaRPr lang="es-ES"/>
        </a:p>
      </dgm:t>
    </dgm:pt>
    <dgm:pt modelId="{411A4686-F573-4D31-8080-8FC632D76FB9}" type="pres">
      <dgm:prSet presAssocID="{A44CEB3A-D882-4802-B0E1-A8844C4EA9ED}" presName="hierChild7" presStyleCnt="0"/>
      <dgm:spPr/>
      <dgm:t>
        <a:bodyPr/>
        <a:lstStyle/>
        <a:p>
          <a:endParaRPr lang="es-ES"/>
        </a:p>
      </dgm:t>
    </dgm:pt>
    <dgm:pt modelId="{F9B6DCD4-AB01-4F02-8A81-09491D122E42}" type="pres">
      <dgm:prSet presAssocID="{908D7329-A979-416D-ADE4-63A1155C8F14}" presName="Name111" presStyleLbl="parChTrans1D3" presStyleIdx="5" presStyleCnt="9"/>
      <dgm:spPr/>
      <dgm:t>
        <a:bodyPr/>
        <a:lstStyle/>
        <a:p>
          <a:endParaRPr lang="es-ES"/>
        </a:p>
      </dgm:t>
    </dgm:pt>
    <dgm:pt modelId="{D0E2805F-528C-454F-B671-83BA3036D6B8}" type="pres">
      <dgm:prSet presAssocID="{5D0C7BE6-026D-42D4-98FC-045A5CD3DA4E}" presName="hierRoot3" presStyleCnt="0">
        <dgm:presLayoutVars>
          <dgm:hierBranch val="init"/>
        </dgm:presLayoutVars>
      </dgm:prSet>
      <dgm:spPr/>
      <dgm:t>
        <a:bodyPr/>
        <a:lstStyle/>
        <a:p>
          <a:endParaRPr lang="es-ES"/>
        </a:p>
      </dgm:t>
    </dgm:pt>
    <dgm:pt modelId="{A3F752BF-75CE-4C81-9C9D-C613BC849523}" type="pres">
      <dgm:prSet presAssocID="{5D0C7BE6-026D-42D4-98FC-045A5CD3DA4E}" presName="rootComposite3" presStyleCnt="0"/>
      <dgm:spPr/>
      <dgm:t>
        <a:bodyPr/>
        <a:lstStyle/>
        <a:p>
          <a:endParaRPr lang="es-ES"/>
        </a:p>
      </dgm:t>
    </dgm:pt>
    <dgm:pt modelId="{C0C7305C-ADF9-46FC-9160-3730285C7658}" type="pres">
      <dgm:prSet presAssocID="{5D0C7BE6-026D-42D4-98FC-045A5CD3DA4E}" presName="rootText3" presStyleLbl="asst1" presStyleIdx="6" presStyleCnt="11">
        <dgm:presLayoutVars>
          <dgm:chPref val="3"/>
        </dgm:presLayoutVars>
      </dgm:prSet>
      <dgm:spPr/>
      <dgm:t>
        <a:bodyPr/>
        <a:lstStyle/>
        <a:p>
          <a:endParaRPr lang="es-ES"/>
        </a:p>
      </dgm:t>
    </dgm:pt>
    <dgm:pt modelId="{43E7B4AA-3673-4FB3-A629-0387F1C53676}" type="pres">
      <dgm:prSet presAssocID="{5D0C7BE6-026D-42D4-98FC-045A5CD3DA4E}" presName="rootConnector3" presStyleLbl="asst1" presStyleIdx="6" presStyleCnt="11"/>
      <dgm:spPr/>
      <dgm:t>
        <a:bodyPr/>
        <a:lstStyle/>
        <a:p>
          <a:endParaRPr lang="es-ES"/>
        </a:p>
      </dgm:t>
    </dgm:pt>
    <dgm:pt modelId="{637B8B52-4A5F-42A5-A149-BE5A6507694D}" type="pres">
      <dgm:prSet presAssocID="{5D0C7BE6-026D-42D4-98FC-045A5CD3DA4E}" presName="hierChild6" presStyleCnt="0"/>
      <dgm:spPr/>
      <dgm:t>
        <a:bodyPr/>
        <a:lstStyle/>
        <a:p>
          <a:endParaRPr lang="es-ES"/>
        </a:p>
      </dgm:t>
    </dgm:pt>
    <dgm:pt modelId="{0984B47F-4F7D-4E8F-A343-740E31510C5A}" type="pres">
      <dgm:prSet presAssocID="{5D0C7BE6-026D-42D4-98FC-045A5CD3DA4E}" presName="hierChild7" presStyleCnt="0"/>
      <dgm:spPr/>
      <dgm:t>
        <a:bodyPr/>
        <a:lstStyle/>
        <a:p>
          <a:endParaRPr lang="es-ES"/>
        </a:p>
      </dgm:t>
    </dgm:pt>
    <dgm:pt modelId="{166C428A-197E-4BA5-8EC1-644CF1976420}" type="pres">
      <dgm:prSet presAssocID="{9081F5AC-80D3-4125-AB0B-D3EE0CB33AA1}" presName="Name111" presStyleLbl="parChTrans1D2" presStyleIdx="1" presStyleCnt="2"/>
      <dgm:spPr/>
      <dgm:t>
        <a:bodyPr/>
        <a:lstStyle/>
        <a:p>
          <a:endParaRPr lang="es-ES"/>
        </a:p>
      </dgm:t>
    </dgm:pt>
    <dgm:pt modelId="{F81FF0BF-1229-4D08-AA2A-49FC7298E248}" type="pres">
      <dgm:prSet presAssocID="{2F4D8F8A-70EC-49E7-9395-8F206ACA96ED}" presName="hierRoot3" presStyleCnt="0">
        <dgm:presLayoutVars>
          <dgm:hierBranch val="init"/>
        </dgm:presLayoutVars>
      </dgm:prSet>
      <dgm:spPr/>
      <dgm:t>
        <a:bodyPr/>
        <a:lstStyle/>
        <a:p>
          <a:endParaRPr lang="es-ES"/>
        </a:p>
      </dgm:t>
    </dgm:pt>
    <dgm:pt modelId="{1BD4B15D-8921-4C13-884F-0408C39009C7}" type="pres">
      <dgm:prSet presAssocID="{2F4D8F8A-70EC-49E7-9395-8F206ACA96ED}" presName="rootComposite3" presStyleCnt="0"/>
      <dgm:spPr/>
      <dgm:t>
        <a:bodyPr/>
        <a:lstStyle/>
        <a:p>
          <a:endParaRPr lang="es-ES"/>
        </a:p>
      </dgm:t>
    </dgm:pt>
    <dgm:pt modelId="{E7C3600F-DA99-4913-B85A-0FA67187AD74}" type="pres">
      <dgm:prSet presAssocID="{2F4D8F8A-70EC-49E7-9395-8F206ACA96ED}" presName="rootText3" presStyleLbl="asst1" presStyleIdx="7" presStyleCnt="11">
        <dgm:presLayoutVars>
          <dgm:chPref val="3"/>
        </dgm:presLayoutVars>
      </dgm:prSet>
      <dgm:spPr/>
      <dgm:t>
        <a:bodyPr/>
        <a:lstStyle/>
        <a:p>
          <a:endParaRPr lang="es-ES"/>
        </a:p>
      </dgm:t>
    </dgm:pt>
    <dgm:pt modelId="{4D7B34F2-343E-4B93-87A2-DE82C7D50300}" type="pres">
      <dgm:prSet presAssocID="{2F4D8F8A-70EC-49E7-9395-8F206ACA96ED}" presName="rootConnector3" presStyleLbl="asst1" presStyleIdx="7" presStyleCnt="11"/>
      <dgm:spPr/>
      <dgm:t>
        <a:bodyPr/>
        <a:lstStyle/>
        <a:p>
          <a:endParaRPr lang="es-ES"/>
        </a:p>
      </dgm:t>
    </dgm:pt>
    <dgm:pt modelId="{9BE7CC50-1D8A-417F-86A8-08DC04E6B460}" type="pres">
      <dgm:prSet presAssocID="{2F4D8F8A-70EC-49E7-9395-8F206ACA96ED}" presName="hierChild6" presStyleCnt="0"/>
      <dgm:spPr/>
      <dgm:t>
        <a:bodyPr/>
        <a:lstStyle/>
        <a:p>
          <a:endParaRPr lang="es-ES"/>
        </a:p>
      </dgm:t>
    </dgm:pt>
    <dgm:pt modelId="{05260914-D51C-402D-B074-EF13A8CF32F9}" type="pres">
      <dgm:prSet presAssocID="{2F4D8F8A-70EC-49E7-9395-8F206ACA96ED}" presName="hierChild7" presStyleCnt="0"/>
      <dgm:spPr/>
      <dgm:t>
        <a:bodyPr/>
        <a:lstStyle/>
        <a:p>
          <a:endParaRPr lang="es-ES"/>
        </a:p>
      </dgm:t>
    </dgm:pt>
    <dgm:pt modelId="{05AB24A6-7152-4CDB-B5F9-EBF363093BA0}" type="pres">
      <dgm:prSet presAssocID="{253591E2-6D6C-4609-A823-865F21316628}" presName="Name111" presStyleLbl="parChTrans1D3" presStyleIdx="6" presStyleCnt="9"/>
      <dgm:spPr/>
      <dgm:t>
        <a:bodyPr/>
        <a:lstStyle/>
        <a:p>
          <a:endParaRPr lang="es-ES"/>
        </a:p>
      </dgm:t>
    </dgm:pt>
    <dgm:pt modelId="{71EDF95E-AF6F-4CD0-A00B-F526965B73B5}" type="pres">
      <dgm:prSet presAssocID="{6D5F54F7-843E-4137-A212-DFCDDA11BEF0}" presName="hierRoot3" presStyleCnt="0">
        <dgm:presLayoutVars>
          <dgm:hierBranch val="init"/>
        </dgm:presLayoutVars>
      </dgm:prSet>
      <dgm:spPr/>
      <dgm:t>
        <a:bodyPr/>
        <a:lstStyle/>
        <a:p>
          <a:endParaRPr lang="es-ES"/>
        </a:p>
      </dgm:t>
    </dgm:pt>
    <dgm:pt modelId="{627A6E3C-B79A-4EDD-869D-EEE7CB4D69B7}" type="pres">
      <dgm:prSet presAssocID="{6D5F54F7-843E-4137-A212-DFCDDA11BEF0}" presName="rootComposite3" presStyleCnt="0"/>
      <dgm:spPr/>
      <dgm:t>
        <a:bodyPr/>
        <a:lstStyle/>
        <a:p>
          <a:endParaRPr lang="es-ES"/>
        </a:p>
      </dgm:t>
    </dgm:pt>
    <dgm:pt modelId="{6D798290-26A4-4B21-9D61-4E23DA4A182A}" type="pres">
      <dgm:prSet presAssocID="{6D5F54F7-843E-4137-A212-DFCDDA11BEF0}" presName="rootText3" presStyleLbl="asst1" presStyleIdx="8" presStyleCnt="11">
        <dgm:presLayoutVars>
          <dgm:chPref val="3"/>
        </dgm:presLayoutVars>
      </dgm:prSet>
      <dgm:spPr/>
      <dgm:t>
        <a:bodyPr/>
        <a:lstStyle/>
        <a:p>
          <a:endParaRPr lang="es-ES"/>
        </a:p>
      </dgm:t>
    </dgm:pt>
    <dgm:pt modelId="{EDFBAD77-B29A-485E-8137-19ADD5953FA5}" type="pres">
      <dgm:prSet presAssocID="{6D5F54F7-843E-4137-A212-DFCDDA11BEF0}" presName="rootConnector3" presStyleLbl="asst1" presStyleIdx="8" presStyleCnt="11"/>
      <dgm:spPr/>
      <dgm:t>
        <a:bodyPr/>
        <a:lstStyle/>
        <a:p>
          <a:endParaRPr lang="es-ES"/>
        </a:p>
      </dgm:t>
    </dgm:pt>
    <dgm:pt modelId="{705896D5-8C5F-48F2-B84C-B9111C4FF6DC}" type="pres">
      <dgm:prSet presAssocID="{6D5F54F7-843E-4137-A212-DFCDDA11BEF0}" presName="hierChild6" presStyleCnt="0"/>
      <dgm:spPr/>
      <dgm:t>
        <a:bodyPr/>
        <a:lstStyle/>
        <a:p>
          <a:endParaRPr lang="es-ES"/>
        </a:p>
      </dgm:t>
    </dgm:pt>
    <dgm:pt modelId="{52486648-A6FA-4DB9-A36E-17509846B37B}" type="pres">
      <dgm:prSet presAssocID="{6D5F54F7-843E-4137-A212-DFCDDA11BEF0}" presName="hierChild7" presStyleCnt="0"/>
      <dgm:spPr/>
      <dgm:t>
        <a:bodyPr/>
        <a:lstStyle/>
        <a:p>
          <a:endParaRPr lang="es-ES"/>
        </a:p>
      </dgm:t>
    </dgm:pt>
    <dgm:pt modelId="{102ABAA9-6561-461D-AD76-F0788ACF5EF7}" type="pres">
      <dgm:prSet presAssocID="{CC50CFE4-D87F-464B-AC05-F7749738B8B1}" presName="Name111" presStyleLbl="parChTrans1D3" presStyleIdx="7" presStyleCnt="9"/>
      <dgm:spPr/>
      <dgm:t>
        <a:bodyPr/>
        <a:lstStyle/>
        <a:p>
          <a:endParaRPr lang="es-ES"/>
        </a:p>
      </dgm:t>
    </dgm:pt>
    <dgm:pt modelId="{1BBE022C-BFF3-4821-9CAC-9626DDA57D6B}" type="pres">
      <dgm:prSet presAssocID="{BF2350F7-2E5F-46E9-A2B3-F4E37267D13E}" presName="hierRoot3" presStyleCnt="0">
        <dgm:presLayoutVars>
          <dgm:hierBranch val="init"/>
        </dgm:presLayoutVars>
      </dgm:prSet>
      <dgm:spPr/>
      <dgm:t>
        <a:bodyPr/>
        <a:lstStyle/>
        <a:p>
          <a:endParaRPr lang="es-ES"/>
        </a:p>
      </dgm:t>
    </dgm:pt>
    <dgm:pt modelId="{4D531A69-37DA-4B0F-8EEE-623BD38CFE31}" type="pres">
      <dgm:prSet presAssocID="{BF2350F7-2E5F-46E9-A2B3-F4E37267D13E}" presName="rootComposite3" presStyleCnt="0"/>
      <dgm:spPr/>
      <dgm:t>
        <a:bodyPr/>
        <a:lstStyle/>
        <a:p>
          <a:endParaRPr lang="es-ES"/>
        </a:p>
      </dgm:t>
    </dgm:pt>
    <dgm:pt modelId="{F2964D47-4733-4048-AEDD-49D08F1C61D7}" type="pres">
      <dgm:prSet presAssocID="{BF2350F7-2E5F-46E9-A2B3-F4E37267D13E}" presName="rootText3" presStyleLbl="asst1" presStyleIdx="9" presStyleCnt="11">
        <dgm:presLayoutVars>
          <dgm:chPref val="3"/>
        </dgm:presLayoutVars>
      </dgm:prSet>
      <dgm:spPr/>
      <dgm:t>
        <a:bodyPr/>
        <a:lstStyle/>
        <a:p>
          <a:endParaRPr lang="es-ES"/>
        </a:p>
      </dgm:t>
    </dgm:pt>
    <dgm:pt modelId="{FCF31296-0865-4A52-90FB-44CAADF0B99F}" type="pres">
      <dgm:prSet presAssocID="{BF2350F7-2E5F-46E9-A2B3-F4E37267D13E}" presName="rootConnector3" presStyleLbl="asst1" presStyleIdx="9" presStyleCnt="11"/>
      <dgm:spPr/>
      <dgm:t>
        <a:bodyPr/>
        <a:lstStyle/>
        <a:p>
          <a:endParaRPr lang="es-ES"/>
        </a:p>
      </dgm:t>
    </dgm:pt>
    <dgm:pt modelId="{098D1049-7A5F-4115-96C7-FBB7172A1BB2}" type="pres">
      <dgm:prSet presAssocID="{BF2350F7-2E5F-46E9-A2B3-F4E37267D13E}" presName="hierChild6" presStyleCnt="0"/>
      <dgm:spPr/>
      <dgm:t>
        <a:bodyPr/>
        <a:lstStyle/>
        <a:p>
          <a:endParaRPr lang="es-ES"/>
        </a:p>
      </dgm:t>
    </dgm:pt>
    <dgm:pt modelId="{FFDFA18C-5C1F-4223-8BDA-2E271A3F8440}" type="pres">
      <dgm:prSet presAssocID="{BF2350F7-2E5F-46E9-A2B3-F4E37267D13E}" presName="hierChild7" presStyleCnt="0"/>
      <dgm:spPr/>
      <dgm:t>
        <a:bodyPr/>
        <a:lstStyle/>
        <a:p>
          <a:endParaRPr lang="es-ES"/>
        </a:p>
      </dgm:t>
    </dgm:pt>
    <dgm:pt modelId="{150D84F6-AF71-4DE2-939B-BBADDD51DC6A}" type="pres">
      <dgm:prSet presAssocID="{01A5D340-E938-4E75-84FF-0121B6258032}" presName="Name111" presStyleLbl="parChTrans1D3" presStyleIdx="8" presStyleCnt="9"/>
      <dgm:spPr/>
      <dgm:t>
        <a:bodyPr/>
        <a:lstStyle/>
        <a:p>
          <a:endParaRPr lang="es-ES"/>
        </a:p>
      </dgm:t>
    </dgm:pt>
    <dgm:pt modelId="{BA999231-A64C-4A23-8E6E-6C5C5239BFBC}" type="pres">
      <dgm:prSet presAssocID="{816247CC-27EC-4BF3-9FE1-F7873D003419}" presName="hierRoot3" presStyleCnt="0">
        <dgm:presLayoutVars>
          <dgm:hierBranch val="init"/>
        </dgm:presLayoutVars>
      </dgm:prSet>
      <dgm:spPr/>
      <dgm:t>
        <a:bodyPr/>
        <a:lstStyle/>
        <a:p>
          <a:endParaRPr lang="es-ES"/>
        </a:p>
      </dgm:t>
    </dgm:pt>
    <dgm:pt modelId="{E2A214B4-EC12-4786-A771-9C16D184693D}" type="pres">
      <dgm:prSet presAssocID="{816247CC-27EC-4BF3-9FE1-F7873D003419}" presName="rootComposite3" presStyleCnt="0"/>
      <dgm:spPr/>
      <dgm:t>
        <a:bodyPr/>
        <a:lstStyle/>
        <a:p>
          <a:endParaRPr lang="es-ES"/>
        </a:p>
      </dgm:t>
    </dgm:pt>
    <dgm:pt modelId="{C3AF2149-CACC-4B70-9948-C3577B96E4E9}" type="pres">
      <dgm:prSet presAssocID="{816247CC-27EC-4BF3-9FE1-F7873D003419}" presName="rootText3" presStyleLbl="asst1" presStyleIdx="10" presStyleCnt="11">
        <dgm:presLayoutVars>
          <dgm:chPref val="3"/>
        </dgm:presLayoutVars>
      </dgm:prSet>
      <dgm:spPr/>
      <dgm:t>
        <a:bodyPr/>
        <a:lstStyle/>
        <a:p>
          <a:endParaRPr lang="es-ES"/>
        </a:p>
      </dgm:t>
    </dgm:pt>
    <dgm:pt modelId="{A81031CC-58B5-4201-86B7-875BC2BDFCCA}" type="pres">
      <dgm:prSet presAssocID="{816247CC-27EC-4BF3-9FE1-F7873D003419}" presName="rootConnector3" presStyleLbl="asst1" presStyleIdx="10" presStyleCnt="11"/>
      <dgm:spPr/>
      <dgm:t>
        <a:bodyPr/>
        <a:lstStyle/>
        <a:p>
          <a:endParaRPr lang="es-ES"/>
        </a:p>
      </dgm:t>
    </dgm:pt>
    <dgm:pt modelId="{9892DB98-0EEA-403C-80A1-63E31116D84F}" type="pres">
      <dgm:prSet presAssocID="{816247CC-27EC-4BF3-9FE1-F7873D003419}" presName="hierChild6" presStyleCnt="0"/>
      <dgm:spPr/>
      <dgm:t>
        <a:bodyPr/>
        <a:lstStyle/>
        <a:p>
          <a:endParaRPr lang="es-ES"/>
        </a:p>
      </dgm:t>
    </dgm:pt>
    <dgm:pt modelId="{16939547-5502-4EDB-8F75-41DBC5D774A6}" type="pres">
      <dgm:prSet presAssocID="{816247CC-27EC-4BF3-9FE1-F7873D003419}" presName="hierChild7" presStyleCnt="0"/>
      <dgm:spPr/>
      <dgm:t>
        <a:bodyPr/>
        <a:lstStyle/>
        <a:p>
          <a:endParaRPr lang="es-ES"/>
        </a:p>
      </dgm:t>
    </dgm:pt>
  </dgm:ptLst>
  <dgm:cxnLst>
    <dgm:cxn modelId="{13CD16F1-14A1-4896-A7E7-A1702227BC38}" type="presOf" srcId="{0CC33653-3BF3-4478-BCCD-28012FCE7E97}" destId="{33A4693A-4414-4B6C-85E0-6C086806BC50}" srcOrd="0" destOrd="0" presId="urn:microsoft.com/office/officeart/2005/8/layout/orgChart1"/>
    <dgm:cxn modelId="{1ED70D27-D9AD-4F1F-9681-3D9DF8B25274}" type="presOf" srcId="{816247CC-27EC-4BF3-9FE1-F7873D003419}" destId="{C3AF2149-CACC-4B70-9948-C3577B96E4E9}" srcOrd="0" destOrd="0" presId="urn:microsoft.com/office/officeart/2005/8/layout/orgChart1"/>
    <dgm:cxn modelId="{4611F2F8-4ACB-461E-8C99-BFB296A05181}" type="presOf" srcId="{9081F5AC-80D3-4125-AB0B-D3EE0CB33AA1}" destId="{166C428A-197E-4BA5-8EC1-644CF1976420}" srcOrd="0" destOrd="0" presId="urn:microsoft.com/office/officeart/2005/8/layout/orgChart1"/>
    <dgm:cxn modelId="{9BB6ACE1-CD58-4946-848C-45A12616E761}" type="presOf" srcId="{FED0B4A8-EDB9-424C-896D-8EF6A5A99485}" destId="{17D0C57E-3B4E-4EE7-A257-69ECC4390517}" srcOrd="0" destOrd="0" presId="urn:microsoft.com/office/officeart/2005/8/layout/orgChart1"/>
    <dgm:cxn modelId="{C0751F74-4FD6-4414-9770-B752207BB63D}" type="presOf" srcId="{6D5F54F7-843E-4137-A212-DFCDDA11BEF0}" destId="{6D798290-26A4-4B21-9D61-4E23DA4A182A}" srcOrd="0" destOrd="0" presId="urn:microsoft.com/office/officeart/2005/8/layout/orgChart1"/>
    <dgm:cxn modelId="{33D17924-E195-4925-A06B-83950B5A9A7A}" type="presOf" srcId="{A44CEB3A-D882-4802-B0E1-A8844C4EA9ED}" destId="{4DED249D-FF79-416B-A20C-46124C47BBF7}" srcOrd="0" destOrd="0" presId="urn:microsoft.com/office/officeart/2005/8/layout/orgChart1"/>
    <dgm:cxn modelId="{56643ABD-F7F8-43FB-A5DA-1FA026A664EF}" type="presOf" srcId="{BF2350F7-2E5F-46E9-A2B3-F4E37267D13E}" destId="{FCF31296-0865-4A52-90FB-44CAADF0B99F}" srcOrd="1" destOrd="0" presId="urn:microsoft.com/office/officeart/2005/8/layout/orgChart1"/>
    <dgm:cxn modelId="{87ABF888-0E85-4003-838B-BD0C9E11785A}" type="presOf" srcId="{908D7329-A979-416D-ADE4-63A1155C8F14}" destId="{F9B6DCD4-AB01-4F02-8A81-09491D122E42}" srcOrd="0" destOrd="0" presId="urn:microsoft.com/office/officeart/2005/8/layout/orgChart1"/>
    <dgm:cxn modelId="{89900F07-DF3C-4BF1-9307-399F69279737}" type="presOf" srcId="{CB7C62A1-1368-48E0-9DE7-DE2B67E7C65F}" destId="{D78D26B9-2756-4F1B-B887-887906567F71}" srcOrd="1" destOrd="0" presId="urn:microsoft.com/office/officeart/2005/8/layout/orgChart1"/>
    <dgm:cxn modelId="{077F3F45-5D9A-4FF1-8488-83E5A86D8952}" type="presOf" srcId="{87F1FF92-80C0-4306-966C-3ED0D4A56110}" destId="{EE7A7743-77B4-4F65-9253-451451F3C0A4}" srcOrd="1" destOrd="0" presId="urn:microsoft.com/office/officeart/2005/8/layout/orgChart1"/>
    <dgm:cxn modelId="{9B847E7B-031B-4241-90AC-AFDBA09429B1}" type="presOf" srcId="{253591E2-6D6C-4609-A823-865F21316628}" destId="{05AB24A6-7152-4CDB-B5F9-EBF363093BA0}" srcOrd="0" destOrd="0" presId="urn:microsoft.com/office/officeart/2005/8/layout/orgChart1"/>
    <dgm:cxn modelId="{257C10D0-A262-4E4A-99F8-A2285FCCAD3E}" type="presOf" srcId="{F4AC0C10-8C42-425A-BE2B-5B83D942456D}" destId="{0FCC4A1E-684A-47C0-86FE-6111DDFA2937}" srcOrd="1" destOrd="0" presId="urn:microsoft.com/office/officeart/2005/8/layout/orgChart1"/>
    <dgm:cxn modelId="{BDE64531-D59A-4265-BD40-0D8690C3BAD8}" type="presOf" srcId="{2F4D8F8A-70EC-49E7-9395-8F206ACA96ED}" destId="{4D7B34F2-343E-4B93-87A2-DE82C7D50300}" srcOrd="1" destOrd="0" presId="urn:microsoft.com/office/officeart/2005/8/layout/orgChart1"/>
    <dgm:cxn modelId="{FFC3CA06-DFB9-4AFD-B304-9613C01F583E}" srcId="{4928B0A1-ACB2-4010-98F0-0D3B81C9D2C2}" destId="{F4AC0C10-8C42-425A-BE2B-5B83D942456D}" srcOrd="3" destOrd="0" parTransId="{FED0B4A8-EDB9-424C-896D-8EF6A5A99485}" sibTransId="{14B2D59E-3EA9-46EA-8670-E654C8B51BAA}"/>
    <dgm:cxn modelId="{F5F5A32E-5185-4B87-86EC-FE853AFFBC87}" type="presOf" srcId="{B0417EF3-B57A-4E56-B6D8-AED3986186E4}" destId="{ECF37E91-DEFC-4374-B320-E0DA5C1CFA85}" srcOrd="0" destOrd="0" presId="urn:microsoft.com/office/officeart/2005/8/layout/orgChart1"/>
    <dgm:cxn modelId="{69FF5AB8-1D4E-49A5-9ED9-818D2E76D5A2}" srcId="{2F4D8F8A-70EC-49E7-9395-8F206ACA96ED}" destId="{6D5F54F7-843E-4137-A212-DFCDDA11BEF0}" srcOrd="0" destOrd="0" parTransId="{253591E2-6D6C-4609-A823-865F21316628}" sibTransId="{74987F3C-FDF6-43CB-8957-A79AFE38CEB2}"/>
    <dgm:cxn modelId="{A7D47E52-9784-4FB7-82FD-BF99E93300E3}" type="presOf" srcId="{87F1FF92-80C0-4306-966C-3ED0D4A56110}" destId="{ED7A7B36-FA7A-458B-85FE-3F278E0608B4}" srcOrd="0" destOrd="0" presId="urn:microsoft.com/office/officeart/2005/8/layout/orgChart1"/>
    <dgm:cxn modelId="{E5F496B8-B89C-4239-8D73-6E854C079FDE}" type="presOf" srcId="{BF2350F7-2E5F-46E9-A2B3-F4E37267D13E}" destId="{F2964D47-4733-4048-AEDD-49D08F1C61D7}" srcOrd="0" destOrd="0" presId="urn:microsoft.com/office/officeart/2005/8/layout/orgChart1"/>
    <dgm:cxn modelId="{8C0A6010-1EA4-4F06-92FF-0C91723695F4}" type="presOf" srcId="{4BF273CB-3880-4F38-8163-31E6606198DD}" destId="{19B20140-DB9F-4027-A480-43368888EFC0}" srcOrd="1" destOrd="0" presId="urn:microsoft.com/office/officeart/2005/8/layout/orgChart1"/>
    <dgm:cxn modelId="{A7FAEE35-CF3E-49E8-AB39-5A4B6FFDB935}" type="presOf" srcId="{F4AC0C10-8C42-425A-BE2B-5B83D942456D}" destId="{E65D1114-7BA3-4A78-8EBC-BE81B59303E6}" srcOrd="0" destOrd="0" presId="urn:microsoft.com/office/officeart/2005/8/layout/orgChart1"/>
    <dgm:cxn modelId="{715E6EA8-0B77-45C4-A3C7-07A20CA097D9}" type="presOf" srcId="{0CC33653-3BF3-4478-BCCD-28012FCE7E97}" destId="{F9AB8DB5-5A29-4E6C-8D99-A5EDF1382D91}" srcOrd="1" destOrd="0" presId="urn:microsoft.com/office/officeart/2005/8/layout/orgChart1"/>
    <dgm:cxn modelId="{2EFA301E-2535-4922-A917-AF7C00DF44CD}" srcId="{4928B0A1-ACB2-4010-98F0-0D3B81C9D2C2}" destId="{CB7C62A1-1368-48E0-9DE7-DE2B67E7C65F}" srcOrd="1" destOrd="0" parTransId="{B0417EF3-B57A-4E56-B6D8-AED3986186E4}" sibTransId="{7D3FED06-1249-4BF7-BF0A-9BEF8055E3D6}"/>
    <dgm:cxn modelId="{58A03A3D-C1A8-4059-8750-84BF5874A3AC}" type="presOf" srcId="{1EBC940B-E2A1-4FAE-B728-B08FC8AA99E3}" destId="{2D62B9AC-64A5-46AD-A56F-8384B4B90D34}" srcOrd="0" destOrd="0" presId="urn:microsoft.com/office/officeart/2005/8/layout/orgChart1"/>
    <dgm:cxn modelId="{7161E64E-7562-4158-8397-651D527D97F9}" type="presOf" srcId="{F74D3946-22B5-49BC-B38D-BB42CC94668E}" destId="{800EE224-E5D2-4D37-B337-C9EEB988F9CA}" srcOrd="0" destOrd="0" presId="urn:microsoft.com/office/officeart/2005/8/layout/orgChart1"/>
    <dgm:cxn modelId="{ACBC0FA0-7144-4A12-8547-4916E498BA29}" type="presOf" srcId="{A44CEB3A-D882-4802-B0E1-A8844C4EA9ED}" destId="{D18AA688-2382-4189-8F96-AF81401D9012}" srcOrd="1" destOrd="0" presId="urn:microsoft.com/office/officeart/2005/8/layout/orgChart1"/>
    <dgm:cxn modelId="{20C9C3CD-E018-42DB-8F94-FEF2EE5B245D}" type="presOf" srcId="{4928B0A1-ACB2-4010-98F0-0D3B81C9D2C2}" destId="{7CD8BC9F-9AC4-468D-B353-51F33F4126B6}" srcOrd="1" destOrd="0" presId="urn:microsoft.com/office/officeart/2005/8/layout/orgChart1"/>
    <dgm:cxn modelId="{17A3EF8A-B5F9-45E2-9A9B-F23EFCA17477}" type="presOf" srcId="{2F4D8F8A-70EC-49E7-9395-8F206ACA96ED}" destId="{E7C3600F-DA99-4913-B85A-0FA67187AD74}" srcOrd="0" destOrd="0" presId="urn:microsoft.com/office/officeart/2005/8/layout/orgChart1"/>
    <dgm:cxn modelId="{10B6EBA1-7954-4296-A78F-CCFEF755CE52}" type="presOf" srcId="{4928B0A1-ACB2-4010-98F0-0D3B81C9D2C2}" destId="{C6DA6996-7290-446F-9066-314972F9C854}" srcOrd="0" destOrd="0" presId="urn:microsoft.com/office/officeart/2005/8/layout/orgChart1"/>
    <dgm:cxn modelId="{A9B245A5-BEF9-4B1B-9EEC-8EA78ECE7CB4}" srcId="{4928B0A1-ACB2-4010-98F0-0D3B81C9D2C2}" destId="{A44CEB3A-D882-4802-B0E1-A8844C4EA9ED}" srcOrd="4" destOrd="0" parTransId="{F74D3946-22B5-49BC-B38D-BB42CC94668E}" sibTransId="{9616B923-0522-4441-A1BA-A4DD0F1D89A1}"/>
    <dgm:cxn modelId="{F43E40AE-3BF9-427D-BB78-D4202AFCDDE5}" type="presOf" srcId="{CC50CFE4-D87F-464B-AC05-F7749738B8B1}" destId="{102ABAA9-6561-461D-AD76-F0788ACF5EF7}" srcOrd="0" destOrd="0" presId="urn:microsoft.com/office/officeart/2005/8/layout/orgChart1"/>
    <dgm:cxn modelId="{56C810EE-DEDB-42C2-B6F4-E2EAD54DCC02}" type="presOf" srcId="{CB7C62A1-1368-48E0-9DE7-DE2B67E7C65F}" destId="{387586F8-A1BD-4CF2-82A7-E0DD16E02A5B}" srcOrd="0" destOrd="0" presId="urn:microsoft.com/office/officeart/2005/8/layout/orgChart1"/>
    <dgm:cxn modelId="{B42AF0A9-17EE-492E-9D1B-56762CDD95D1}" type="presOf" srcId="{A4BED262-2978-405B-825B-D20BF76E6ACA}" destId="{C2EB06AE-6003-41CA-9EA0-CB008E967CA1}" srcOrd="0" destOrd="0" presId="urn:microsoft.com/office/officeart/2005/8/layout/orgChart1"/>
    <dgm:cxn modelId="{2D6AE89B-5EFB-46B1-9563-498CD8CB9AD0}" type="presOf" srcId="{5D0C7BE6-026D-42D4-98FC-045A5CD3DA4E}" destId="{43E7B4AA-3673-4FB3-A629-0387F1C53676}" srcOrd="1" destOrd="0" presId="urn:microsoft.com/office/officeart/2005/8/layout/orgChart1"/>
    <dgm:cxn modelId="{AE00A6C0-D5CA-4492-B1EA-0EF1119D902F}" srcId="{4928B0A1-ACB2-4010-98F0-0D3B81C9D2C2}" destId="{0CC33653-3BF3-4478-BCCD-28012FCE7E97}" srcOrd="0" destOrd="0" parTransId="{1EBC940B-E2A1-4FAE-B728-B08FC8AA99E3}" sibTransId="{F281FB89-BFEA-4D7C-AF6C-F6C54CFCD1DA}"/>
    <dgm:cxn modelId="{8A2E7802-184C-48D6-A890-FCBEBC5209AA}" srcId="{4BF273CB-3880-4F38-8163-31E6606198DD}" destId="{4928B0A1-ACB2-4010-98F0-0D3B81C9D2C2}" srcOrd="0" destOrd="0" parTransId="{ED6C7BE3-B804-40B6-9FBB-BCDFCBF197BB}" sibTransId="{4D856A69-3FA1-40C2-A25C-F919914FDEEB}"/>
    <dgm:cxn modelId="{371951BA-8B17-401A-84CF-3073E1DB639E}" type="presOf" srcId="{4BF273CB-3880-4F38-8163-31E6606198DD}" destId="{A4AF7766-8A35-41CA-A63A-73B6C4D13C83}" srcOrd="0" destOrd="0" presId="urn:microsoft.com/office/officeart/2005/8/layout/orgChart1"/>
    <dgm:cxn modelId="{E9F57E40-00B4-4829-B761-D1951E121DC3}" type="presOf" srcId="{816247CC-27EC-4BF3-9FE1-F7873D003419}" destId="{A81031CC-58B5-4201-86B7-875BC2BDFCCA}" srcOrd="1" destOrd="0" presId="urn:microsoft.com/office/officeart/2005/8/layout/orgChart1"/>
    <dgm:cxn modelId="{05FCC209-F50A-47BB-9B5F-29B77BA10C32}" type="presOf" srcId="{5D0C7BE6-026D-42D4-98FC-045A5CD3DA4E}" destId="{C0C7305C-ADF9-46FC-9160-3730285C7658}" srcOrd="0" destOrd="0" presId="urn:microsoft.com/office/officeart/2005/8/layout/orgChart1"/>
    <dgm:cxn modelId="{A4D7AB34-C3D3-400D-81D0-7C5E5C60C540}" type="presOf" srcId="{01A5D340-E938-4E75-84FF-0121B6258032}" destId="{150D84F6-AF71-4DE2-939B-BBADDD51DC6A}" srcOrd="0" destOrd="0" presId="urn:microsoft.com/office/officeart/2005/8/layout/orgChart1"/>
    <dgm:cxn modelId="{6C13D3A9-8A09-474D-8621-531B27A2C6B3}" srcId="{4BF273CB-3880-4F38-8163-31E6606198DD}" destId="{2F4D8F8A-70EC-49E7-9395-8F206ACA96ED}" srcOrd="1" destOrd="0" parTransId="{9081F5AC-80D3-4125-AB0B-D3EE0CB33AA1}" sibTransId="{0892A31D-535F-4C0F-BEAB-0B5144ACD2DD}"/>
    <dgm:cxn modelId="{3CEDC2C8-713D-4882-9D91-243D13664533}" type="presOf" srcId="{8C5DA5D1-A133-4EE0-8D8E-A3EBA30E8C78}" destId="{7AB4A92A-0FB5-4B74-B279-614F8ABC71D5}" srcOrd="0" destOrd="0" presId="urn:microsoft.com/office/officeart/2005/8/layout/orgChart1"/>
    <dgm:cxn modelId="{815C965A-E99C-4F45-81AF-916C477159D4}" type="presOf" srcId="{6D5F54F7-843E-4137-A212-DFCDDA11BEF0}" destId="{EDFBAD77-B29A-485E-8137-19ADD5953FA5}" srcOrd="1" destOrd="0" presId="urn:microsoft.com/office/officeart/2005/8/layout/orgChart1"/>
    <dgm:cxn modelId="{842F4400-21EE-423D-B5D8-7C582EE8EACE}" srcId="{4928B0A1-ACB2-4010-98F0-0D3B81C9D2C2}" destId="{5D0C7BE6-026D-42D4-98FC-045A5CD3DA4E}" srcOrd="5" destOrd="0" parTransId="{908D7329-A979-416D-ADE4-63A1155C8F14}" sibTransId="{8ABB2C64-4041-4F10-977B-4DA2B7DD732F}"/>
    <dgm:cxn modelId="{4255EAF8-E895-46A5-8893-7E7F40D41CBF}" srcId="{2F4D8F8A-70EC-49E7-9395-8F206ACA96ED}" destId="{BF2350F7-2E5F-46E9-A2B3-F4E37267D13E}" srcOrd="1" destOrd="0" parTransId="{CC50CFE4-D87F-464B-AC05-F7749738B8B1}" sibTransId="{111DB603-C5EB-45C1-8EA9-6A4A37C9FFC1}"/>
    <dgm:cxn modelId="{1BEDD103-9DBB-4281-B1DB-D925B2800700}" srcId="{2F4D8F8A-70EC-49E7-9395-8F206ACA96ED}" destId="{816247CC-27EC-4BF3-9FE1-F7873D003419}" srcOrd="2" destOrd="0" parTransId="{01A5D340-E938-4E75-84FF-0121B6258032}" sibTransId="{C6A7CC20-3E16-430E-9E83-0809635B3A3A}"/>
    <dgm:cxn modelId="{F91D559B-392C-4B52-8A7D-A2C206404DFD}" srcId="{4928B0A1-ACB2-4010-98F0-0D3B81C9D2C2}" destId="{87F1FF92-80C0-4306-966C-3ED0D4A56110}" srcOrd="2" destOrd="0" parTransId="{A4BED262-2978-405B-825B-D20BF76E6ACA}" sibTransId="{8DB7C672-57EA-4BF2-94D2-93ABF2F4C9F9}"/>
    <dgm:cxn modelId="{D0466EB7-F5EC-4829-81FA-892272B3393A}" srcId="{8C5DA5D1-A133-4EE0-8D8E-A3EBA30E8C78}" destId="{4BF273CB-3880-4F38-8163-31E6606198DD}" srcOrd="0" destOrd="0" parTransId="{73F345E5-6716-4126-B277-20A590C7637F}" sibTransId="{38DACB2C-27E3-4FA2-AF5D-2244C2856144}"/>
    <dgm:cxn modelId="{3253AED6-8CA5-4513-A4B6-50A0A3102B55}" type="presOf" srcId="{ED6C7BE3-B804-40B6-9FBB-BCDFCBF197BB}" destId="{71AEB713-28CD-456D-9176-6CE0FD1D4D8B}" srcOrd="0" destOrd="0" presId="urn:microsoft.com/office/officeart/2005/8/layout/orgChart1"/>
    <dgm:cxn modelId="{ED35EE75-2657-4E15-8F1B-221525FA2739}" type="presParOf" srcId="{7AB4A92A-0FB5-4B74-B279-614F8ABC71D5}" destId="{584FB907-A41A-4E54-A0A7-78BED0197F8A}" srcOrd="0" destOrd="0" presId="urn:microsoft.com/office/officeart/2005/8/layout/orgChart1"/>
    <dgm:cxn modelId="{293780DB-23B2-4FCC-B76A-F65651A1B4E3}" type="presParOf" srcId="{584FB907-A41A-4E54-A0A7-78BED0197F8A}" destId="{96D50A98-85F9-4DFF-9C6C-FCB08DC65C8E}" srcOrd="0" destOrd="0" presId="urn:microsoft.com/office/officeart/2005/8/layout/orgChart1"/>
    <dgm:cxn modelId="{29093383-2800-4D83-9AA0-8EDB271DCBE7}" type="presParOf" srcId="{96D50A98-85F9-4DFF-9C6C-FCB08DC65C8E}" destId="{A4AF7766-8A35-41CA-A63A-73B6C4D13C83}" srcOrd="0" destOrd="0" presId="urn:microsoft.com/office/officeart/2005/8/layout/orgChart1"/>
    <dgm:cxn modelId="{20183BA5-4BE9-4F59-868A-0EE12E52DCEC}" type="presParOf" srcId="{96D50A98-85F9-4DFF-9C6C-FCB08DC65C8E}" destId="{19B20140-DB9F-4027-A480-43368888EFC0}" srcOrd="1" destOrd="0" presId="urn:microsoft.com/office/officeart/2005/8/layout/orgChart1"/>
    <dgm:cxn modelId="{C9F5DE47-FA0A-4A13-A601-25328DBB3C14}" type="presParOf" srcId="{584FB907-A41A-4E54-A0A7-78BED0197F8A}" destId="{87FB4542-9A25-4452-9B09-76155C58DB10}" srcOrd="1" destOrd="0" presId="urn:microsoft.com/office/officeart/2005/8/layout/orgChart1"/>
    <dgm:cxn modelId="{E3172094-29B7-48AD-8711-3FE9E052AD1B}" type="presParOf" srcId="{584FB907-A41A-4E54-A0A7-78BED0197F8A}" destId="{737EB2A2-FCBF-449F-9EFF-448D03750086}" srcOrd="2" destOrd="0" presId="urn:microsoft.com/office/officeart/2005/8/layout/orgChart1"/>
    <dgm:cxn modelId="{6413566B-A85C-4DC8-9DB0-327388026C74}" type="presParOf" srcId="{737EB2A2-FCBF-449F-9EFF-448D03750086}" destId="{71AEB713-28CD-456D-9176-6CE0FD1D4D8B}" srcOrd="0" destOrd="0" presId="urn:microsoft.com/office/officeart/2005/8/layout/orgChart1"/>
    <dgm:cxn modelId="{05231452-016A-4C55-AA09-53E798A569C8}" type="presParOf" srcId="{737EB2A2-FCBF-449F-9EFF-448D03750086}" destId="{4362EDCA-C30B-4BBD-8015-3316069A26EA}" srcOrd="1" destOrd="0" presId="urn:microsoft.com/office/officeart/2005/8/layout/orgChart1"/>
    <dgm:cxn modelId="{8A97D5F3-8439-49B7-99FA-F966A12844EF}" type="presParOf" srcId="{4362EDCA-C30B-4BBD-8015-3316069A26EA}" destId="{8365C998-A792-41E5-B40D-A4B316CCA528}" srcOrd="0" destOrd="0" presId="urn:microsoft.com/office/officeart/2005/8/layout/orgChart1"/>
    <dgm:cxn modelId="{CE255451-FD60-4CE4-8063-CD0D6EBEC0F4}" type="presParOf" srcId="{8365C998-A792-41E5-B40D-A4B316CCA528}" destId="{C6DA6996-7290-446F-9066-314972F9C854}" srcOrd="0" destOrd="0" presId="urn:microsoft.com/office/officeart/2005/8/layout/orgChart1"/>
    <dgm:cxn modelId="{C8822204-2D66-4A1A-8035-C6277D3F535C}" type="presParOf" srcId="{8365C998-A792-41E5-B40D-A4B316CCA528}" destId="{7CD8BC9F-9AC4-468D-B353-51F33F4126B6}" srcOrd="1" destOrd="0" presId="urn:microsoft.com/office/officeart/2005/8/layout/orgChart1"/>
    <dgm:cxn modelId="{14CC8235-5427-44FF-B777-F4822108B4AC}" type="presParOf" srcId="{4362EDCA-C30B-4BBD-8015-3316069A26EA}" destId="{C9BDF404-E7FB-471A-BCF1-3A840FD97C22}" srcOrd="1" destOrd="0" presId="urn:microsoft.com/office/officeart/2005/8/layout/orgChart1"/>
    <dgm:cxn modelId="{37D54B4B-C4EA-41DC-8DBE-5FBFE9432C9B}" type="presParOf" srcId="{4362EDCA-C30B-4BBD-8015-3316069A26EA}" destId="{FF1D8C19-17C1-4F09-8ECF-16B0DE70E70E}" srcOrd="2" destOrd="0" presId="urn:microsoft.com/office/officeart/2005/8/layout/orgChart1"/>
    <dgm:cxn modelId="{AC299DDF-011E-4EC0-9185-AC81261DB792}" type="presParOf" srcId="{FF1D8C19-17C1-4F09-8ECF-16B0DE70E70E}" destId="{2D62B9AC-64A5-46AD-A56F-8384B4B90D34}" srcOrd="0" destOrd="0" presId="urn:microsoft.com/office/officeart/2005/8/layout/orgChart1"/>
    <dgm:cxn modelId="{B97E96CB-F891-4974-85B5-B4C67974E41A}" type="presParOf" srcId="{FF1D8C19-17C1-4F09-8ECF-16B0DE70E70E}" destId="{04F65EC5-FDD2-46E5-BAB7-BB701A486CF0}" srcOrd="1" destOrd="0" presId="urn:microsoft.com/office/officeart/2005/8/layout/orgChart1"/>
    <dgm:cxn modelId="{A7001A3C-5C76-42EC-B2B3-E8C084DE675B}" type="presParOf" srcId="{04F65EC5-FDD2-46E5-BAB7-BB701A486CF0}" destId="{03716628-6BA8-4375-ABBD-D194B917030A}" srcOrd="0" destOrd="0" presId="urn:microsoft.com/office/officeart/2005/8/layout/orgChart1"/>
    <dgm:cxn modelId="{B693D3A0-6F2B-480E-82A3-47F98529B254}" type="presParOf" srcId="{03716628-6BA8-4375-ABBD-D194B917030A}" destId="{33A4693A-4414-4B6C-85E0-6C086806BC50}" srcOrd="0" destOrd="0" presId="urn:microsoft.com/office/officeart/2005/8/layout/orgChart1"/>
    <dgm:cxn modelId="{D5BE0FA6-A771-4E02-8061-FCBEAA07E108}" type="presParOf" srcId="{03716628-6BA8-4375-ABBD-D194B917030A}" destId="{F9AB8DB5-5A29-4E6C-8D99-A5EDF1382D91}" srcOrd="1" destOrd="0" presId="urn:microsoft.com/office/officeart/2005/8/layout/orgChart1"/>
    <dgm:cxn modelId="{17C305A4-7B4A-4DF3-B3D1-32F50CEEB3BC}" type="presParOf" srcId="{04F65EC5-FDD2-46E5-BAB7-BB701A486CF0}" destId="{13D0D432-E069-4FC3-AD5D-E9A65BE0D0FD}" srcOrd="1" destOrd="0" presId="urn:microsoft.com/office/officeart/2005/8/layout/orgChart1"/>
    <dgm:cxn modelId="{7F15C968-1702-4986-AA3F-6C018D69CB15}" type="presParOf" srcId="{04F65EC5-FDD2-46E5-BAB7-BB701A486CF0}" destId="{CE1ED9BD-B89F-44A9-BA4E-733B052DD559}" srcOrd="2" destOrd="0" presId="urn:microsoft.com/office/officeart/2005/8/layout/orgChart1"/>
    <dgm:cxn modelId="{63F709FA-6F73-49D4-A576-F31392FC169B}" type="presParOf" srcId="{FF1D8C19-17C1-4F09-8ECF-16B0DE70E70E}" destId="{ECF37E91-DEFC-4374-B320-E0DA5C1CFA85}" srcOrd="2" destOrd="0" presId="urn:microsoft.com/office/officeart/2005/8/layout/orgChart1"/>
    <dgm:cxn modelId="{14018DB3-54EB-4B8A-A6C5-4D59071063EE}" type="presParOf" srcId="{FF1D8C19-17C1-4F09-8ECF-16B0DE70E70E}" destId="{230B82E2-0D08-4863-A906-6DE846F8F0B6}" srcOrd="3" destOrd="0" presId="urn:microsoft.com/office/officeart/2005/8/layout/orgChart1"/>
    <dgm:cxn modelId="{EA435E10-8819-4AD5-8463-228A4E5F79A1}" type="presParOf" srcId="{230B82E2-0D08-4863-A906-6DE846F8F0B6}" destId="{96AE7BAD-BBDB-4C9F-BE3B-EF4910CE2F0D}" srcOrd="0" destOrd="0" presId="urn:microsoft.com/office/officeart/2005/8/layout/orgChart1"/>
    <dgm:cxn modelId="{7DFEFE9C-ABDC-4CA2-BF3B-C07F5DCBB331}" type="presParOf" srcId="{96AE7BAD-BBDB-4C9F-BE3B-EF4910CE2F0D}" destId="{387586F8-A1BD-4CF2-82A7-E0DD16E02A5B}" srcOrd="0" destOrd="0" presId="urn:microsoft.com/office/officeart/2005/8/layout/orgChart1"/>
    <dgm:cxn modelId="{EF3A6D6A-4999-4F28-9C3C-0EABCF971EED}" type="presParOf" srcId="{96AE7BAD-BBDB-4C9F-BE3B-EF4910CE2F0D}" destId="{D78D26B9-2756-4F1B-B887-887906567F71}" srcOrd="1" destOrd="0" presId="urn:microsoft.com/office/officeart/2005/8/layout/orgChart1"/>
    <dgm:cxn modelId="{A1FB0EF3-0B15-4691-9BE1-35C383827BBF}" type="presParOf" srcId="{230B82E2-0D08-4863-A906-6DE846F8F0B6}" destId="{EF49F226-77E2-4234-A928-333D9518BC8E}" srcOrd="1" destOrd="0" presId="urn:microsoft.com/office/officeart/2005/8/layout/orgChart1"/>
    <dgm:cxn modelId="{EEC6817A-9F96-4D95-AC69-BA1E81FA3467}" type="presParOf" srcId="{230B82E2-0D08-4863-A906-6DE846F8F0B6}" destId="{7FBCBC4C-2515-4B75-A318-F31991321486}" srcOrd="2" destOrd="0" presId="urn:microsoft.com/office/officeart/2005/8/layout/orgChart1"/>
    <dgm:cxn modelId="{15889335-E6FE-4173-8760-BB133F76C4B7}" type="presParOf" srcId="{FF1D8C19-17C1-4F09-8ECF-16B0DE70E70E}" destId="{C2EB06AE-6003-41CA-9EA0-CB008E967CA1}" srcOrd="4" destOrd="0" presId="urn:microsoft.com/office/officeart/2005/8/layout/orgChart1"/>
    <dgm:cxn modelId="{CAA6687C-5823-4ADE-A572-7C322D9393A7}" type="presParOf" srcId="{FF1D8C19-17C1-4F09-8ECF-16B0DE70E70E}" destId="{DC210ABC-6F93-421D-BE0C-12D7CAD9251A}" srcOrd="5" destOrd="0" presId="urn:microsoft.com/office/officeart/2005/8/layout/orgChart1"/>
    <dgm:cxn modelId="{59897AD2-DF5E-4D0A-9E29-7EE35E3627DC}" type="presParOf" srcId="{DC210ABC-6F93-421D-BE0C-12D7CAD9251A}" destId="{A8890A13-4DC8-4668-85DC-E83E90C2509C}" srcOrd="0" destOrd="0" presId="urn:microsoft.com/office/officeart/2005/8/layout/orgChart1"/>
    <dgm:cxn modelId="{143273B1-EE07-40D0-80CE-144CFFC05101}" type="presParOf" srcId="{A8890A13-4DC8-4668-85DC-E83E90C2509C}" destId="{ED7A7B36-FA7A-458B-85FE-3F278E0608B4}" srcOrd="0" destOrd="0" presId="urn:microsoft.com/office/officeart/2005/8/layout/orgChart1"/>
    <dgm:cxn modelId="{0AAC944C-8C60-4A83-9DA5-2BA649EB512F}" type="presParOf" srcId="{A8890A13-4DC8-4668-85DC-E83E90C2509C}" destId="{EE7A7743-77B4-4F65-9253-451451F3C0A4}" srcOrd="1" destOrd="0" presId="urn:microsoft.com/office/officeart/2005/8/layout/orgChart1"/>
    <dgm:cxn modelId="{D4E9CD05-4EBB-4C39-9E7E-525D03CC539D}" type="presParOf" srcId="{DC210ABC-6F93-421D-BE0C-12D7CAD9251A}" destId="{4958570D-F379-41AE-9AB3-A0E7C681B816}" srcOrd="1" destOrd="0" presId="urn:microsoft.com/office/officeart/2005/8/layout/orgChart1"/>
    <dgm:cxn modelId="{C436D512-DDE5-4F92-A327-B3113AB677F6}" type="presParOf" srcId="{DC210ABC-6F93-421D-BE0C-12D7CAD9251A}" destId="{D6563019-1A4F-45D6-A931-FF659A959373}" srcOrd="2" destOrd="0" presId="urn:microsoft.com/office/officeart/2005/8/layout/orgChart1"/>
    <dgm:cxn modelId="{4971FE8A-B64A-4D7F-A839-47061ADB2C14}" type="presParOf" srcId="{FF1D8C19-17C1-4F09-8ECF-16B0DE70E70E}" destId="{17D0C57E-3B4E-4EE7-A257-69ECC4390517}" srcOrd="6" destOrd="0" presId="urn:microsoft.com/office/officeart/2005/8/layout/orgChart1"/>
    <dgm:cxn modelId="{6DE36D46-11F8-4850-B1F3-F356F74CFBA8}" type="presParOf" srcId="{FF1D8C19-17C1-4F09-8ECF-16B0DE70E70E}" destId="{E9C5B5F3-C3F2-4DE3-B4BA-E003D198F66E}" srcOrd="7" destOrd="0" presId="urn:microsoft.com/office/officeart/2005/8/layout/orgChart1"/>
    <dgm:cxn modelId="{3474BE71-66CD-4448-9D2B-A02C2375D1BA}" type="presParOf" srcId="{E9C5B5F3-C3F2-4DE3-B4BA-E003D198F66E}" destId="{4185A0AB-BE37-4D0A-856D-F4D5E98E84E7}" srcOrd="0" destOrd="0" presId="urn:microsoft.com/office/officeart/2005/8/layout/orgChart1"/>
    <dgm:cxn modelId="{05D3191B-2CC5-47FA-9679-DD7D0D75E442}" type="presParOf" srcId="{4185A0AB-BE37-4D0A-856D-F4D5E98E84E7}" destId="{E65D1114-7BA3-4A78-8EBC-BE81B59303E6}" srcOrd="0" destOrd="0" presId="urn:microsoft.com/office/officeart/2005/8/layout/orgChart1"/>
    <dgm:cxn modelId="{28DF3985-D660-482E-8723-7E8E0CBE4854}" type="presParOf" srcId="{4185A0AB-BE37-4D0A-856D-F4D5E98E84E7}" destId="{0FCC4A1E-684A-47C0-86FE-6111DDFA2937}" srcOrd="1" destOrd="0" presId="urn:microsoft.com/office/officeart/2005/8/layout/orgChart1"/>
    <dgm:cxn modelId="{1ABF69F3-16E8-4918-91E7-0461F3F0D3D4}" type="presParOf" srcId="{E9C5B5F3-C3F2-4DE3-B4BA-E003D198F66E}" destId="{7A65E4D1-B32A-4E7B-902F-0B7CD25A1A64}" srcOrd="1" destOrd="0" presId="urn:microsoft.com/office/officeart/2005/8/layout/orgChart1"/>
    <dgm:cxn modelId="{A15FCD14-12F5-40A9-B8FB-533750E859F4}" type="presParOf" srcId="{E9C5B5F3-C3F2-4DE3-B4BA-E003D198F66E}" destId="{E8510118-3BD5-4485-8971-42F61FF9921C}" srcOrd="2" destOrd="0" presId="urn:microsoft.com/office/officeart/2005/8/layout/orgChart1"/>
    <dgm:cxn modelId="{11AEF61E-F0E3-44DA-A61C-E4175D9DFE60}" type="presParOf" srcId="{FF1D8C19-17C1-4F09-8ECF-16B0DE70E70E}" destId="{800EE224-E5D2-4D37-B337-C9EEB988F9CA}" srcOrd="8" destOrd="0" presId="urn:microsoft.com/office/officeart/2005/8/layout/orgChart1"/>
    <dgm:cxn modelId="{A903E767-CD58-4F95-951D-C1A626512174}" type="presParOf" srcId="{FF1D8C19-17C1-4F09-8ECF-16B0DE70E70E}" destId="{5ED320E3-FA78-4C4B-A0F8-32AB6CD153BB}" srcOrd="9" destOrd="0" presId="urn:microsoft.com/office/officeart/2005/8/layout/orgChart1"/>
    <dgm:cxn modelId="{E7FA4905-4D06-44B2-8DDE-DACEA7A4A4F7}" type="presParOf" srcId="{5ED320E3-FA78-4C4B-A0F8-32AB6CD153BB}" destId="{E55400D4-398E-45AC-86AC-B8891F9D5538}" srcOrd="0" destOrd="0" presId="urn:microsoft.com/office/officeart/2005/8/layout/orgChart1"/>
    <dgm:cxn modelId="{8B23A749-AE4D-4AB1-9A9F-71CBEAF6C019}" type="presParOf" srcId="{E55400D4-398E-45AC-86AC-B8891F9D5538}" destId="{4DED249D-FF79-416B-A20C-46124C47BBF7}" srcOrd="0" destOrd="0" presId="urn:microsoft.com/office/officeart/2005/8/layout/orgChart1"/>
    <dgm:cxn modelId="{A0CC82D9-04D8-4783-AB51-FC83D7FEB82B}" type="presParOf" srcId="{E55400D4-398E-45AC-86AC-B8891F9D5538}" destId="{D18AA688-2382-4189-8F96-AF81401D9012}" srcOrd="1" destOrd="0" presId="urn:microsoft.com/office/officeart/2005/8/layout/orgChart1"/>
    <dgm:cxn modelId="{D3596E86-1A2F-4C2C-9E70-CFF8D93BD1A0}" type="presParOf" srcId="{5ED320E3-FA78-4C4B-A0F8-32AB6CD153BB}" destId="{E04E2C1D-3790-4F82-994B-CD39C5DF6E09}" srcOrd="1" destOrd="0" presId="urn:microsoft.com/office/officeart/2005/8/layout/orgChart1"/>
    <dgm:cxn modelId="{119A27E6-5267-486E-A8ED-ECA1602FB558}" type="presParOf" srcId="{5ED320E3-FA78-4C4B-A0F8-32AB6CD153BB}" destId="{411A4686-F573-4D31-8080-8FC632D76FB9}" srcOrd="2" destOrd="0" presId="urn:microsoft.com/office/officeart/2005/8/layout/orgChart1"/>
    <dgm:cxn modelId="{E01BC69E-C70A-4D4C-A8E6-4CAF635E2552}" type="presParOf" srcId="{FF1D8C19-17C1-4F09-8ECF-16B0DE70E70E}" destId="{F9B6DCD4-AB01-4F02-8A81-09491D122E42}" srcOrd="10" destOrd="0" presId="urn:microsoft.com/office/officeart/2005/8/layout/orgChart1"/>
    <dgm:cxn modelId="{85FD192C-5DFF-4529-A729-BAD900B11329}" type="presParOf" srcId="{FF1D8C19-17C1-4F09-8ECF-16B0DE70E70E}" destId="{D0E2805F-528C-454F-B671-83BA3036D6B8}" srcOrd="11" destOrd="0" presId="urn:microsoft.com/office/officeart/2005/8/layout/orgChart1"/>
    <dgm:cxn modelId="{67741D82-22A3-4F52-A354-DB879FEA0024}" type="presParOf" srcId="{D0E2805F-528C-454F-B671-83BA3036D6B8}" destId="{A3F752BF-75CE-4C81-9C9D-C613BC849523}" srcOrd="0" destOrd="0" presId="urn:microsoft.com/office/officeart/2005/8/layout/orgChart1"/>
    <dgm:cxn modelId="{CC77C21F-4929-4164-AB59-E0121953FE5B}" type="presParOf" srcId="{A3F752BF-75CE-4C81-9C9D-C613BC849523}" destId="{C0C7305C-ADF9-46FC-9160-3730285C7658}" srcOrd="0" destOrd="0" presId="urn:microsoft.com/office/officeart/2005/8/layout/orgChart1"/>
    <dgm:cxn modelId="{A82B5408-11E2-4777-A24B-B7989F74E68D}" type="presParOf" srcId="{A3F752BF-75CE-4C81-9C9D-C613BC849523}" destId="{43E7B4AA-3673-4FB3-A629-0387F1C53676}" srcOrd="1" destOrd="0" presId="urn:microsoft.com/office/officeart/2005/8/layout/orgChart1"/>
    <dgm:cxn modelId="{E9D72489-943F-42C7-A4BA-F5DCE8F09FD3}" type="presParOf" srcId="{D0E2805F-528C-454F-B671-83BA3036D6B8}" destId="{637B8B52-4A5F-42A5-A149-BE5A6507694D}" srcOrd="1" destOrd="0" presId="urn:microsoft.com/office/officeart/2005/8/layout/orgChart1"/>
    <dgm:cxn modelId="{79A9B4E6-A391-421E-9357-E92CD40CF6AF}" type="presParOf" srcId="{D0E2805F-528C-454F-B671-83BA3036D6B8}" destId="{0984B47F-4F7D-4E8F-A343-740E31510C5A}" srcOrd="2" destOrd="0" presId="urn:microsoft.com/office/officeart/2005/8/layout/orgChart1"/>
    <dgm:cxn modelId="{B914A940-5EB0-41D4-8F52-7D37C102D191}" type="presParOf" srcId="{737EB2A2-FCBF-449F-9EFF-448D03750086}" destId="{166C428A-197E-4BA5-8EC1-644CF1976420}" srcOrd="2" destOrd="0" presId="urn:microsoft.com/office/officeart/2005/8/layout/orgChart1"/>
    <dgm:cxn modelId="{F60DBCCB-5562-4126-A2AB-B7A6D723AC6A}" type="presParOf" srcId="{737EB2A2-FCBF-449F-9EFF-448D03750086}" destId="{F81FF0BF-1229-4D08-AA2A-49FC7298E248}" srcOrd="3" destOrd="0" presId="urn:microsoft.com/office/officeart/2005/8/layout/orgChart1"/>
    <dgm:cxn modelId="{5445BEFF-7709-428C-AF9A-F2A6E3B83386}" type="presParOf" srcId="{F81FF0BF-1229-4D08-AA2A-49FC7298E248}" destId="{1BD4B15D-8921-4C13-884F-0408C39009C7}" srcOrd="0" destOrd="0" presId="urn:microsoft.com/office/officeart/2005/8/layout/orgChart1"/>
    <dgm:cxn modelId="{DEBB154F-6956-4C05-AEA2-23E164F9EC14}" type="presParOf" srcId="{1BD4B15D-8921-4C13-884F-0408C39009C7}" destId="{E7C3600F-DA99-4913-B85A-0FA67187AD74}" srcOrd="0" destOrd="0" presId="urn:microsoft.com/office/officeart/2005/8/layout/orgChart1"/>
    <dgm:cxn modelId="{F5514C27-A762-48D2-ACAA-940D22256352}" type="presParOf" srcId="{1BD4B15D-8921-4C13-884F-0408C39009C7}" destId="{4D7B34F2-343E-4B93-87A2-DE82C7D50300}" srcOrd="1" destOrd="0" presId="urn:microsoft.com/office/officeart/2005/8/layout/orgChart1"/>
    <dgm:cxn modelId="{20A85267-94C4-4F29-A523-EFC836B3A467}" type="presParOf" srcId="{F81FF0BF-1229-4D08-AA2A-49FC7298E248}" destId="{9BE7CC50-1D8A-417F-86A8-08DC04E6B460}" srcOrd="1" destOrd="0" presId="urn:microsoft.com/office/officeart/2005/8/layout/orgChart1"/>
    <dgm:cxn modelId="{AAE45C75-9D5A-4AF4-AD25-5D4BAB0D9EC7}" type="presParOf" srcId="{F81FF0BF-1229-4D08-AA2A-49FC7298E248}" destId="{05260914-D51C-402D-B074-EF13A8CF32F9}" srcOrd="2" destOrd="0" presId="urn:microsoft.com/office/officeart/2005/8/layout/orgChart1"/>
    <dgm:cxn modelId="{E0EA9A64-1EF1-4ACE-A429-96D0090677ED}" type="presParOf" srcId="{05260914-D51C-402D-B074-EF13A8CF32F9}" destId="{05AB24A6-7152-4CDB-B5F9-EBF363093BA0}" srcOrd="0" destOrd="0" presId="urn:microsoft.com/office/officeart/2005/8/layout/orgChart1"/>
    <dgm:cxn modelId="{5370D430-DB94-4683-BD71-8A2CBDD79F14}" type="presParOf" srcId="{05260914-D51C-402D-B074-EF13A8CF32F9}" destId="{71EDF95E-AF6F-4CD0-A00B-F526965B73B5}" srcOrd="1" destOrd="0" presId="urn:microsoft.com/office/officeart/2005/8/layout/orgChart1"/>
    <dgm:cxn modelId="{B97D442E-4C48-4A09-BDCA-627F9C668DF8}" type="presParOf" srcId="{71EDF95E-AF6F-4CD0-A00B-F526965B73B5}" destId="{627A6E3C-B79A-4EDD-869D-EEE7CB4D69B7}" srcOrd="0" destOrd="0" presId="urn:microsoft.com/office/officeart/2005/8/layout/orgChart1"/>
    <dgm:cxn modelId="{54DB0AA3-70B1-4D3F-ABE7-C48FDC9021B6}" type="presParOf" srcId="{627A6E3C-B79A-4EDD-869D-EEE7CB4D69B7}" destId="{6D798290-26A4-4B21-9D61-4E23DA4A182A}" srcOrd="0" destOrd="0" presId="urn:microsoft.com/office/officeart/2005/8/layout/orgChart1"/>
    <dgm:cxn modelId="{D9E56C76-0C73-4251-82B0-5C74997BACCB}" type="presParOf" srcId="{627A6E3C-B79A-4EDD-869D-EEE7CB4D69B7}" destId="{EDFBAD77-B29A-485E-8137-19ADD5953FA5}" srcOrd="1" destOrd="0" presId="urn:microsoft.com/office/officeart/2005/8/layout/orgChart1"/>
    <dgm:cxn modelId="{959A9051-5609-41EA-9945-72FC61786EFC}" type="presParOf" srcId="{71EDF95E-AF6F-4CD0-A00B-F526965B73B5}" destId="{705896D5-8C5F-48F2-B84C-B9111C4FF6DC}" srcOrd="1" destOrd="0" presId="urn:microsoft.com/office/officeart/2005/8/layout/orgChart1"/>
    <dgm:cxn modelId="{C975E942-802B-4A41-B792-6423A9981595}" type="presParOf" srcId="{71EDF95E-AF6F-4CD0-A00B-F526965B73B5}" destId="{52486648-A6FA-4DB9-A36E-17509846B37B}" srcOrd="2" destOrd="0" presId="urn:microsoft.com/office/officeart/2005/8/layout/orgChart1"/>
    <dgm:cxn modelId="{24588BB2-0BB7-4D65-9C92-E8DAC52B1FAC}" type="presParOf" srcId="{05260914-D51C-402D-B074-EF13A8CF32F9}" destId="{102ABAA9-6561-461D-AD76-F0788ACF5EF7}" srcOrd="2" destOrd="0" presId="urn:microsoft.com/office/officeart/2005/8/layout/orgChart1"/>
    <dgm:cxn modelId="{39E6E884-15BD-472A-941B-AED8379201A8}" type="presParOf" srcId="{05260914-D51C-402D-B074-EF13A8CF32F9}" destId="{1BBE022C-BFF3-4821-9CAC-9626DDA57D6B}" srcOrd="3" destOrd="0" presId="urn:microsoft.com/office/officeart/2005/8/layout/orgChart1"/>
    <dgm:cxn modelId="{831F1E27-48BD-4673-975D-853BEA2A8DB2}" type="presParOf" srcId="{1BBE022C-BFF3-4821-9CAC-9626DDA57D6B}" destId="{4D531A69-37DA-4B0F-8EEE-623BD38CFE31}" srcOrd="0" destOrd="0" presId="urn:microsoft.com/office/officeart/2005/8/layout/orgChart1"/>
    <dgm:cxn modelId="{580FE992-6F70-40B5-B4D9-A5EF36A1503F}" type="presParOf" srcId="{4D531A69-37DA-4B0F-8EEE-623BD38CFE31}" destId="{F2964D47-4733-4048-AEDD-49D08F1C61D7}" srcOrd="0" destOrd="0" presId="urn:microsoft.com/office/officeart/2005/8/layout/orgChart1"/>
    <dgm:cxn modelId="{658E909B-1AEF-4B48-9DFE-979CD250FD5B}" type="presParOf" srcId="{4D531A69-37DA-4B0F-8EEE-623BD38CFE31}" destId="{FCF31296-0865-4A52-90FB-44CAADF0B99F}" srcOrd="1" destOrd="0" presId="urn:microsoft.com/office/officeart/2005/8/layout/orgChart1"/>
    <dgm:cxn modelId="{BA2AF296-65EF-4809-9CB6-E98730712D40}" type="presParOf" srcId="{1BBE022C-BFF3-4821-9CAC-9626DDA57D6B}" destId="{098D1049-7A5F-4115-96C7-FBB7172A1BB2}" srcOrd="1" destOrd="0" presId="urn:microsoft.com/office/officeart/2005/8/layout/orgChart1"/>
    <dgm:cxn modelId="{D149BDEA-7661-488F-9828-95831C777DBD}" type="presParOf" srcId="{1BBE022C-BFF3-4821-9CAC-9626DDA57D6B}" destId="{FFDFA18C-5C1F-4223-8BDA-2E271A3F8440}" srcOrd="2" destOrd="0" presId="urn:microsoft.com/office/officeart/2005/8/layout/orgChart1"/>
    <dgm:cxn modelId="{E4BAE19E-9DC5-45DC-94F1-E2B5D2463DDA}" type="presParOf" srcId="{05260914-D51C-402D-B074-EF13A8CF32F9}" destId="{150D84F6-AF71-4DE2-939B-BBADDD51DC6A}" srcOrd="4" destOrd="0" presId="urn:microsoft.com/office/officeart/2005/8/layout/orgChart1"/>
    <dgm:cxn modelId="{9EA744C6-B1CB-4705-BE2E-13DE452D2610}" type="presParOf" srcId="{05260914-D51C-402D-B074-EF13A8CF32F9}" destId="{BA999231-A64C-4A23-8E6E-6C5C5239BFBC}" srcOrd="5" destOrd="0" presId="urn:microsoft.com/office/officeart/2005/8/layout/orgChart1"/>
    <dgm:cxn modelId="{78F01EC9-5F02-4716-BBC2-15247BC4E13F}" type="presParOf" srcId="{BA999231-A64C-4A23-8E6E-6C5C5239BFBC}" destId="{E2A214B4-EC12-4786-A771-9C16D184693D}" srcOrd="0" destOrd="0" presId="urn:microsoft.com/office/officeart/2005/8/layout/orgChart1"/>
    <dgm:cxn modelId="{D1651BB8-61B8-453C-A11F-535865C41238}" type="presParOf" srcId="{E2A214B4-EC12-4786-A771-9C16D184693D}" destId="{C3AF2149-CACC-4B70-9948-C3577B96E4E9}" srcOrd="0" destOrd="0" presId="urn:microsoft.com/office/officeart/2005/8/layout/orgChart1"/>
    <dgm:cxn modelId="{D261B4CE-2AA1-4266-8D21-46576FB166F8}" type="presParOf" srcId="{E2A214B4-EC12-4786-A771-9C16D184693D}" destId="{A81031CC-58B5-4201-86B7-875BC2BDFCCA}" srcOrd="1" destOrd="0" presId="urn:microsoft.com/office/officeart/2005/8/layout/orgChart1"/>
    <dgm:cxn modelId="{CA3244F0-52DF-4AB6-9B51-05C23451651B}" type="presParOf" srcId="{BA999231-A64C-4A23-8E6E-6C5C5239BFBC}" destId="{9892DB98-0EEA-403C-80A1-63E31116D84F}" srcOrd="1" destOrd="0" presId="urn:microsoft.com/office/officeart/2005/8/layout/orgChart1"/>
    <dgm:cxn modelId="{D24EFEE9-81C7-4CF3-BB78-F6083CB7075C}" type="presParOf" srcId="{BA999231-A64C-4A23-8E6E-6C5C5239BFBC}" destId="{16939547-5502-4EDB-8F75-41DBC5D774A6}"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0D84F6-AF71-4DE2-939B-BBADDD51DC6A}">
      <dsp:nvSpPr>
        <dsp:cNvPr id="0" name=""/>
        <dsp:cNvSpPr/>
      </dsp:nvSpPr>
      <dsp:spPr>
        <a:xfrm>
          <a:off x="3617632" y="956727"/>
          <a:ext cx="91440" cy="923764"/>
        </a:xfrm>
        <a:custGeom>
          <a:avLst/>
          <a:gdLst/>
          <a:ahLst/>
          <a:cxnLst/>
          <a:rect l="0" t="0" r="0" b="0"/>
          <a:pathLst>
            <a:path>
              <a:moveTo>
                <a:pt x="128621" y="0"/>
              </a:moveTo>
              <a:lnTo>
                <a:pt x="128621" y="923764"/>
              </a:lnTo>
              <a:lnTo>
                <a:pt x="45720" y="92376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2ABAA9-6561-461D-AD76-F0788ACF5EF7}">
      <dsp:nvSpPr>
        <dsp:cNvPr id="0" name=""/>
        <dsp:cNvSpPr/>
      </dsp:nvSpPr>
      <dsp:spPr>
        <a:xfrm>
          <a:off x="3700534" y="956727"/>
          <a:ext cx="91440" cy="363189"/>
        </a:xfrm>
        <a:custGeom>
          <a:avLst/>
          <a:gdLst/>
          <a:ahLst/>
          <a:cxnLst/>
          <a:rect l="0" t="0" r="0" b="0"/>
          <a:pathLst>
            <a:path>
              <a:moveTo>
                <a:pt x="45720" y="0"/>
              </a:moveTo>
              <a:lnTo>
                <a:pt x="45720" y="363189"/>
              </a:lnTo>
              <a:lnTo>
                <a:pt x="128621" y="36318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AB24A6-7152-4CDB-B5F9-EBF363093BA0}">
      <dsp:nvSpPr>
        <dsp:cNvPr id="0" name=""/>
        <dsp:cNvSpPr/>
      </dsp:nvSpPr>
      <dsp:spPr>
        <a:xfrm>
          <a:off x="3617632" y="956727"/>
          <a:ext cx="91440" cy="363189"/>
        </a:xfrm>
        <a:custGeom>
          <a:avLst/>
          <a:gdLst/>
          <a:ahLst/>
          <a:cxnLst/>
          <a:rect l="0" t="0" r="0" b="0"/>
          <a:pathLst>
            <a:path>
              <a:moveTo>
                <a:pt x="128621" y="0"/>
              </a:moveTo>
              <a:lnTo>
                <a:pt x="128621" y="363189"/>
              </a:lnTo>
              <a:lnTo>
                <a:pt x="45720" y="36318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6C428A-197E-4BA5-8EC1-644CF1976420}">
      <dsp:nvSpPr>
        <dsp:cNvPr id="0" name=""/>
        <dsp:cNvSpPr/>
      </dsp:nvSpPr>
      <dsp:spPr>
        <a:xfrm>
          <a:off x="2790908" y="396152"/>
          <a:ext cx="560574" cy="363189"/>
        </a:xfrm>
        <a:custGeom>
          <a:avLst/>
          <a:gdLst/>
          <a:ahLst/>
          <a:cxnLst/>
          <a:rect l="0" t="0" r="0" b="0"/>
          <a:pathLst>
            <a:path>
              <a:moveTo>
                <a:pt x="0" y="0"/>
              </a:moveTo>
              <a:lnTo>
                <a:pt x="0" y="363189"/>
              </a:lnTo>
              <a:lnTo>
                <a:pt x="560574" y="36318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B6DCD4-AB01-4F02-8A81-09491D122E42}">
      <dsp:nvSpPr>
        <dsp:cNvPr id="0" name=""/>
        <dsp:cNvSpPr/>
      </dsp:nvSpPr>
      <dsp:spPr>
        <a:xfrm>
          <a:off x="1789841" y="956727"/>
          <a:ext cx="91440" cy="1484339"/>
        </a:xfrm>
        <a:custGeom>
          <a:avLst/>
          <a:gdLst/>
          <a:ahLst/>
          <a:cxnLst/>
          <a:rect l="0" t="0" r="0" b="0"/>
          <a:pathLst>
            <a:path>
              <a:moveTo>
                <a:pt x="45720" y="0"/>
              </a:moveTo>
              <a:lnTo>
                <a:pt x="45720" y="1484339"/>
              </a:lnTo>
              <a:lnTo>
                <a:pt x="128621" y="148433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0EE224-E5D2-4D37-B337-C9EEB988F9CA}">
      <dsp:nvSpPr>
        <dsp:cNvPr id="0" name=""/>
        <dsp:cNvSpPr/>
      </dsp:nvSpPr>
      <dsp:spPr>
        <a:xfrm>
          <a:off x="1706940" y="956727"/>
          <a:ext cx="91440" cy="1484339"/>
        </a:xfrm>
        <a:custGeom>
          <a:avLst/>
          <a:gdLst/>
          <a:ahLst/>
          <a:cxnLst/>
          <a:rect l="0" t="0" r="0" b="0"/>
          <a:pathLst>
            <a:path>
              <a:moveTo>
                <a:pt x="128621" y="0"/>
              </a:moveTo>
              <a:lnTo>
                <a:pt x="128621" y="1484339"/>
              </a:lnTo>
              <a:lnTo>
                <a:pt x="45720" y="148433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D0C57E-3B4E-4EE7-A257-69ECC4390517}">
      <dsp:nvSpPr>
        <dsp:cNvPr id="0" name=""/>
        <dsp:cNvSpPr/>
      </dsp:nvSpPr>
      <dsp:spPr>
        <a:xfrm>
          <a:off x="1789841" y="956727"/>
          <a:ext cx="91440" cy="923764"/>
        </a:xfrm>
        <a:custGeom>
          <a:avLst/>
          <a:gdLst/>
          <a:ahLst/>
          <a:cxnLst/>
          <a:rect l="0" t="0" r="0" b="0"/>
          <a:pathLst>
            <a:path>
              <a:moveTo>
                <a:pt x="45720" y="0"/>
              </a:moveTo>
              <a:lnTo>
                <a:pt x="45720" y="923764"/>
              </a:lnTo>
              <a:lnTo>
                <a:pt x="128621" y="92376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EB06AE-6003-41CA-9EA0-CB008E967CA1}">
      <dsp:nvSpPr>
        <dsp:cNvPr id="0" name=""/>
        <dsp:cNvSpPr/>
      </dsp:nvSpPr>
      <dsp:spPr>
        <a:xfrm>
          <a:off x="1706940" y="956727"/>
          <a:ext cx="91440" cy="923764"/>
        </a:xfrm>
        <a:custGeom>
          <a:avLst/>
          <a:gdLst/>
          <a:ahLst/>
          <a:cxnLst/>
          <a:rect l="0" t="0" r="0" b="0"/>
          <a:pathLst>
            <a:path>
              <a:moveTo>
                <a:pt x="128621" y="0"/>
              </a:moveTo>
              <a:lnTo>
                <a:pt x="128621" y="923764"/>
              </a:lnTo>
              <a:lnTo>
                <a:pt x="45720" y="92376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F37E91-DEFC-4374-B320-E0DA5C1CFA85}">
      <dsp:nvSpPr>
        <dsp:cNvPr id="0" name=""/>
        <dsp:cNvSpPr/>
      </dsp:nvSpPr>
      <dsp:spPr>
        <a:xfrm>
          <a:off x="1789841" y="956727"/>
          <a:ext cx="91440" cy="363189"/>
        </a:xfrm>
        <a:custGeom>
          <a:avLst/>
          <a:gdLst/>
          <a:ahLst/>
          <a:cxnLst/>
          <a:rect l="0" t="0" r="0" b="0"/>
          <a:pathLst>
            <a:path>
              <a:moveTo>
                <a:pt x="45720" y="0"/>
              </a:moveTo>
              <a:lnTo>
                <a:pt x="45720" y="363189"/>
              </a:lnTo>
              <a:lnTo>
                <a:pt x="128621" y="36318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62B9AC-64A5-46AD-A56F-8384B4B90D34}">
      <dsp:nvSpPr>
        <dsp:cNvPr id="0" name=""/>
        <dsp:cNvSpPr/>
      </dsp:nvSpPr>
      <dsp:spPr>
        <a:xfrm>
          <a:off x="1706940" y="956727"/>
          <a:ext cx="91440" cy="363189"/>
        </a:xfrm>
        <a:custGeom>
          <a:avLst/>
          <a:gdLst/>
          <a:ahLst/>
          <a:cxnLst/>
          <a:rect l="0" t="0" r="0" b="0"/>
          <a:pathLst>
            <a:path>
              <a:moveTo>
                <a:pt x="128621" y="0"/>
              </a:moveTo>
              <a:lnTo>
                <a:pt x="128621" y="363189"/>
              </a:lnTo>
              <a:lnTo>
                <a:pt x="45720" y="36318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AEB713-28CD-456D-9176-6CE0FD1D4D8B}">
      <dsp:nvSpPr>
        <dsp:cNvPr id="0" name=""/>
        <dsp:cNvSpPr/>
      </dsp:nvSpPr>
      <dsp:spPr>
        <a:xfrm>
          <a:off x="2230333" y="396152"/>
          <a:ext cx="560574" cy="363189"/>
        </a:xfrm>
        <a:custGeom>
          <a:avLst/>
          <a:gdLst/>
          <a:ahLst/>
          <a:cxnLst/>
          <a:rect l="0" t="0" r="0" b="0"/>
          <a:pathLst>
            <a:path>
              <a:moveTo>
                <a:pt x="560574" y="0"/>
              </a:moveTo>
              <a:lnTo>
                <a:pt x="560574" y="363189"/>
              </a:lnTo>
              <a:lnTo>
                <a:pt x="0" y="36318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AF7766-8A35-41CA-A63A-73B6C4D13C83}">
      <dsp:nvSpPr>
        <dsp:cNvPr id="0" name=""/>
        <dsp:cNvSpPr/>
      </dsp:nvSpPr>
      <dsp:spPr>
        <a:xfrm>
          <a:off x="2396136" y="1381"/>
          <a:ext cx="789542" cy="39477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lt-LT" sz="900" kern="1200">
              <a:latin typeface="Times New Roman" pitchFamily="18" charset="0"/>
              <a:cs typeface="Times New Roman" pitchFamily="18" charset="0"/>
            </a:rPr>
            <a:t>Verslo rėmimo tipai</a:t>
          </a:r>
          <a:endParaRPr lang="es-ES" sz="900" kern="1200">
            <a:latin typeface="Times New Roman" pitchFamily="18" charset="0"/>
            <a:cs typeface="Times New Roman" pitchFamily="18" charset="0"/>
          </a:endParaRPr>
        </a:p>
      </dsp:txBody>
      <dsp:txXfrm>
        <a:off x="2396136" y="1381"/>
        <a:ext cx="789542" cy="394771"/>
      </dsp:txXfrm>
    </dsp:sp>
    <dsp:sp modelId="{C6DA6996-7290-446F-9066-314972F9C854}">
      <dsp:nvSpPr>
        <dsp:cNvPr id="0" name=""/>
        <dsp:cNvSpPr/>
      </dsp:nvSpPr>
      <dsp:spPr>
        <a:xfrm>
          <a:off x="1440790" y="561956"/>
          <a:ext cx="789542" cy="39477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lt-LT" sz="900" kern="1200">
              <a:latin typeface="Times New Roman" pitchFamily="18" charset="0"/>
              <a:cs typeface="Times New Roman" pitchFamily="18" charset="0"/>
            </a:rPr>
            <a:t>Finansiniai</a:t>
          </a:r>
          <a:endParaRPr lang="es-ES" sz="900" kern="1200">
            <a:latin typeface="Times New Roman" pitchFamily="18" charset="0"/>
            <a:cs typeface="Times New Roman" pitchFamily="18" charset="0"/>
          </a:endParaRPr>
        </a:p>
      </dsp:txBody>
      <dsp:txXfrm>
        <a:off x="1440790" y="561956"/>
        <a:ext cx="789542" cy="394771"/>
      </dsp:txXfrm>
    </dsp:sp>
    <dsp:sp modelId="{33A4693A-4414-4B6C-85E0-6C086806BC50}">
      <dsp:nvSpPr>
        <dsp:cNvPr id="0" name=""/>
        <dsp:cNvSpPr/>
      </dsp:nvSpPr>
      <dsp:spPr>
        <a:xfrm>
          <a:off x="963117" y="1122530"/>
          <a:ext cx="789542" cy="39477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lt-LT" sz="900" kern="1200">
              <a:latin typeface="Times New Roman" pitchFamily="18" charset="0"/>
              <a:cs typeface="Times New Roman" pitchFamily="18" charset="0"/>
            </a:rPr>
            <a:t>Mokestinės lengvatos</a:t>
          </a:r>
          <a:endParaRPr lang="es-ES" sz="900" kern="1200">
            <a:latin typeface="Times New Roman" pitchFamily="18" charset="0"/>
            <a:cs typeface="Times New Roman" pitchFamily="18" charset="0"/>
          </a:endParaRPr>
        </a:p>
      </dsp:txBody>
      <dsp:txXfrm>
        <a:off x="963117" y="1122530"/>
        <a:ext cx="789542" cy="394771"/>
      </dsp:txXfrm>
    </dsp:sp>
    <dsp:sp modelId="{387586F8-A1BD-4CF2-82A7-E0DD16E02A5B}">
      <dsp:nvSpPr>
        <dsp:cNvPr id="0" name=""/>
        <dsp:cNvSpPr/>
      </dsp:nvSpPr>
      <dsp:spPr>
        <a:xfrm>
          <a:off x="1918463" y="1122530"/>
          <a:ext cx="789542" cy="39477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lt-LT" sz="900" kern="1200">
              <a:latin typeface="Times New Roman" pitchFamily="18" charset="0"/>
              <a:cs typeface="Times New Roman" pitchFamily="18" charset="0"/>
            </a:rPr>
            <a:t>Lengvatinės paskolos</a:t>
          </a:r>
          <a:endParaRPr lang="es-ES" sz="900" kern="1200">
            <a:latin typeface="Times New Roman" pitchFamily="18" charset="0"/>
            <a:cs typeface="Times New Roman" pitchFamily="18" charset="0"/>
          </a:endParaRPr>
        </a:p>
      </dsp:txBody>
      <dsp:txXfrm>
        <a:off x="1918463" y="1122530"/>
        <a:ext cx="789542" cy="394771"/>
      </dsp:txXfrm>
    </dsp:sp>
    <dsp:sp modelId="{ED7A7B36-FA7A-458B-85FE-3F278E0608B4}">
      <dsp:nvSpPr>
        <dsp:cNvPr id="0" name=""/>
        <dsp:cNvSpPr/>
      </dsp:nvSpPr>
      <dsp:spPr>
        <a:xfrm>
          <a:off x="963117" y="1683105"/>
          <a:ext cx="789542" cy="39477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lt-LT" sz="900" kern="1200">
              <a:latin typeface="Times New Roman" pitchFamily="18" charset="0"/>
              <a:cs typeface="Times New Roman" pitchFamily="18" charset="0"/>
            </a:rPr>
            <a:t>Verslo skatinimo fondas</a:t>
          </a:r>
          <a:endParaRPr lang="es-ES" sz="900" kern="1200">
            <a:latin typeface="Times New Roman" pitchFamily="18" charset="0"/>
            <a:cs typeface="Times New Roman" pitchFamily="18" charset="0"/>
          </a:endParaRPr>
        </a:p>
      </dsp:txBody>
      <dsp:txXfrm>
        <a:off x="963117" y="1683105"/>
        <a:ext cx="789542" cy="394771"/>
      </dsp:txXfrm>
    </dsp:sp>
    <dsp:sp modelId="{E65D1114-7BA3-4A78-8EBC-BE81B59303E6}">
      <dsp:nvSpPr>
        <dsp:cNvPr id="0" name=""/>
        <dsp:cNvSpPr/>
      </dsp:nvSpPr>
      <dsp:spPr>
        <a:xfrm>
          <a:off x="1918463" y="1683105"/>
          <a:ext cx="789542" cy="39477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lt-LT" sz="900" kern="1200">
              <a:latin typeface="Times New Roman" pitchFamily="18" charset="0"/>
              <a:cs typeface="Times New Roman" pitchFamily="18" charset="0"/>
            </a:rPr>
            <a:t>Palūkanų kompensavimas</a:t>
          </a:r>
          <a:endParaRPr lang="es-ES" sz="900" kern="1200">
            <a:latin typeface="Times New Roman" pitchFamily="18" charset="0"/>
            <a:cs typeface="Times New Roman" pitchFamily="18" charset="0"/>
          </a:endParaRPr>
        </a:p>
      </dsp:txBody>
      <dsp:txXfrm>
        <a:off x="1918463" y="1683105"/>
        <a:ext cx="789542" cy="394771"/>
      </dsp:txXfrm>
    </dsp:sp>
    <dsp:sp modelId="{4DED249D-FF79-416B-A20C-46124C47BBF7}">
      <dsp:nvSpPr>
        <dsp:cNvPr id="0" name=""/>
        <dsp:cNvSpPr/>
      </dsp:nvSpPr>
      <dsp:spPr>
        <a:xfrm>
          <a:off x="963117" y="2243680"/>
          <a:ext cx="789542" cy="39477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lt-LT" sz="900" kern="1200">
              <a:latin typeface="Times New Roman" pitchFamily="18" charset="0"/>
              <a:cs typeface="Times New Roman" pitchFamily="18" charset="0"/>
            </a:rPr>
            <a:t>Subsidijos</a:t>
          </a:r>
          <a:endParaRPr lang="es-ES" sz="900" kern="1200">
            <a:latin typeface="Times New Roman" pitchFamily="18" charset="0"/>
            <a:cs typeface="Times New Roman" pitchFamily="18" charset="0"/>
          </a:endParaRPr>
        </a:p>
      </dsp:txBody>
      <dsp:txXfrm>
        <a:off x="963117" y="2243680"/>
        <a:ext cx="789542" cy="394771"/>
      </dsp:txXfrm>
    </dsp:sp>
    <dsp:sp modelId="{C0C7305C-ADF9-46FC-9160-3730285C7658}">
      <dsp:nvSpPr>
        <dsp:cNvPr id="0" name=""/>
        <dsp:cNvSpPr/>
      </dsp:nvSpPr>
      <dsp:spPr>
        <a:xfrm>
          <a:off x="1918463" y="2243680"/>
          <a:ext cx="789542" cy="39477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lt-LT" sz="900" kern="1200">
              <a:latin typeface="Times New Roman" pitchFamily="18" charset="0"/>
              <a:cs typeface="Times New Roman" pitchFamily="18" charset="0"/>
            </a:rPr>
            <a:t>Komerciniai bankai, </a:t>
          </a:r>
          <a:br>
            <a:rPr lang="lt-LT" sz="900" kern="1200">
              <a:latin typeface="Times New Roman" pitchFamily="18" charset="0"/>
              <a:cs typeface="Times New Roman" pitchFamily="18" charset="0"/>
            </a:rPr>
          </a:br>
          <a:r>
            <a:rPr lang="lt-LT" sz="900" kern="1200">
              <a:latin typeface="Times New Roman" pitchFamily="18" charset="0"/>
              <a:cs typeface="Times New Roman" pitchFamily="18" charset="0"/>
            </a:rPr>
            <a:t>Kredito unijos</a:t>
          </a:r>
          <a:endParaRPr lang="es-ES" sz="900" kern="1200">
            <a:latin typeface="Times New Roman" pitchFamily="18" charset="0"/>
            <a:cs typeface="Times New Roman" pitchFamily="18" charset="0"/>
          </a:endParaRPr>
        </a:p>
      </dsp:txBody>
      <dsp:txXfrm>
        <a:off x="1918463" y="2243680"/>
        <a:ext cx="789542" cy="394771"/>
      </dsp:txXfrm>
    </dsp:sp>
    <dsp:sp modelId="{E7C3600F-DA99-4913-B85A-0FA67187AD74}">
      <dsp:nvSpPr>
        <dsp:cNvPr id="0" name=""/>
        <dsp:cNvSpPr/>
      </dsp:nvSpPr>
      <dsp:spPr>
        <a:xfrm>
          <a:off x="3351482" y="561956"/>
          <a:ext cx="789542" cy="39477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lt-LT" sz="900" kern="1200">
              <a:latin typeface="Times New Roman" pitchFamily="18" charset="0"/>
              <a:cs typeface="Times New Roman" pitchFamily="18" charset="0"/>
            </a:rPr>
            <a:t>Nefinansiniai</a:t>
          </a:r>
          <a:endParaRPr lang="es-ES" sz="900" kern="1200">
            <a:latin typeface="Times New Roman" pitchFamily="18" charset="0"/>
            <a:cs typeface="Times New Roman" pitchFamily="18" charset="0"/>
          </a:endParaRPr>
        </a:p>
      </dsp:txBody>
      <dsp:txXfrm>
        <a:off x="3351482" y="561956"/>
        <a:ext cx="789542" cy="394771"/>
      </dsp:txXfrm>
    </dsp:sp>
    <dsp:sp modelId="{6D798290-26A4-4B21-9D61-4E23DA4A182A}">
      <dsp:nvSpPr>
        <dsp:cNvPr id="0" name=""/>
        <dsp:cNvSpPr/>
      </dsp:nvSpPr>
      <dsp:spPr>
        <a:xfrm>
          <a:off x="2873809" y="1122530"/>
          <a:ext cx="789542" cy="39477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lt-LT" sz="900" kern="1200">
              <a:latin typeface="Times New Roman" pitchFamily="18" charset="0"/>
              <a:cs typeface="Times New Roman" pitchFamily="18" charset="0"/>
            </a:rPr>
            <a:t>Verslo garantijos</a:t>
          </a:r>
          <a:endParaRPr lang="es-ES" sz="900" kern="1200">
            <a:latin typeface="Times New Roman" pitchFamily="18" charset="0"/>
            <a:cs typeface="Times New Roman" pitchFamily="18" charset="0"/>
          </a:endParaRPr>
        </a:p>
      </dsp:txBody>
      <dsp:txXfrm>
        <a:off x="2873809" y="1122530"/>
        <a:ext cx="789542" cy="394771"/>
      </dsp:txXfrm>
    </dsp:sp>
    <dsp:sp modelId="{F2964D47-4733-4048-AEDD-49D08F1C61D7}">
      <dsp:nvSpPr>
        <dsp:cNvPr id="0" name=""/>
        <dsp:cNvSpPr/>
      </dsp:nvSpPr>
      <dsp:spPr>
        <a:xfrm>
          <a:off x="3829155" y="1122530"/>
          <a:ext cx="789542" cy="39477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lt-LT" sz="900" kern="1200">
              <a:latin typeface="Times New Roman" pitchFamily="18" charset="0"/>
              <a:cs typeface="Times New Roman" pitchFamily="18" charset="0"/>
            </a:rPr>
            <a:t>Konsultacijos</a:t>
          </a:r>
          <a:endParaRPr lang="es-ES" sz="900" kern="1200">
            <a:latin typeface="Times New Roman" pitchFamily="18" charset="0"/>
            <a:cs typeface="Times New Roman" pitchFamily="18" charset="0"/>
          </a:endParaRPr>
        </a:p>
      </dsp:txBody>
      <dsp:txXfrm>
        <a:off x="3829155" y="1122530"/>
        <a:ext cx="789542" cy="394771"/>
      </dsp:txXfrm>
    </dsp:sp>
    <dsp:sp modelId="{C3AF2149-CACC-4B70-9948-C3577B96E4E9}">
      <dsp:nvSpPr>
        <dsp:cNvPr id="0" name=""/>
        <dsp:cNvSpPr/>
      </dsp:nvSpPr>
      <dsp:spPr>
        <a:xfrm>
          <a:off x="2873809" y="1683105"/>
          <a:ext cx="789542" cy="39477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lt-LT" sz="900" kern="1200">
              <a:latin typeface="Times New Roman" pitchFamily="18" charset="0"/>
              <a:cs typeface="Times New Roman" pitchFamily="18" charset="0"/>
            </a:rPr>
            <a:t>Kvalifikacijos kėlimas</a:t>
          </a:r>
          <a:endParaRPr lang="es-ES" sz="900" kern="1200">
            <a:latin typeface="Times New Roman" pitchFamily="18" charset="0"/>
            <a:cs typeface="Times New Roman" pitchFamily="18" charset="0"/>
          </a:endParaRPr>
        </a:p>
      </dsp:txBody>
      <dsp:txXfrm>
        <a:off x="2873809" y="1683105"/>
        <a:ext cx="789542" cy="39477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0.0591</cdr:x>
      <cdr:y>0.87329</cdr:y>
    </cdr:from>
    <cdr:to>
      <cdr:x>0.98584</cdr:x>
      <cdr:y>0.97756</cdr:y>
    </cdr:to>
    <cdr:sp macro="" textlink="">
      <cdr:nvSpPr>
        <cdr:cNvPr id="2" name="TextBox 1"/>
        <cdr:cNvSpPr txBox="1"/>
      </cdr:nvSpPr>
      <cdr:spPr>
        <a:xfrm xmlns:a="http://schemas.openxmlformats.org/drawingml/2006/main">
          <a:off x="310559" y="2137144"/>
          <a:ext cx="4869712" cy="25518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lt-LT" sz="1200" b="1">
              <a:latin typeface="Times New Roman" pitchFamily="18" charset="0"/>
              <a:cs typeface="Times New Roman" pitchFamily="18" charset="0"/>
            </a:rPr>
            <a:t>3 pav. Apklaustų įmonių pasiskirstymas pramonės šakose</a:t>
          </a:r>
          <a:endParaRPr lang="es-ES" sz="1200" b="1">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0.0242</cdr:x>
      <cdr:y>0.84942</cdr:y>
    </cdr:from>
    <cdr:to>
      <cdr:x>0.95682</cdr:x>
      <cdr:y>0.95753</cdr:y>
    </cdr:to>
    <cdr:sp macro="" textlink="">
      <cdr:nvSpPr>
        <cdr:cNvPr id="2" name="TextBox 1"/>
        <cdr:cNvSpPr txBox="1"/>
      </cdr:nvSpPr>
      <cdr:spPr>
        <a:xfrm xmlns:a="http://schemas.openxmlformats.org/drawingml/2006/main">
          <a:off x="119173" y="2339163"/>
          <a:ext cx="4593265" cy="29771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lt-LT" sz="1200" b="1" baseline="0">
              <a:latin typeface="Times New Roman" pitchFamily="18" charset="0"/>
              <a:cs typeface="Times New Roman" pitchFamily="18" charset="0"/>
            </a:rPr>
            <a:t>4 pav. Įmonių veikimo trukmė iki paraiškos pateikimo</a:t>
          </a:r>
          <a:endParaRPr lang="es-ES" sz="1200" b="1" baseline="0">
            <a:latin typeface="Times New Roman" pitchFamily="18" charset="0"/>
            <a:cs typeface="Times New Roman"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0.04587</cdr:x>
      <cdr:y>0.85242</cdr:y>
    </cdr:from>
    <cdr:to>
      <cdr:x>0.96283</cdr:x>
      <cdr:y>1</cdr:y>
    </cdr:to>
    <cdr:sp macro="" textlink="">
      <cdr:nvSpPr>
        <cdr:cNvPr id="2" name="TextBox 1"/>
        <cdr:cNvSpPr txBox="1"/>
      </cdr:nvSpPr>
      <cdr:spPr>
        <a:xfrm xmlns:a="http://schemas.openxmlformats.org/drawingml/2006/main">
          <a:off x="236131" y="2349796"/>
          <a:ext cx="4720856" cy="4064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ES" sz="1100"/>
        </a:p>
      </cdr:txBody>
    </cdr:sp>
  </cdr:relSizeAnchor>
  <cdr:relSizeAnchor xmlns:cdr="http://schemas.openxmlformats.org/drawingml/2006/chartDrawing">
    <cdr:from>
      <cdr:x>1.90259E-7</cdr:x>
      <cdr:y>0.85628</cdr:y>
    </cdr:from>
    <cdr:to>
      <cdr:x>0.99993</cdr:x>
      <cdr:y>0.99859</cdr:y>
    </cdr:to>
    <cdr:sp macro="" textlink="">
      <cdr:nvSpPr>
        <cdr:cNvPr id="3" name="TextBox 2"/>
        <cdr:cNvSpPr txBox="1"/>
      </cdr:nvSpPr>
      <cdr:spPr>
        <a:xfrm xmlns:a="http://schemas.openxmlformats.org/drawingml/2006/main">
          <a:off x="1" y="2308179"/>
          <a:ext cx="5255643" cy="38360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lt-LT" sz="1200" b="1">
              <a:latin typeface="Times New Roman" pitchFamily="18" charset="0"/>
              <a:cs typeface="Times New Roman" pitchFamily="18" charset="0"/>
            </a:rPr>
            <a:t>5 pav. Verslininkų informacijos šaltiniai apie ES finansinės paramos teikimą</a:t>
          </a:r>
        </a:p>
      </cdr:txBody>
    </cdr:sp>
  </cdr:relSizeAnchor>
</c:userShapes>
</file>

<file path=word/drawings/drawing4.xml><?xml version="1.0" encoding="utf-8"?>
<c:userShapes xmlns:c="http://schemas.openxmlformats.org/drawingml/2006/chart">
  <cdr:relSizeAnchor xmlns:cdr="http://schemas.openxmlformats.org/drawingml/2006/chartDrawing">
    <cdr:from>
      <cdr:x>0.01709</cdr:x>
      <cdr:y>0.8854</cdr:y>
    </cdr:from>
    <cdr:to>
      <cdr:x>0.9751</cdr:x>
      <cdr:y>1</cdr:y>
    </cdr:to>
    <cdr:sp macro="" textlink="">
      <cdr:nvSpPr>
        <cdr:cNvPr id="2" name="TextBox 1"/>
        <cdr:cNvSpPr txBox="1"/>
      </cdr:nvSpPr>
      <cdr:spPr>
        <a:xfrm xmlns:a="http://schemas.openxmlformats.org/drawingml/2006/main">
          <a:off x="87275" y="2222205"/>
          <a:ext cx="4890977" cy="28707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lt-LT" sz="1200" b="1">
              <a:latin typeface="Times New Roman" pitchFamily="18" charset="0"/>
              <a:cs typeface="Times New Roman" pitchFamily="18" charset="0"/>
            </a:rPr>
            <a:t>6 pav. Gautų ES finansinės</a:t>
          </a:r>
          <a:r>
            <a:rPr lang="lt-LT" sz="1200" b="1" baseline="0">
              <a:latin typeface="Times New Roman" pitchFamily="18" charset="0"/>
              <a:cs typeface="Times New Roman" pitchFamily="18" charset="0"/>
            </a:rPr>
            <a:t> paramos lėšų panaudojimas</a:t>
          </a:r>
          <a:endParaRPr lang="es-ES" sz="1200" b="1">
            <a:latin typeface="Times New Roman" pitchFamily="18" charset="0"/>
            <a:cs typeface="Times New Roman" pitchFamily="18"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0.05276</cdr:x>
      <cdr:y>0.84239</cdr:y>
    </cdr:from>
    <cdr:to>
      <cdr:x>0.9594</cdr:x>
      <cdr:y>1</cdr:y>
    </cdr:to>
    <cdr:sp macro="" textlink="">
      <cdr:nvSpPr>
        <cdr:cNvPr id="2" name="TextBox 1"/>
        <cdr:cNvSpPr txBox="1"/>
      </cdr:nvSpPr>
      <cdr:spPr>
        <a:xfrm xmlns:a="http://schemas.openxmlformats.org/drawingml/2006/main">
          <a:off x="293080" y="1737606"/>
          <a:ext cx="5036047" cy="32510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lt-LT" sz="1400" b="1">
              <a:latin typeface="Times New Roman" pitchFamily="18" charset="0"/>
              <a:ea typeface="+mn-ea"/>
              <a:cs typeface="Times New Roman" pitchFamily="18" charset="0"/>
            </a:rPr>
            <a:t>7 pav. Investicijų į verslą finansavimo šaltiniai</a:t>
          </a:r>
          <a:endParaRPr lang="es-ES" sz="1400">
            <a:latin typeface="Times New Roman" pitchFamily="18" charset="0"/>
            <a:ea typeface="+mn-ea"/>
            <a:cs typeface="Times New Roman" pitchFamily="18"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0.01449</cdr:x>
      <cdr:y>0.86831</cdr:y>
    </cdr:from>
    <cdr:to>
      <cdr:x>0.97826</cdr:x>
      <cdr:y>0.99177</cdr:y>
    </cdr:to>
    <cdr:sp macro="" textlink="">
      <cdr:nvSpPr>
        <cdr:cNvPr id="2" name="TextBox 1"/>
        <cdr:cNvSpPr txBox="1"/>
      </cdr:nvSpPr>
      <cdr:spPr>
        <a:xfrm xmlns:a="http://schemas.openxmlformats.org/drawingml/2006/main">
          <a:off x="76200" y="2009775"/>
          <a:ext cx="5067300" cy="2857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lt-LT" sz="1400" b="1">
              <a:latin typeface="Times New Roman" pitchFamily="18" charset="0"/>
              <a:cs typeface="Times New Roman" pitchFamily="18" charset="0"/>
            </a:rPr>
            <a:t>8 pav. Didžiausia</a:t>
          </a:r>
          <a:r>
            <a:rPr lang="lt-LT" sz="1400" b="1" baseline="0">
              <a:latin typeface="Times New Roman" pitchFamily="18" charset="0"/>
              <a:cs typeface="Times New Roman" pitchFamily="18" charset="0"/>
            </a:rPr>
            <a:t> ir mažiausia nauda po projekto įgyvendinimo</a:t>
          </a:r>
          <a:endParaRPr lang="es-ES" sz="1400" b="1">
            <a:latin typeface="Times New Roman" pitchFamily="18" charset="0"/>
            <a:cs typeface="Times New Roman" pitchFamily="18"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0.02314</cdr:x>
      <cdr:y>0.88095</cdr:y>
    </cdr:from>
    <cdr:to>
      <cdr:x>0.96481</cdr:x>
      <cdr:y>1</cdr:y>
    </cdr:to>
    <cdr:sp macro="" textlink="">
      <cdr:nvSpPr>
        <cdr:cNvPr id="2" name="TextBox 1"/>
        <cdr:cNvSpPr txBox="1"/>
      </cdr:nvSpPr>
      <cdr:spPr>
        <a:xfrm xmlns:a="http://schemas.openxmlformats.org/drawingml/2006/main">
          <a:off x="135783" y="1967024"/>
          <a:ext cx="5525168" cy="2658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lt-LT" sz="1200" b="1">
              <a:latin typeface="Times New Roman" pitchFamily="18" charset="0"/>
              <a:cs typeface="Times New Roman" pitchFamily="18" charset="0"/>
            </a:rPr>
            <a:t>9 pav.</a:t>
          </a:r>
          <a:r>
            <a:rPr lang="lt-LT" sz="1200" b="1" baseline="0">
              <a:latin typeface="Times New Roman" pitchFamily="18" charset="0"/>
              <a:cs typeface="Times New Roman" pitchFamily="18" charset="0"/>
            </a:rPr>
            <a:t> Po ES lėšų įsisavinimo labiausiai pakitę rodikliai</a:t>
          </a:r>
          <a:endParaRPr lang="es-ES" sz="1200" b="1">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47E68A-979F-48FF-958C-6B95BFA27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59</Pages>
  <Words>20112</Words>
  <Characters>114644</Characters>
  <Application>Microsoft Office Word</Application>
  <DocSecurity>0</DocSecurity>
  <Lines>955</Lines>
  <Paragraphs>268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Evelina P.</cp:lastModifiedBy>
  <cp:revision>4</cp:revision>
  <cp:lastPrinted>2015-05-17T21:28:00Z</cp:lastPrinted>
  <dcterms:created xsi:type="dcterms:W3CDTF">2015-06-25T17:50:00Z</dcterms:created>
  <dcterms:modified xsi:type="dcterms:W3CDTF">2015-06-25T19:50:00Z</dcterms:modified>
</cp:coreProperties>
</file>