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4C" w:rsidRPr="00A8704C" w:rsidRDefault="00A8704C" w:rsidP="00A8704C">
      <w:pPr>
        <w:jc w:val="both"/>
        <w:rPr>
          <w:b/>
          <w:bCs/>
          <w:lang w:eastAsia="lt-LT"/>
        </w:rPr>
      </w:pPr>
      <w:r w:rsidRPr="00A8704C">
        <w:rPr>
          <w:b/>
          <w:bCs/>
          <w:lang w:eastAsia="lt-LT"/>
        </w:rPr>
        <w:t xml:space="preserve">Laura </w:t>
      </w:r>
      <w:proofErr w:type="spellStart"/>
      <w:r w:rsidRPr="00A8704C">
        <w:rPr>
          <w:b/>
          <w:bCs/>
          <w:lang w:eastAsia="lt-LT"/>
        </w:rPr>
        <w:t>Čerepan</w:t>
      </w:r>
      <w:proofErr w:type="spellEnd"/>
      <w:r w:rsidRPr="00A8704C">
        <w:rPr>
          <w:b/>
          <w:bCs/>
          <w:lang w:eastAsia="lt-LT"/>
        </w:rPr>
        <w:t xml:space="preserve">. </w:t>
      </w:r>
    </w:p>
    <w:p w:rsidR="00A8704C" w:rsidRPr="00A8704C" w:rsidRDefault="00A8704C" w:rsidP="00A8704C">
      <w:pPr>
        <w:jc w:val="both"/>
        <w:rPr>
          <w:b/>
          <w:bCs/>
          <w:i/>
          <w:iCs/>
        </w:rPr>
      </w:pPr>
      <w:r w:rsidRPr="00A8704C">
        <w:rPr>
          <w:b/>
          <w:bCs/>
          <w:i/>
          <w:iCs/>
        </w:rPr>
        <w:t>Europos Sąjungos struktūrinės paramos panaudojimo efektyvumo vertinimas.</w:t>
      </w:r>
    </w:p>
    <w:p w:rsidR="00A8704C" w:rsidRPr="00A8704C" w:rsidRDefault="00A8704C" w:rsidP="00A8704C">
      <w:pPr>
        <w:jc w:val="both"/>
        <w:rPr>
          <w:b/>
          <w:bCs/>
        </w:rPr>
      </w:pPr>
      <w:r>
        <w:rPr>
          <w:b/>
          <w:bCs/>
        </w:rPr>
        <w:t>Darbo vadovė P</w:t>
      </w:r>
      <w:r w:rsidRPr="00A8704C">
        <w:rPr>
          <w:b/>
          <w:bCs/>
        </w:rPr>
        <w:t>rof. dr. Asta Vasiliauskaitė</w:t>
      </w:r>
      <w:r>
        <w:rPr>
          <w:b/>
          <w:bCs/>
        </w:rPr>
        <w:t>.</w:t>
      </w:r>
    </w:p>
    <w:p w:rsidR="00A8704C" w:rsidRPr="00A8704C" w:rsidRDefault="00A8704C" w:rsidP="00A8704C">
      <w:pPr>
        <w:jc w:val="both"/>
        <w:rPr>
          <w:b/>
          <w:bCs/>
        </w:rPr>
      </w:pPr>
      <w:r w:rsidRPr="00A8704C">
        <w:rPr>
          <w:b/>
          <w:bCs/>
        </w:rPr>
        <w:t>Kauno technologijos universitetas, ekonomikos ir verslo fakultetas, finansų katedra.</w:t>
      </w:r>
    </w:p>
    <w:p w:rsidR="00A8704C" w:rsidRPr="00A8704C" w:rsidRDefault="00A8704C" w:rsidP="00A8704C">
      <w:pPr>
        <w:jc w:val="both"/>
        <w:rPr>
          <w:b/>
          <w:bCs/>
        </w:rPr>
      </w:pPr>
      <w:r w:rsidRPr="00A8704C">
        <w:rPr>
          <w:b/>
          <w:bCs/>
        </w:rPr>
        <w:t>Kaunas, 2015</w:t>
      </w:r>
      <w:r>
        <w:rPr>
          <w:b/>
          <w:bCs/>
        </w:rPr>
        <w:t>.</w:t>
      </w:r>
    </w:p>
    <w:p w:rsidR="00A8704C" w:rsidRDefault="00A8704C" w:rsidP="00AF328C">
      <w:pPr>
        <w:spacing w:line="360" w:lineRule="auto"/>
        <w:ind w:firstLine="720"/>
        <w:jc w:val="both"/>
        <w:rPr>
          <w:lang w:eastAsia="lt-LT"/>
        </w:rPr>
      </w:pPr>
    </w:p>
    <w:p w:rsidR="00A8704C" w:rsidRPr="00F22BE9" w:rsidRDefault="00A8704C" w:rsidP="00F22BE9">
      <w:pPr>
        <w:spacing w:line="360" w:lineRule="auto"/>
        <w:ind w:firstLine="720"/>
        <w:jc w:val="center"/>
        <w:rPr>
          <w:b/>
          <w:bCs/>
          <w:lang w:eastAsia="lt-LT"/>
        </w:rPr>
      </w:pPr>
      <w:r w:rsidRPr="00F22BE9">
        <w:rPr>
          <w:b/>
          <w:bCs/>
          <w:lang w:eastAsia="lt-LT"/>
        </w:rPr>
        <w:t>SANTRAUKA</w:t>
      </w:r>
    </w:p>
    <w:p w:rsidR="00D578A8" w:rsidRPr="00F22BE9" w:rsidRDefault="00D578A8" w:rsidP="00F22BE9">
      <w:pPr>
        <w:spacing w:line="360" w:lineRule="auto"/>
        <w:ind w:firstLine="720"/>
        <w:jc w:val="both"/>
        <w:rPr>
          <w:b/>
          <w:bCs/>
          <w:lang w:eastAsia="lt-LT"/>
        </w:rPr>
      </w:pPr>
    </w:p>
    <w:p w:rsidR="00C66CB8" w:rsidRPr="00F22BE9" w:rsidRDefault="00A8704C" w:rsidP="00F22BE9">
      <w:pPr>
        <w:spacing w:line="360" w:lineRule="auto"/>
        <w:ind w:firstLine="720"/>
        <w:jc w:val="both"/>
      </w:pPr>
      <w:r w:rsidRPr="00F22BE9">
        <w:rPr>
          <w:b/>
          <w:bCs/>
          <w:lang w:eastAsia="lt-LT"/>
        </w:rPr>
        <w:t>Darbo problema</w:t>
      </w:r>
      <w:r w:rsidRPr="00F22BE9">
        <w:rPr>
          <w:lang w:eastAsia="lt-LT"/>
        </w:rPr>
        <w:t xml:space="preserve">. </w:t>
      </w:r>
      <w:r w:rsidR="00C66CB8" w:rsidRPr="00F22BE9">
        <w:rPr>
          <w:lang w:eastAsia="lt-LT"/>
        </w:rPr>
        <w:t xml:space="preserve">Siekiant paspartinti Lietuvos ekonominę ir socialinę raidą, bei sumažinti ekonominio išsivystymo skirtumus nuo kitų Europos Sąjungos valstybių, Lietuvai yra teikiama ES struktūrinių fondų parama. ES Struktūrinės paramos panaudojimo efektyvumo tema Lietuvoje yra itin aktuali, nes efektyviai panaudojant teikiamą paramą galima pagerinti šalies gyvenamąją bei verslo aplinkas. </w:t>
      </w:r>
      <w:r w:rsidRPr="00F22BE9">
        <w:t>Vis tik, nepaisant solidžių tikslų</w:t>
      </w:r>
      <w:r w:rsidR="00A56012" w:rsidRPr="00F22BE9">
        <w:t>,</w:t>
      </w:r>
      <w:r w:rsidRPr="00F22BE9">
        <w:t xml:space="preserve"> paskutiniai tyrimai rodo, kad sparčiai vykstant Lietuvos ekonomikos plėtrai, atskirų šalies regionų socialiniai, ekonominiai ir teritoriniai skirtumai toliau didėja. Nagrinėjant ES paramą šaliai itin daug dėmesio skiriama lėšų įsisavinimo statistikai, diskutuojama ES struktūrinės paramos teikiamos naudos atskiroms šalims klausimais, tačiau vis dar išlieka kompleksinio gaunamos paramos efektyvumo vertinimo problema.</w:t>
      </w:r>
      <w:r w:rsidR="00C66CB8" w:rsidRPr="00F22BE9">
        <w:t xml:space="preserve"> ES struktūrinė parama teikiamai šaliai yra finansinė, todėl tikslinga jos vertinimą sieti su finansiniais aspektais, </w:t>
      </w:r>
      <w:r w:rsidR="008E42F1">
        <w:t xml:space="preserve">o </w:t>
      </w:r>
      <w:r w:rsidR="00C66CB8" w:rsidRPr="00F22BE9">
        <w:t xml:space="preserve">būtent šio aspekto pasigendama esamuose ES struktūrinės paramos vertinimo metoduose.  </w:t>
      </w:r>
    </w:p>
    <w:p w:rsidR="00A8704C" w:rsidRPr="00F22BE9" w:rsidRDefault="00A8704C" w:rsidP="00F22BE9">
      <w:pPr>
        <w:spacing w:line="360" w:lineRule="auto"/>
        <w:ind w:firstLine="720"/>
        <w:jc w:val="both"/>
        <w:rPr>
          <w:lang w:eastAsia="lt-LT"/>
        </w:rPr>
      </w:pPr>
      <w:r w:rsidRPr="00F22BE9">
        <w:rPr>
          <w:b/>
          <w:bCs/>
          <w:lang w:eastAsia="lt-LT"/>
        </w:rPr>
        <w:t>Darbo tikslas</w:t>
      </w:r>
      <w:r w:rsidRPr="00F22BE9">
        <w:rPr>
          <w:lang w:eastAsia="lt-LT"/>
        </w:rPr>
        <w:t xml:space="preserve"> – parengti kompleksą rodiklių Europos Sąjungos struktūrinių fondų paramos panaudojimo efektyvumo vertinimo problemai išspręsti.</w:t>
      </w:r>
    </w:p>
    <w:p w:rsidR="00A8704C" w:rsidRPr="00F22BE9" w:rsidRDefault="00A8704C" w:rsidP="00F22BE9">
      <w:pPr>
        <w:spacing w:line="360" w:lineRule="auto"/>
        <w:ind w:firstLine="720"/>
        <w:jc w:val="both"/>
        <w:rPr>
          <w:lang w:eastAsia="lt-LT"/>
        </w:rPr>
      </w:pPr>
      <w:r w:rsidRPr="00F22BE9">
        <w:rPr>
          <w:b/>
          <w:bCs/>
          <w:lang w:eastAsia="lt-LT"/>
        </w:rPr>
        <w:t>Darbo objektas</w:t>
      </w:r>
      <w:r w:rsidRPr="00F22BE9">
        <w:rPr>
          <w:lang w:eastAsia="lt-LT"/>
        </w:rPr>
        <w:t xml:space="preserve"> – ES Struktūrinių fondų parama Lietuvai.</w:t>
      </w:r>
    </w:p>
    <w:p w:rsidR="00A8704C" w:rsidRPr="00F22BE9" w:rsidRDefault="00A8704C" w:rsidP="00F22BE9">
      <w:pPr>
        <w:spacing w:line="360" w:lineRule="auto"/>
        <w:ind w:firstLine="720"/>
        <w:jc w:val="both"/>
        <w:rPr>
          <w:b/>
          <w:bCs/>
          <w:lang w:eastAsia="lt-LT"/>
        </w:rPr>
      </w:pPr>
      <w:r w:rsidRPr="00F22BE9">
        <w:rPr>
          <w:b/>
          <w:bCs/>
          <w:lang w:eastAsia="lt-LT"/>
        </w:rPr>
        <w:t>Darbo uždaviniai:</w:t>
      </w:r>
    </w:p>
    <w:p w:rsidR="00A8704C" w:rsidRPr="00F22BE9" w:rsidRDefault="00A8704C" w:rsidP="00F22BE9">
      <w:pPr>
        <w:spacing w:line="360" w:lineRule="auto"/>
        <w:ind w:firstLine="720"/>
        <w:jc w:val="both"/>
        <w:rPr>
          <w:lang w:eastAsia="lt-LT"/>
        </w:rPr>
      </w:pPr>
      <w:r w:rsidRPr="00F22BE9">
        <w:rPr>
          <w:lang w:eastAsia="lt-LT"/>
        </w:rPr>
        <w:t>1) pristatyti ES struktūrinius fondus, jų tikslus, uždavinius, veikimo principus ir išanalizuoti teikiamos ES struktūrinės paramos vertinimo metodus;</w:t>
      </w:r>
    </w:p>
    <w:p w:rsidR="00A8704C" w:rsidRPr="00F22BE9" w:rsidRDefault="00A8704C" w:rsidP="00F22BE9">
      <w:pPr>
        <w:spacing w:line="360" w:lineRule="auto"/>
        <w:ind w:firstLine="720"/>
        <w:jc w:val="both"/>
        <w:rPr>
          <w:lang w:eastAsia="lt-LT"/>
        </w:rPr>
      </w:pPr>
      <w:r w:rsidRPr="00F22BE9">
        <w:rPr>
          <w:lang w:eastAsia="lt-LT"/>
        </w:rPr>
        <w:t xml:space="preserve">2) atlikti ES struktūrinės paramos vertinimo galimybių teorinį tyrimą ir parengti kompleksinį paramos panaudojimo efektyvumo vertinimo modelį; </w:t>
      </w:r>
    </w:p>
    <w:p w:rsidR="00A8704C" w:rsidRPr="00F22BE9" w:rsidRDefault="00A8704C" w:rsidP="00F22BE9">
      <w:pPr>
        <w:spacing w:line="360" w:lineRule="auto"/>
        <w:ind w:firstLine="720"/>
        <w:jc w:val="both"/>
        <w:rPr>
          <w:lang w:eastAsia="lt-LT"/>
        </w:rPr>
      </w:pPr>
      <w:r w:rsidRPr="00F22BE9">
        <w:rPr>
          <w:lang w:eastAsia="lt-LT"/>
        </w:rPr>
        <w:t xml:space="preserve">3) atlikti ES struktūrinių fondų panaudojimo analizę ir įvertinti paramos panaudojimo efektyvumą; </w:t>
      </w:r>
    </w:p>
    <w:p w:rsidR="00A8704C" w:rsidRPr="00F22BE9" w:rsidRDefault="00A8704C" w:rsidP="00F22BE9">
      <w:pPr>
        <w:spacing w:line="360" w:lineRule="auto"/>
        <w:ind w:firstLine="720"/>
        <w:jc w:val="both"/>
        <w:rPr>
          <w:lang w:eastAsia="lt-LT"/>
        </w:rPr>
      </w:pPr>
      <w:r w:rsidRPr="00F22BE9">
        <w:rPr>
          <w:lang w:eastAsia="lt-LT"/>
        </w:rPr>
        <w:t xml:space="preserve">4) pateikti pasiūlymus ES lėšų panaudojimo sistemai gerinti. </w:t>
      </w:r>
    </w:p>
    <w:p w:rsidR="00AF328C" w:rsidRPr="00F22BE9" w:rsidRDefault="00AF328C" w:rsidP="00F22BE9">
      <w:pPr>
        <w:spacing w:line="360" w:lineRule="auto"/>
        <w:ind w:firstLine="720"/>
        <w:jc w:val="both"/>
        <w:rPr>
          <w:lang w:eastAsia="lt-LT"/>
        </w:rPr>
      </w:pPr>
      <w:r w:rsidRPr="00F22BE9">
        <w:rPr>
          <w:lang w:eastAsia="lt-LT"/>
        </w:rPr>
        <w:t xml:space="preserve">Pirmoje darbo dalyje apibūdinama regioninės politikos samprata ir poreikis, nagrinėjamos ES regioninės politikos atsiradimo priežastys, įgyvendinimo priemonės, procesai </w:t>
      </w:r>
      <w:r w:rsidRPr="00F22BE9">
        <w:rPr>
          <w:lang w:eastAsia="lt-LT"/>
        </w:rPr>
        <w:lastRenderedPageBreak/>
        <w:t xml:space="preserve">bei principai. </w:t>
      </w:r>
      <w:r w:rsidR="00C91AC2" w:rsidRPr="00F22BE9">
        <w:rPr>
          <w:lang w:eastAsia="lt-LT"/>
        </w:rPr>
        <w:t xml:space="preserve">Šioje darbo dalyje taip pat susipažinta su ES struktūrinių fondų administravimo procesu bei 2004-2006 m. ir 2007-2013 m. finansavimo periodais Lietuvai suteikta ES struktūrine parama. </w:t>
      </w:r>
    </w:p>
    <w:p w:rsidR="001D7163" w:rsidRPr="00F22BE9" w:rsidRDefault="00AF328C" w:rsidP="00F22BE9">
      <w:pPr>
        <w:spacing w:line="360" w:lineRule="auto"/>
        <w:ind w:firstLine="720"/>
        <w:jc w:val="both"/>
        <w:rPr>
          <w:lang w:eastAsia="lt-LT"/>
        </w:rPr>
      </w:pPr>
      <w:r w:rsidRPr="00F22BE9">
        <w:rPr>
          <w:lang w:eastAsia="lt-LT"/>
        </w:rPr>
        <w:t>Antroje darbo dalyje apžvelgiami ES Struktūrinės paramos vertinimo kriterijai, analizuojant įvairių autorių darbus ieškoma tinkamiausio vertinimo metodo ES Struktūrinių fondų paramos panaudojimo efektyvumui įvertinti. Pristatomas subalansuotų rodiklių metodas, atliekama metodo adaptacija siekiant pritaikyti metodą ES Struktūrinių fondų paramai vertinti. Sudaromas vertinimo modelis bei nustatomi rodikliai, kurių pagalba siekiama tinkamai įvertinti ES Struktūrinių fondų paramos panaudojimo efektyvumą Lietuvoje.</w:t>
      </w:r>
      <w:r w:rsidR="00D578A8" w:rsidRPr="00F22BE9">
        <w:rPr>
          <w:lang w:eastAsia="lt-LT"/>
        </w:rPr>
        <w:t xml:space="preserve"> Subalansuotų rodiklių metode vertinimas</w:t>
      </w:r>
      <w:r w:rsidR="00A56012" w:rsidRPr="00F22BE9">
        <w:rPr>
          <w:lang w:eastAsia="lt-LT"/>
        </w:rPr>
        <w:t xml:space="preserve"> siūlomas atlikti</w:t>
      </w:r>
      <w:r w:rsidR="00D578A8" w:rsidRPr="00F22BE9">
        <w:rPr>
          <w:lang w:eastAsia="lt-LT"/>
        </w:rPr>
        <w:t xml:space="preserve"> keturiose perspektyvose: finansinėje, kliento, vidinių procesų ir inovacijų ir mokymosi perspektyvose. Kiekvienoje iš perspektyvų numatyti įvertinti rodikliai susiję su ES struktūriniais fondais. </w:t>
      </w:r>
      <w:r w:rsidR="001D7163" w:rsidRPr="00F22BE9">
        <w:t>ES struktūrinių fondų vertinime labai svarbūs septyni vertinimo kriterijai: tinkamumas, suderinamumas, naudingumas, poveikis, tvarumas, efektyvumas ir rezultatyvumas, todėl kiekvienas iš numatytų apskaičiuoti rodiklių priskirtas konkrečiam vertinimo kriterijui.</w:t>
      </w:r>
      <w:r w:rsidR="001D7163" w:rsidRPr="00F22BE9">
        <w:rPr>
          <w:lang w:eastAsia="lt-LT"/>
        </w:rPr>
        <w:t xml:space="preserve"> </w:t>
      </w:r>
    </w:p>
    <w:p w:rsidR="001D7163" w:rsidRPr="00F22BE9" w:rsidRDefault="00D578A8" w:rsidP="00F22BE9">
      <w:pPr>
        <w:spacing w:line="360" w:lineRule="auto"/>
        <w:ind w:firstLine="720"/>
        <w:jc w:val="both"/>
      </w:pPr>
      <w:r w:rsidRPr="008E42F1">
        <w:t>Finansų perspektyvoje siekiama</w:t>
      </w:r>
      <w:r w:rsidRPr="00F22BE9">
        <w:t xml:space="preserve"> įvertinti pagrindinių finansinių rodiklių reikšmes susijusias su ES Struktūrinių fondų lėšomis skiriamomis valstybei narei. Šios perspektyvos esmė gauti pagrindinius duomenis apie šalies galimybes gauti paramą, įsisavinimo eigą, lėšų sumą skirtą vienam šalies gyventojui, sužinoti kokia dalis skiriama galimybei lėšas įsisavinti iš valstybės narės biudžeto bei įvertinti kokia dalimi paramos lėšos prisideda prie socialinių ir ekonominių skirtumų mažinimo, šalies gerovės didinimo. </w:t>
      </w:r>
      <w:r w:rsidR="00A56012" w:rsidRPr="00F22BE9">
        <w:t xml:space="preserve">Nuspręsta nagrinėti šiuos rodiklius: apyvarta, mokesčius, vieno darbuotojo pelningumą bei skolintų ir nuosavų lėšų santykį. Manoma, kad parinkti finansų perspektyvos rodikliai tinkami </w:t>
      </w:r>
      <w:r w:rsidR="00A56012" w:rsidRPr="008E42F1">
        <w:t>e</w:t>
      </w:r>
      <w:r w:rsidR="001D7163" w:rsidRPr="008E42F1">
        <w:t>fektyvumo kriterijui įvertinti</w:t>
      </w:r>
      <w:r w:rsidR="00A56012" w:rsidRPr="00F22BE9">
        <w:t>.</w:t>
      </w:r>
    </w:p>
    <w:p w:rsidR="00D578A8" w:rsidRPr="00F22BE9" w:rsidRDefault="00D578A8" w:rsidP="00F22BE9">
      <w:pPr>
        <w:spacing w:line="360" w:lineRule="auto"/>
        <w:ind w:firstLine="720"/>
        <w:jc w:val="both"/>
      </w:pPr>
      <w:r w:rsidRPr="008E42F1">
        <w:t xml:space="preserve">Klientų perspektyvoje siekiama įvertinti šalies susidomėjimą ES Struktūrinių fondų skiriamomis lėšomis. Susidomėjimas matuojamos gautomis paraiškomis, jų kokybe, pareiškėjų norų ir pasiryžimu gauti ir įsisavinti paramą. </w:t>
      </w:r>
      <w:r w:rsidR="001D7163" w:rsidRPr="008E42F1">
        <w:t>Klientų perspektyvos rodikliai apima net tris vertinimo kriterijus – efektyvumą, rezultatyvumą ir naudingumą. Kalbant apie rezultatyvumo kriterijų labai svarbūs ES Struktūrinių fondų paramos klientai, t.y užregistruotos paraiškos. Nefinansuojamų paraiškų skaičius vertina naudingumo kriterijų. Efektyvumo kriterijui vertinti parinkti rodikliai yra vidutinė vieno kliento apyvarta ir vidutinės vieno kliento aptarnavimo išlaidos.</w:t>
      </w:r>
    </w:p>
    <w:p w:rsidR="001D7163" w:rsidRPr="00F22BE9" w:rsidRDefault="00D578A8" w:rsidP="00F22BE9">
      <w:pPr>
        <w:spacing w:line="360" w:lineRule="auto"/>
        <w:ind w:firstLine="720"/>
        <w:jc w:val="both"/>
      </w:pPr>
      <w:r w:rsidRPr="008E42F1">
        <w:lastRenderedPageBreak/>
        <w:t>Vidinių procesų perspektyvoje</w:t>
      </w:r>
      <w:r w:rsidRPr="00F22BE9">
        <w:t xml:space="preserve"> įvertinamas įgyvendinimo tempas, paraiškų pasidalijimas tarp prioritetų ir veiksmų programų, pareiškėjų susidomėjimas tam tikromis priemonėmis, noras jas įsisavinti. Analizuojant vidinių procesų perspektyvos duomenis galima pamatyti, kokios programos sulaukė daugiausiai dėmesio, kokiomis apimtimis ir kuriuose regionuose. Europos Komisija kartu su valstybės narės vyriausybe tvirtindamos finansavimo planą šaliai narei dažnai numato tikslinius re</w:t>
      </w:r>
      <w:r w:rsidR="00F22BE9" w:rsidRPr="00F22BE9">
        <w:t xml:space="preserve">gionus, kuriuose skatinamas iš anksto numatytų </w:t>
      </w:r>
      <w:r w:rsidRPr="00F22BE9">
        <w:t xml:space="preserve">programų įgyvendinimas. </w:t>
      </w:r>
      <w:r w:rsidR="001D7163" w:rsidRPr="00F22BE9">
        <w:t xml:space="preserve">Vidinių procesų perspektyvos rodikliai skirti ES Struktūrinių fondų </w:t>
      </w:r>
      <w:r w:rsidR="001D7163" w:rsidRPr="008E42F1">
        <w:t>paramos rezultatyvumo vertinimui. Vidinių proc</w:t>
      </w:r>
      <w:r w:rsidR="001D7163" w:rsidRPr="00F22BE9">
        <w:t>esų perspektyvoje nagrinėjami šie rodikliai: vidutinis atsakymo į klientų paklausimą laikas bei produktų deficitas.</w:t>
      </w:r>
    </w:p>
    <w:p w:rsidR="001D7163" w:rsidRPr="00F22BE9" w:rsidRDefault="00D578A8" w:rsidP="00F22BE9">
      <w:pPr>
        <w:spacing w:line="360" w:lineRule="auto"/>
        <w:ind w:firstLine="720"/>
        <w:jc w:val="both"/>
      </w:pPr>
      <w:r w:rsidRPr="008E42F1">
        <w:t>Inovacijų ir mokymosi perspektyvoje</w:t>
      </w:r>
      <w:r w:rsidRPr="00F22BE9">
        <w:t xml:space="preserve"> siekiama įvertinti sudarytas sąlygas inovacijoms ir mokymuisi. Šioje perspektyvoje labai svarbu įvertinti šalies narės gyventojų norą mokytis ir kurti. Inovacijų ir mokymosi perspektyvoje įvertinami sukurti inovatyvūs produktai, autentiškai leidiniai, sudarytos mokymosi sąlygos ir suteikti mokymai.</w:t>
      </w:r>
      <w:r w:rsidR="001D7163" w:rsidRPr="00F22BE9">
        <w:t xml:space="preserve"> Inovacijų ir mokymosi perspektyvos rodikliai skirti ES Struktūrinių fondų paramos </w:t>
      </w:r>
      <w:r w:rsidR="001D7163" w:rsidRPr="008E42F1">
        <w:t>naudingumui vertinimui.</w:t>
      </w:r>
      <w:r w:rsidR="001D7163" w:rsidRPr="00F22BE9">
        <w:rPr>
          <w:b/>
          <w:bCs/>
        </w:rPr>
        <w:t xml:space="preserve"> </w:t>
      </w:r>
    </w:p>
    <w:p w:rsidR="00156115" w:rsidRDefault="00AF328C" w:rsidP="00F22BE9">
      <w:pPr>
        <w:spacing w:line="360" w:lineRule="auto"/>
        <w:ind w:firstLine="720"/>
        <w:jc w:val="both"/>
        <w:rPr>
          <w:color w:val="000000" w:themeColor="text1"/>
        </w:rPr>
      </w:pPr>
      <w:r w:rsidRPr="00F22BE9">
        <w:rPr>
          <w:lang w:eastAsia="lt-LT"/>
        </w:rPr>
        <w:t xml:space="preserve">Trečioje darbo dalyje atliekamas modelio pritaikymo praktikoje tyrimas. </w:t>
      </w:r>
      <w:r w:rsidR="001D7163" w:rsidRPr="00F22BE9">
        <w:t>Apibendrina</w:t>
      </w:r>
      <w:r w:rsidR="00F22BE9" w:rsidRPr="00F22BE9">
        <w:t>n</w:t>
      </w:r>
      <w:r w:rsidR="001D7163" w:rsidRPr="00F22BE9">
        <w:t xml:space="preserve">t </w:t>
      </w:r>
      <w:r w:rsidR="00F22BE9" w:rsidRPr="00F22BE9">
        <w:t xml:space="preserve">gautus rezultatus </w:t>
      </w:r>
      <w:r w:rsidR="001D7163" w:rsidRPr="00F22BE9">
        <w:t>galim</w:t>
      </w:r>
      <w:r w:rsidR="00F22BE9" w:rsidRPr="00F22BE9">
        <w:t>a</w:t>
      </w:r>
      <w:r w:rsidR="001D7163" w:rsidRPr="00F22BE9">
        <w:t xml:space="preserve"> teigti, kad 2007-2013 metų ES struktūrinių fondų parama </w:t>
      </w:r>
      <w:r w:rsidR="00FC2D8E">
        <w:t>panaudota pakankamai efektyviai -</w:t>
      </w:r>
      <w:r w:rsidR="001D7163" w:rsidRPr="00F22BE9">
        <w:t xml:space="preserve"> Lietuvos fiziniams ir juridiniams asmenims sudarytos sąlygos pasinaudoti ES struktūrinių fondų parama siekiant ekonominių ir socialinių problemų </w:t>
      </w:r>
      <w:r w:rsidR="00F22BE9" w:rsidRPr="00F22BE9">
        <w:t>mažinimo</w:t>
      </w:r>
      <w:r w:rsidR="001D7163" w:rsidRPr="00F22BE9">
        <w:t>, parama paskirstyta atsižvel</w:t>
      </w:r>
      <w:r w:rsidR="00F22BE9" w:rsidRPr="00F22BE9">
        <w:t xml:space="preserve">giant į esamą situaciją šalyje, </w:t>
      </w:r>
      <w:r w:rsidR="001D7163" w:rsidRPr="00F22BE9">
        <w:t>o administravimo sistema patobulinta palyginti su praėjusiu finansavimo periodu</w:t>
      </w:r>
      <w:r w:rsidR="00156115" w:rsidRPr="00F22BE9">
        <w:t>.</w:t>
      </w:r>
      <w:r w:rsidR="00F22BE9" w:rsidRPr="00F22BE9">
        <w:rPr>
          <w:lang w:eastAsia="lt-LT"/>
        </w:rPr>
        <w:t xml:space="preserve"> </w:t>
      </w:r>
      <w:r w:rsidR="00156115" w:rsidRPr="00F22BE9">
        <w:rPr>
          <w:color w:val="000000" w:themeColor="text1"/>
        </w:rPr>
        <w:t xml:space="preserve">Įsisavintos paramos lėšos panaudotos socialinėms ir ekonominėms problemoms spręsti: didelė dalis lėšų skirta švietimo sistemai, infrastruktūrai bei verslo aplinkai gerinti. </w:t>
      </w:r>
    </w:p>
    <w:p w:rsidR="00FC2D8E" w:rsidRPr="00F22BE9" w:rsidRDefault="00FC2D8E" w:rsidP="00FC2D8E">
      <w:pPr>
        <w:spacing w:line="360" w:lineRule="auto"/>
        <w:ind w:firstLine="720"/>
        <w:jc w:val="both"/>
        <w:rPr>
          <w:lang w:eastAsia="lt-LT"/>
        </w:rPr>
      </w:pPr>
      <w:r w:rsidRPr="00F22BE9">
        <w:rPr>
          <w:lang w:eastAsia="lt-LT"/>
        </w:rPr>
        <w:t xml:space="preserve">Atliktas tyrimas parodė, kad </w:t>
      </w:r>
      <w:r w:rsidR="007D0E93">
        <w:rPr>
          <w:lang w:eastAsia="lt-LT"/>
        </w:rPr>
        <w:t xml:space="preserve">adaptuotas </w:t>
      </w:r>
      <w:r w:rsidRPr="00F22BE9">
        <w:rPr>
          <w:lang w:eastAsia="lt-LT"/>
        </w:rPr>
        <w:t>subalansuotų rodiklių metodas galėtų būti vienas iš taikomų modelių skirtų ES struktūrinių fondų paramos panaudojimo efektyvumui vertinti</w:t>
      </w:r>
      <w:r w:rsidR="007D0E93">
        <w:rPr>
          <w:lang w:eastAsia="lt-LT"/>
        </w:rPr>
        <w:t>. Vis tik tenka pastebėti, kad darbe panaudota</w:t>
      </w:r>
      <w:r>
        <w:rPr>
          <w:lang w:eastAsia="lt-LT"/>
        </w:rPr>
        <w:t xml:space="preserve">s duomenų kiekis </w:t>
      </w:r>
      <w:r w:rsidRPr="00F22BE9">
        <w:rPr>
          <w:lang w:eastAsia="lt-LT"/>
        </w:rPr>
        <w:t xml:space="preserve">nėra pakankamas norint visapusiškai įvertinti ES struktūrinių fondų paramos panaudojimo efektyvumą. </w:t>
      </w:r>
      <w:r>
        <w:rPr>
          <w:lang w:eastAsia="lt-LT"/>
        </w:rPr>
        <w:t xml:space="preserve">Siūloma pagilinti ir praplėsti analizuojamus rodiklius, nagrinėjant ES struktūrinių fondų paramą kaip visumą ir kaip atskiras dalis tarp veiksmų programų ir prioritetų. </w:t>
      </w:r>
    </w:p>
    <w:p w:rsidR="00FC2D8E" w:rsidRPr="00F22BE9" w:rsidRDefault="00FC2D8E" w:rsidP="00F22BE9">
      <w:pPr>
        <w:spacing w:line="360" w:lineRule="auto"/>
        <w:ind w:firstLine="720"/>
        <w:jc w:val="both"/>
        <w:rPr>
          <w:lang w:eastAsia="lt-LT"/>
        </w:rPr>
      </w:pPr>
    </w:p>
    <w:p w:rsidR="00D578A8" w:rsidRPr="00F22BE9" w:rsidRDefault="00D578A8" w:rsidP="00F22BE9">
      <w:pPr>
        <w:spacing w:line="360" w:lineRule="auto"/>
        <w:jc w:val="both"/>
      </w:pPr>
    </w:p>
    <w:p w:rsidR="00D578A8" w:rsidRPr="00F22BE9" w:rsidRDefault="00D578A8" w:rsidP="00F22BE9">
      <w:pPr>
        <w:spacing w:line="360" w:lineRule="auto"/>
        <w:jc w:val="both"/>
      </w:pPr>
    </w:p>
    <w:sectPr w:rsidR="00D578A8" w:rsidRPr="00F22BE9" w:rsidSect="0029722B">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B229E"/>
    <w:multiLevelType w:val="hybridMultilevel"/>
    <w:tmpl w:val="08888D84"/>
    <w:lvl w:ilvl="0" w:tplc="0E88D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rsids>
    <w:rsidRoot w:val="00AF328C"/>
    <w:rsid w:val="00050A11"/>
    <w:rsid w:val="000D3385"/>
    <w:rsid w:val="00156115"/>
    <w:rsid w:val="001D7163"/>
    <w:rsid w:val="00295242"/>
    <w:rsid w:val="0029722B"/>
    <w:rsid w:val="00617C87"/>
    <w:rsid w:val="0077335A"/>
    <w:rsid w:val="007D0E93"/>
    <w:rsid w:val="008214BC"/>
    <w:rsid w:val="008E42F1"/>
    <w:rsid w:val="00A511EA"/>
    <w:rsid w:val="00A56012"/>
    <w:rsid w:val="00A8704C"/>
    <w:rsid w:val="00AB22CB"/>
    <w:rsid w:val="00AC15BA"/>
    <w:rsid w:val="00AF328C"/>
    <w:rsid w:val="00C66CB8"/>
    <w:rsid w:val="00C91AC2"/>
    <w:rsid w:val="00D578A8"/>
    <w:rsid w:val="00D60DC5"/>
    <w:rsid w:val="00DC4264"/>
    <w:rsid w:val="00E55578"/>
    <w:rsid w:val="00F22BE9"/>
    <w:rsid w:val="00F43F4D"/>
    <w:rsid w:val="00F70F3E"/>
    <w:rsid w:val="00FC2D8E"/>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8C"/>
    <w:pPr>
      <w:jc w:val="left"/>
    </w:pPr>
    <w:rPr>
      <w:rFonts w:eastAsia="Times New Roman" w:cs="Times New Roman"/>
      <w:lang w:val="lt-LT"/>
    </w:rPr>
  </w:style>
  <w:style w:type="paragraph" w:styleId="Heading2">
    <w:name w:val="heading 2"/>
    <w:basedOn w:val="Normal"/>
    <w:next w:val="Normal"/>
    <w:link w:val="Heading2Char"/>
    <w:uiPriority w:val="9"/>
    <w:semiHidden/>
    <w:unhideWhenUsed/>
    <w:qFormat/>
    <w:rsid w:val="00A511EA"/>
    <w:pPr>
      <w:keepNext/>
      <w:keepLines/>
      <w:spacing w:before="200"/>
      <w:jc w:val="center"/>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autoRedefine/>
    <w:qFormat/>
    <w:rsid w:val="00A511EA"/>
    <w:pPr>
      <w:keepLines w:val="0"/>
      <w:spacing w:before="240" w:after="60"/>
    </w:pPr>
    <w:rPr>
      <w:b w:val="0"/>
      <w:i/>
      <w:iCs/>
      <w:color w:val="auto"/>
      <w:sz w:val="28"/>
      <w:szCs w:val="28"/>
    </w:rPr>
  </w:style>
  <w:style w:type="character" w:customStyle="1" w:styleId="Heading2Char">
    <w:name w:val="Heading 2 Char"/>
    <w:basedOn w:val="DefaultParagraphFont"/>
    <w:link w:val="Heading2"/>
    <w:uiPriority w:val="9"/>
    <w:semiHidden/>
    <w:rsid w:val="00A511EA"/>
    <w:rPr>
      <w:rFonts w:asciiTheme="majorHAnsi" w:eastAsiaTheme="majorEastAsia" w:hAnsiTheme="majorHAnsi" w:cstheme="majorBidi"/>
      <w:b/>
      <w:bCs/>
      <w:color w:val="4F81BD" w:themeColor="accent1"/>
      <w:sz w:val="26"/>
      <w:szCs w:val="26"/>
    </w:rPr>
  </w:style>
  <w:style w:type="character" w:customStyle="1" w:styleId="Style1Char">
    <w:name w:val="Style1 Char"/>
    <w:basedOn w:val="Heading2Char"/>
    <w:link w:val="Style1"/>
    <w:rsid w:val="00A511EA"/>
    <w:rPr>
      <w:i/>
      <w:iCs/>
      <w:sz w:val="28"/>
      <w:szCs w:val="28"/>
    </w:rPr>
  </w:style>
  <w:style w:type="paragraph" w:styleId="ListParagraph">
    <w:name w:val="List Paragraph"/>
    <w:basedOn w:val="Normal"/>
    <w:uiPriority w:val="34"/>
    <w:qFormat/>
    <w:rsid w:val="001561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dc:creator>
  <cp:keywords/>
  <dc:description/>
  <cp:lastModifiedBy>Arta</cp:lastModifiedBy>
  <cp:revision>13</cp:revision>
  <dcterms:created xsi:type="dcterms:W3CDTF">2015-06-22T16:19:00Z</dcterms:created>
  <dcterms:modified xsi:type="dcterms:W3CDTF">2015-06-30T17:08:00Z</dcterms:modified>
</cp:coreProperties>
</file>