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8A" w:rsidRPr="006A708A" w:rsidRDefault="00F120FA" w:rsidP="00FA0B7E">
      <w:pPr>
        <w:tabs>
          <w:tab w:val="left" w:pos="567"/>
        </w:tabs>
        <w:autoSpaceDE w:val="0"/>
        <w:autoSpaceDN w:val="0"/>
        <w:adjustRightInd w:val="0"/>
        <w:spacing w:after="0" w:line="360" w:lineRule="auto"/>
        <w:jc w:val="both"/>
        <w:rPr>
          <w:rFonts w:ascii="Times New Roman" w:eastAsia="TimesNewRomanPSMT" w:hAnsi="Times New Roman" w:cs="Times New Roman"/>
          <w:sz w:val="24"/>
          <w:szCs w:val="24"/>
          <w:lang w:eastAsia="lt-LT"/>
        </w:rPr>
      </w:pPr>
      <w:r w:rsidRPr="00F120FA">
        <w:rPr>
          <w:rFonts w:ascii="Times New Roman" w:hAnsi="Times New Roman" w:cs="Times New Roman"/>
          <w:b/>
          <w:iCs/>
          <w:color w:val="FF0000"/>
          <w:sz w:val="24"/>
          <w:szCs w:val="24"/>
        </w:rPr>
        <w:tab/>
      </w:r>
      <w:r w:rsidR="006A708A" w:rsidRPr="00F120FA">
        <w:rPr>
          <w:rFonts w:ascii="Times New Roman" w:hAnsi="Times New Roman" w:cs="Times New Roman"/>
          <w:b/>
          <w:iCs/>
          <w:sz w:val="24"/>
          <w:szCs w:val="24"/>
        </w:rPr>
        <w:t xml:space="preserve">Tyrimo objektas:  </w:t>
      </w:r>
      <w:r w:rsidR="006A708A" w:rsidRPr="00F120FA">
        <w:rPr>
          <w:rFonts w:ascii="Times New Roman" w:hAnsi="Times New Roman" w:cs="Times New Roman"/>
          <w:iCs/>
          <w:sz w:val="24"/>
          <w:szCs w:val="24"/>
        </w:rPr>
        <w:t xml:space="preserve">ES struktūrinių fondų parama ir </w:t>
      </w:r>
      <w:r w:rsidR="006A708A" w:rsidRPr="00F120FA">
        <w:rPr>
          <w:rFonts w:ascii="Times New Roman" w:eastAsia="TimesNewRomanPSMT" w:hAnsi="Times New Roman" w:cs="Times New Roman"/>
          <w:sz w:val="24"/>
          <w:szCs w:val="24"/>
          <w:lang w:eastAsia="lt-LT"/>
        </w:rPr>
        <w:t>tiesioginės užsienio investic</w:t>
      </w:r>
      <w:r w:rsidR="006A708A">
        <w:rPr>
          <w:rFonts w:ascii="Times New Roman" w:eastAsia="TimesNewRomanPSMT" w:hAnsi="Times New Roman" w:cs="Times New Roman"/>
          <w:sz w:val="24"/>
          <w:szCs w:val="24"/>
          <w:lang w:eastAsia="lt-LT"/>
        </w:rPr>
        <w:t>ijos Lietuvoje 2008 m. – 2013 m.</w:t>
      </w:r>
    </w:p>
    <w:p w:rsidR="00F120FA" w:rsidRPr="00F120FA" w:rsidRDefault="00F71A6E" w:rsidP="00FA0B7E">
      <w:pPr>
        <w:tabs>
          <w:tab w:val="left" w:pos="567"/>
        </w:tabs>
        <w:autoSpaceDE w:val="0"/>
        <w:autoSpaceDN w:val="0"/>
        <w:adjustRightInd w:val="0"/>
        <w:spacing w:after="0" w:line="360" w:lineRule="auto"/>
        <w:jc w:val="both"/>
        <w:rPr>
          <w:rFonts w:ascii="Times New Roman" w:hAnsi="Times New Roman" w:cs="Times New Roman"/>
          <w:b/>
          <w:iCs/>
          <w:color w:val="FF0000"/>
          <w:sz w:val="24"/>
          <w:szCs w:val="24"/>
        </w:rPr>
      </w:pPr>
      <w:r>
        <w:rPr>
          <w:rFonts w:ascii="Times New Roman" w:hAnsi="Times New Roman" w:cs="Times New Roman"/>
          <w:b/>
          <w:iCs/>
          <w:sz w:val="24"/>
          <w:szCs w:val="24"/>
        </w:rPr>
        <w:tab/>
      </w:r>
      <w:r w:rsidR="00F120FA" w:rsidRPr="00F120FA">
        <w:rPr>
          <w:rFonts w:ascii="Times New Roman" w:hAnsi="Times New Roman" w:cs="Times New Roman"/>
          <w:b/>
          <w:iCs/>
          <w:sz w:val="24"/>
          <w:szCs w:val="24"/>
        </w:rPr>
        <w:t xml:space="preserve">Problema: </w:t>
      </w:r>
      <w:r w:rsidR="00F120FA" w:rsidRPr="00F120FA">
        <w:rPr>
          <w:rFonts w:ascii="Times New Roman" w:hAnsi="Times New Roman" w:cs="Times New Roman"/>
          <w:iCs/>
          <w:sz w:val="24"/>
          <w:szCs w:val="24"/>
        </w:rPr>
        <w:t>mokslinėje literatūroje pateikiama nemažai skirtingų ES struktūrinių fondų panaudojimo ir įsisavinimo analizės aspektų skirtingais rakursais. Apie ES struktūrinių fondų panaudojimą atskirose srityse, bei apie pačius ES paramos fondus yra atlikta daug įvairių tyrimų. Tačiau ES Struktūrinių fondų įtaka tiesioginių užsienio investicijų pritraukimui yra ne taip plačiai nagrinėjama tema ir dėl to reikalaujanti išsamesnės analizės. Dėl šios priežasties būtina ne tik išanalizuoti ES struktūrinės paramos įsisavinimo rezultatus, bet ir nustatyti ryšį tarp ES Struktūrinių fondų paramos ir tiesioginių užsienio investicijų, bei koks šio egzistuojančio ryšio stiprumas.</w:t>
      </w:r>
      <w:r w:rsidR="00F120FA" w:rsidRPr="00F120FA">
        <w:rPr>
          <w:rFonts w:ascii="Times New Roman" w:hAnsi="Times New Roman" w:cs="Times New Roman"/>
          <w:b/>
          <w:iCs/>
          <w:color w:val="FF0000"/>
          <w:sz w:val="24"/>
          <w:szCs w:val="24"/>
        </w:rPr>
        <w:t xml:space="preserve"> </w:t>
      </w:r>
    </w:p>
    <w:p w:rsidR="00F120FA" w:rsidRPr="00F120FA" w:rsidRDefault="00F120FA" w:rsidP="00FA0B7E">
      <w:pPr>
        <w:tabs>
          <w:tab w:val="left" w:pos="567"/>
        </w:tabs>
        <w:autoSpaceDE w:val="0"/>
        <w:autoSpaceDN w:val="0"/>
        <w:adjustRightInd w:val="0"/>
        <w:spacing w:after="0" w:line="360" w:lineRule="auto"/>
        <w:jc w:val="both"/>
        <w:rPr>
          <w:rFonts w:ascii="Times New Roman" w:hAnsi="Times New Roman" w:cs="Times New Roman"/>
          <w:color w:val="FF0000"/>
          <w:sz w:val="24"/>
          <w:szCs w:val="24"/>
        </w:rPr>
      </w:pPr>
      <w:r w:rsidRPr="00F120FA">
        <w:rPr>
          <w:rFonts w:ascii="Times New Roman" w:hAnsi="Times New Roman" w:cs="Times New Roman"/>
          <w:b/>
          <w:iCs/>
          <w:color w:val="FF0000"/>
          <w:sz w:val="24"/>
          <w:szCs w:val="24"/>
        </w:rPr>
        <w:tab/>
      </w:r>
      <w:r w:rsidRPr="00F120FA">
        <w:rPr>
          <w:rFonts w:ascii="Times New Roman" w:hAnsi="Times New Roman" w:cs="Times New Roman"/>
          <w:sz w:val="24"/>
          <w:szCs w:val="24"/>
          <w:lang w:eastAsia="lt-LT"/>
        </w:rPr>
        <w:t>D</w:t>
      </w:r>
      <w:r w:rsidRPr="00F120FA">
        <w:rPr>
          <w:rFonts w:ascii="Times New Roman" w:eastAsia="TimesNewRoman" w:hAnsi="Times New Roman" w:cs="Times New Roman"/>
          <w:sz w:val="24"/>
          <w:szCs w:val="24"/>
          <w:lang w:eastAsia="lt-LT"/>
        </w:rPr>
        <w:t>ė</w:t>
      </w:r>
      <w:r w:rsidRPr="00F120FA">
        <w:rPr>
          <w:rFonts w:ascii="Times New Roman" w:hAnsi="Times New Roman" w:cs="Times New Roman"/>
          <w:sz w:val="24"/>
          <w:szCs w:val="24"/>
          <w:lang w:eastAsia="lt-LT"/>
        </w:rPr>
        <w:t>l spart</w:t>
      </w:r>
      <w:r w:rsidRPr="00F120FA">
        <w:rPr>
          <w:rFonts w:ascii="Times New Roman" w:eastAsia="TimesNewRoman" w:hAnsi="Times New Roman" w:cs="Times New Roman"/>
          <w:sz w:val="24"/>
          <w:szCs w:val="24"/>
          <w:lang w:eastAsia="lt-LT"/>
        </w:rPr>
        <w:t>ė</w:t>
      </w:r>
      <w:r w:rsidRPr="00F120FA">
        <w:rPr>
          <w:rFonts w:ascii="Times New Roman" w:hAnsi="Times New Roman" w:cs="Times New Roman"/>
          <w:sz w:val="24"/>
          <w:szCs w:val="24"/>
          <w:lang w:eastAsia="lt-LT"/>
        </w:rPr>
        <w:t>jan</w:t>
      </w:r>
      <w:r w:rsidRPr="00F120FA">
        <w:rPr>
          <w:rFonts w:ascii="Times New Roman" w:eastAsia="TimesNewRoman" w:hAnsi="Times New Roman" w:cs="Times New Roman"/>
          <w:sz w:val="24"/>
          <w:szCs w:val="24"/>
          <w:lang w:eastAsia="lt-LT"/>
        </w:rPr>
        <w:t>č</w:t>
      </w:r>
      <w:r w:rsidRPr="00F120FA">
        <w:rPr>
          <w:rFonts w:ascii="Times New Roman" w:hAnsi="Times New Roman" w:cs="Times New Roman"/>
          <w:sz w:val="24"/>
          <w:szCs w:val="24"/>
          <w:lang w:eastAsia="lt-LT"/>
        </w:rPr>
        <w:t xml:space="preserve">ios globalizacijos </w:t>
      </w:r>
      <w:r w:rsidRPr="00F120FA">
        <w:rPr>
          <w:rFonts w:ascii="Times New Roman" w:eastAsia="TimesNewRoman" w:hAnsi="Times New Roman" w:cs="Times New Roman"/>
          <w:sz w:val="24"/>
          <w:szCs w:val="24"/>
          <w:lang w:eastAsia="lt-LT"/>
        </w:rPr>
        <w:t>į</w:t>
      </w:r>
      <w:r w:rsidRPr="00F120FA">
        <w:rPr>
          <w:rFonts w:ascii="Times New Roman" w:hAnsi="Times New Roman" w:cs="Times New Roman"/>
          <w:sz w:val="24"/>
          <w:szCs w:val="24"/>
          <w:lang w:eastAsia="lt-LT"/>
        </w:rPr>
        <w:t>mon</w:t>
      </w:r>
      <w:r w:rsidRPr="00F120FA">
        <w:rPr>
          <w:rFonts w:ascii="Times New Roman" w:eastAsia="TimesNewRoman" w:hAnsi="Times New Roman" w:cs="Times New Roman"/>
          <w:sz w:val="24"/>
          <w:szCs w:val="24"/>
          <w:lang w:eastAsia="lt-LT"/>
        </w:rPr>
        <w:t>ė</w:t>
      </w:r>
      <w:r w:rsidRPr="00F120FA">
        <w:rPr>
          <w:rFonts w:ascii="Times New Roman" w:hAnsi="Times New Roman" w:cs="Times New Roman"/>
          <w:sz w:val="24"/>
          <w:szCs w:val="24"/>
          <w:lang w:eastAsia="lt-LT"/>
        </w:rPr>
        <w:t>ms darosi vis svarbiau išlaikyti savo konkurencingum</w:t>
      </w:r>
      <w:r w:rsidRPr="00F120FA">
        <w:rPr>
          <w:rFonts w:ascii="Times New Roman" w:eastAsia="TimesNewRoman" w:hAnsi="Times New Roman" w:cs="Times New Roman"/>
          <w:sz w:val="24"/>
          <w:szCs w:val="24"/>
          <w:lang w:eastAsia="lt-LT"/>
        </w:rPr>
        <w:t>ą ir pritraukti tiesiogines užsienio investicijas</w:t>
      </w:r>
      <w:r w:rsidRPr="00F120FA">
        <w:rPr>
          <w:rFonts w:ascii="Times New Roman" w:hAnsi="Times New Roman" w:cs="Times New Roman"/>
          <w:sz w:val="24"/>
          <w:szCs w:val="24"/>
          <w:lang w:eastAsia="lt-LT"/>
        </w:rPr>
        <w:t xml:space="preserve">. </w:t>
      </w:r>
      <w:r w:rsidRPr="00F120FA">
        <w:rPr>
          <w:rFonts w:ascii="Times New Roman" w:hAnsi="Times New Roman" w:cs="Times New Roman"/>
          <w:sz w:val="24"/>
          <w:szCs w:val="24"/>
        </w:rPr>
        <w:t xml:space="preserve">Kaip jau minėjome vienas iš Europos Sąjungos struktūrinės paramos tikslų – pritraukti TUI į didelės pridėtinės vertės gamybos bei paslaugų verslo pradžią ir plėtrą Lietuvoje. Europos Sąjungos struktūriniai fondai yra vienas iš galimų finansinių šaltinių, kuriuos panaudodamos Lietuvos įmonės galėtų plėsti savo veiklą bei kurti naujus produktus. Todėl siekiama veiksmingai ir skaidriai panaudoti finansinę Europos Sąjungos paramą šalies gerovei, o tuo pačiu pritraukti tiesiogines užsienio investicijas į Lietuvą. </w:t>
      </w:r>
    </w:p>
    <w:p w:rsidR="00F120FA" w:rsidRPr="00F120FA" w:rsidRDefault="00F120FA" w:rsidP="00FA0B7E">
      <w:pPr>
        <w:tabs>
          <w:tab w:val="left" w:pos="567"/>
        </w:tabs>
        <w:autoSpaceDE w:val="0"/>
        <w:autoSpaceDN w:val="0"/>
        <w:adjustRightInd w:val="0"/>
        <w:spacing w:after="0" w:line="360" w:lineRule="auto"/>
        <w:jc w:val="both"/>
        <w:rPr>
          <w:rFonts w:ascii="Times New Roman" w:hAnsi="Times New Roman" w:cs="Times New Roman"/>
          <w:sz w:val="24"/>
          <w:szCs w:val="24"/>
        </w:rPr>
      </w:pPr>
      <w:r w:rsidRPr="00F120FA">
        <w:rPr>
          <w:rFonts w:ascii="Times New Roman" w:hAnsi="Times New Roman" w:cs="Times New Roman"/>
          <w:b/>
          <w:iCs/>
          <w:color w:val="FF0000"/>
          <w:sz w:val="24"/>
          <w:szCs w:val="24"/>
        </w:rPr>
        <w:tab/>
      </w:r>
      <w:r w:rsidRPr="00F120FA">
        <w:rPr>
          <w:rFonts w:ascii="Times New Roman" w:hAnsi="Times New Roman" w:cs="Times New Roman"/>
          <w:b/>
          <w:iCs/>
          <w:sz w:val="24"/>
          <w:szCs w:val="24"/>
        </w:rPr>
        <w:t xml:space="preserve">Tyrimo tikslas: </w:t>
      </w:r>
      <w:r w:rsidRPr="00F120FA">
        <w:rPr>
          <w:rFonts w:ascii="Times New Roman" w:eastAsia="TimesNewRomanPSMT" w:hAnsi="Times New Roman" w:cs="Times New Roman"/>
          <w:sz w:val="24"/>
          <w:szCs w:val="24"/>
          <w:lang w:eastAsia="lt-LT"/>
        </w:rPr>
        <w:t>išanalizuoti ryšį tarp Europos Sąjungos struktūrinių fondų paramos ir tiesioginių užsienio investicijų atliekant koreliacinę – regresinę analizę.</w:t>
      </w:r>
    </w:p>
    <w:p w:rsidR="00F120FA" w:rsidRPr="00F120FA" w:rsidRDefault="00F120FA" w:rsidP="00FA0B7E">
      <w:pPr>
        <w:pStyle w:val="BodyText"/>
        <w:tabs>
          <w:tab w:val="left" w:pos="0"/>
          <w:tab w:val="left" w:pos="567"/>
          <w:tab w:val="left" w:pos="7815"/>
        </w:tabs>
        <w:spacing w:line="360" w:lineRule="auto"/>
        <w:rPr>
          <w:b/>
          <w:iCs/>
          <w:color w:val="auto"/>
          <w:szCs w:val="24"/>
          <w:lang w:val="lt-LT"/>
        </w:rPr>
      </w:pPr>
      <w:r w:rsidRPr="00F120FA">
        <w:rPr>
          <w:b/>
          <w:iCs/>
          <w:color w:val="FF0000"/>
          <w:szCs w:val="24"/>
          <w:lang w:val="lt-LT"/>
        </w:rPr>
        <w:tab/>
      </w:r>
      <w:r w:rsidRPr="00F120FA">
        <w:rPr>
          <w:b/>
          <w:iCs/>
          <w:color w:val="auto"/>
          <w:szCs w:val="24"/>
          <w:lang w:val="lt-LT"/>
        </w:rPr>
        <w:t>Darbo uždaviniai:</w:t>
      </w:r>
      <w:r w:rsidRPr="00F120FA">
        <w:rPr>
          <w:b/>
          <w:iCs/>
          <w:color w:val="auto"/>
          <w:szCs w:val="24"/>
          <w:lang w:val="lt-LT"/>
        </w:rPr>
        <w:tab/>
      </w:r>
    </w:p>
    <w:p w:rsidR="00F120FA" w:rsidRPr="00F120FA" w:rsidRDefault="00F120FA" w:rsidP="00FA0B7E">
      <w:pPr>
        <w:pStyle w:val="BodyText"/>
        <w:numPr>
          <w:ilvl w:val="0"/>
          <w:numId w:val="2"/>
        </w:numPr>
        <w:tabs>
          <w:tab w:val="left" w:pos="0"/>
          <w:tab w:val="left" w:pos="567"/>
        </w:tabs>
        <w:spacing w:line="360" w:lineRule="auto"/>
        <w:ind w:left="1134" w:hanging="283"/>
        <w:rPr>
          <w:iCs/>
          <w:color w:val="auto"/>
          <w:szCs w:val="24"/>
          <w:lang w:val="lt-LT"/>
        </w:rPr>
      </w:pPr>
      <w:r w:rsidRPr="00F120FA">
        <w:rPr>
          <w:iCs/>
          <w:color w:val="auto"/>
          <w:szCs w:val="24"/>
          <w:lang w:val="lt-LT"/>
        </w:rPr>
        <w:t>išanalizuoti Europos Sąjungos struktūrinių fondų panaudojimą 2004 – 2006 metais, 2007 – 2013 metais bei 2014 m. – 2020 m.;</w:t>
      </w:r>
    </w:p>
    <w:p w:rsidR="00F120FA" w:rsidRPr="00F120FA" w:rsidRDefault="00F120FA" w:rsidP="00FA0B7E">
      <w:pPr>
        <w:pStyle w:val="BodyText"/>
        <w:numPr>
          <w:ilvl w:val="0"/>
          <w:numId w:val="2"/>
        </w:numPr>
        <w:tabs>
          <w:tab w:val="left" w:pos="0"/>
          <w:tab w:val="left" w:pos="567"/>
        </w:tabs>
        <w:spacing w:line="360" w:lineRule="auto"/>
        <w:ind w:left="1134" w:hanging="283"/>
        <w:rPr>
          <w:iCs/>
          <w:color w:val="auto"/>
          <w:szCs w:val="24"/>
          <w:lang w:val="lt-LT"/>
        </w:rPr>
      </w:pPr>
      <w:r w:rsidRPr="00F120FA">
        <w:rPr>
          <w:iCs/>
          <w:color w:val="auto"/>
          <w:szCs w:val="24"/>
          <w:lang w:val="lt-LT"/>
        </w:rPr>
        <w:t>ištirti tiesioginių užsienio investicijų svarbą šalies ūkiui bei nustatyti šalies aplinkos svarbą tiesioginėms užsienio investicijoms;</w:t>
      </w:r>
    </w:p>
    <w:p w:rsidR="00F120FA" w:rsidRPr="00F120FA" w:rsidRDefault="00F120FA" w:rsidP="00FA0B7E">
      <w:pPr>
        <w:pStyle w:val="BodyText"/>
        <w:numPr>
          <w:ilvl w:val="0"/>
          <w:numId w:val="2"/>
        </w:numPr>
        <w:tabs>
          <w:tab w:val="left" w:pos="0"/>
          <w:tab w:val="left" w:pos="567"/>
        </w:tabs>
        <w:spacing w:line="360" w:lineRule="auto"/>
        <w:ind w:left="1134" w:hanging="283"/>
        <w:rPr>
          <w:iCs/>
          <w:color w:val="auto"/>
          <w:szCs w:val="24"/>
          <w:lang w:val="lt-LT"/>
        </w:rPr>
      </w:pPr>
      <w:r w:rsidRPr="00F120FA">
        <w:rPr>
          <w:iCs/>
          <w:color w:val="auto"/>
          <w:szCs w:val="24"/>
          <w:lang w:val="lt-LT"/>
        </w:rPr>
        <w:t>išanalizuoti</w:t>
      </w:r>
      <w:r w:rsidRPr="00F120FA">
        <w:rPr>
          <w:color w:val="auto"/>
          <w:szCs w:val="24"/>
          <w:lang w:val="lt-LT"/>
        </w:rPr>
        <w:t xml:space="preserve"> tiesiogines užsienio investicijas Lietuvoje pagal šalis investuotojas;</w:t>
      </w:r>
    </w:p>
    <w:p w:rsidR="00F120FA" w:rsidRPr="00F120FA" w:rsidRDefault="00F120FA" w:rsidP="00FA0B7E">
      <w:pPr>
        <w:pStyle w:val="BodyText"/>
        <w:numPr>
          <w:ilvl w:val="0"/>
          <w:numId w:val="2"/>
        </w:numPr>
        <w:tabs>
          <w:tab w:val="left" w:pos="0"/>
          <w:tab w:val="left" w:pos="567"/>
        </w:tabs>
        <w:spacing w:line="360" w:lineRule="auto"/>
        <w:ind w:left="1134" w:hanging="283"/>
        <w:rPr>
          <w:iCs/>
          <w:color w:val="auto"/>
          <w:szCs w:val="24"/>
          <w:lang w:val="lt-LT"/>
        </w:rPr>
      </w:pPr>
      <w:r w:rsidRPr="00F120FA">
        <w:rPr>
          <w:color w:val="auto"/>
          <w:szCs w:val="24"/>
          <w:lang w:val="lt-LT"/>
        </w:rPr>
        <w:t>išanalizuoti ES struktūrinius fondus, tikslus ir principus bei aptarti Europos Sąjungos struktūrinės paramos įsisavinimo problemas;</w:t>
      </w:r>
    </w:p>
    <w:p w:rsidR="00F120FA" w:rsidRPr="00F120FA" w:rsidRDefault="00F120FA" w:rsidP="00FA0B7E">
      <w:pPr>
        <w:pStyle w:val="BodyText"/>
        <w:numPr>
          <w:ilvl w:val="0"/>
          <w:numId w:val="2"/>
        </w:numPr>
        <w:tabs>
          <w:tab w:val="left" w:pos="0"/>
          <w:tab w:val="left" w:pos="567"/>
        </w:tabs>
        <w:spacing w:line="360" w:lineRule="auto"/>
        <w:ind w:left="1134" w:hanging="283"/>
        <w:rPr>
          <w:color w:val="auto"/>
          <w:szCs w:val="24"/>
          <w:lang w:val="lt-LT"/>
        </w:rPr>
      </w:pPr>
      <w:r w:rsidRPr="00F120FA">
        <w:rPr>
          <w:iCs/>
          <w:color w:val="auto"/>
          <w:szCs w:val="24"/>
          <w:lang w:val="lt-LT"/>
        </w:rPr>
        <w:t xml:space="preserve">išanalizuoti tiesioginių užsienio investicijų formas bei nustatyti </w:t>
      </w:r>
      <w:r w:rsidRPr="00F120FA">
        <w:rPr>
          <w:color w:val="auto"/>
          <w:szCs w:val="24"/>
          <w:lang w:val="lt-LT"/>
        </w:rPr>
        <w:t>tiesiogines užsienio investicijas lemiančius ir ribojančius veiksnius;</w:t>
      </w:r>
    </w:p>
    <w:p w:rsidR="00F120FA" w:rsidRPr="00F120FA" w:rsidRDefault="00F120FA" w:rsidP="00FA0B7E">
      <w:pPr>
        <w:pStyle w:val="BodyText"/>
        <w:numPr>
          <w:ilvl w:val="0"/>
          <w:numId w:val="2"/>
        </w:numPr>
        <w:tabs>
          <w:tab w:val="left" w:pos="0"/>
          <w:tab w:val="left" w:pos="567"/>
        </w:tabs>
        <w:spacing w:line="360" w:lineRule="auto"/>
        <w:ind w:left="1134" w:hanging="283"/>
        <w:rPr>
          <w:color w:val="auto"/>
          <w:szCs w:val="24"/>
          <w:lang w:val="lt-LT"/>
        </w:rPr>
      </w:pPr>
      <w:r w:rsidRPr="00F120FA">
        <w:rPr>
          <w:color w:val="auto"/>
          <w:szCs w:val="24"/>
          <w:lang w:val="lt-LT"/>
        </w:rPr>
        <w:t>išanalizuoti tiesioginių užsienio investicijų įtaką šalies ekonomikai;</w:t>
      </w:r>
    </w:p>
    <w:p w:rsidR="00F120FA" w:rsidRPr="006A708A" w:rsidRDefault="00F120FA" w:rsidP="00FA0B7E">
      <w:pPr>
        <w:pStyle w:val="BodyText"/>
        <w:numPr>
          <w:ilvl w:val="0"/>
          <w:numId w:val="2"/>
        </w:numPr>
        <w:tabs>
          <w:tab w:val="left" w:pos="0"/>
          <w:tab w:val="left" w:pos="567"/>
        </w:tabs>
        <w:spacing w:line="360" w:lineRule="auto"/>
        <w:ind w:left="1134" w:hanging="283"/>
        <w:rPr>
          <w:color w:val="auto"/>
          <w:szCs w:val="24"/>
          <w:lang w:val="lt-LT"/>
        </w:rPr>
      </w:pPr>
      <w:r w:rsidRPr="00F120FA">
        <w:rPr>
          <w:color w:val="auto"/>
          <w:szCs w:val="24"/>
          <w:lang w:val="lt-LT"/>
        </w:rPr>
        <w:t>nustatyti ryšį tarp Europos Sąjungos struktūrinės paramos ir tiesioginių užsienio investicijų.</w:t>
      </w:r>
    </w:p>
    <w:p w:rsidR="00F120FA" w:rsidRPr="00F120FA" w:rsidRDefault="00F120FA" w:rsidP="00FA0B7E">
      <w:pPr>
        <w:tabs>
          <w:tab w:val="left" w:pos="851"/>
        </w:tabs>
        <w:spacing w:after="0" w:line="360" w:lineRule="auto"/>
        <w:ind w:firstLine="567"/>
        <w:jc w:val="both"/>
        <w:rPr>
          <w:rFonts w:ascii="Times New Roman" w:hAnsi="Times New Roman" w:cs="Times New Roman"/>
          <w:iCs/>
          <w:sz w:val="24"/>
          <w:szCs w:val="24"/>
        </w:rPr>
      </w:pPr>
      <w:r w:rsidRPr="00F120FA">
        <w:rPr>
          <w:rFonts w:ascii="Times New Roman" w:hAnsi="Times New Roman" w:cs="Times New Roman"/>
          <w:iCs/>
          <w:sz w:val="24"/>
          <w:szCs w:val="24"/>
        </w:rPr>
        <w:lastRenderedPageBreak/>
        <w:t xml:space="preserve">Atlikta koreliacinė - regresinė analizė leidžia įvertinti </w:t>
      </w:r>
      <w:r w:rsidRPr="00F120FA">
        <w:rPr>
          <w:rFonts w:ascii="Times New Roman" w:hAnsi="Times New Roman" w:cs="Times New Roman"/>
          <w:sz w:val="24"/>
          <w:szCs w:val="24"/>
        </w:rPr>
        <w:t>ryšį tarp ES struktūrinės paramos ir tiesioginių užsienio investicijų Lietuvoje:</w:t>
      </w:r>
    </w:p>
    <w:p w:rsidR="00F120FA" w:rsidRDefault="00F120FA" w:rsidP="00FA0B7E">
      <w:pPr>
        <w:numPr>
          <w:ilvl w:val="0"/>
          <w:numId w:val="4"/>
        </w:numPr>
        <w:spacing w:after="0" w:line="360" w:lineRule="auto"/>
        <w:ind w:left="1134" w:hanging="283"/>
        <w:jc w:val="both"/>
        <w:rPr>
          <w:rFonts w:ascii="Times New Roman" w:hAnsi="Times New Roman" w:cs="Times New Roman"/>
          <w:sz w:val="24"/>
          <w:szCs w:val="24"/>
          <w:lang w:eastAsia="lt-LT"/>
        </w:rPr>
      </w:pPr>
      <w:r w:rsidRPr="00F120FA">
        <w:rPr>
          <w:rFonts w:ascii="Times New Roman" w:hAnsi="Times New Roman" w:cs="Times New Roman"/>
          <w:sz w:val="24"/>
          <w:szCs w:val="24"/>
        </w:rPr>
        <w:t>remiantis atlikta literatūros šaltinių analize galime teigti, jog vienas iš Europos Sąjungos struktūrinės paramos tikslų – pritraukti tiesiogines užsienio investicijas į didelės pridėtinės vertės gamybos bei paslaugų verslo pradžią ir plėtrą Lietuvoje. Gauti tyrimo rezultatai patvirtino, kad augant ES struktūrinei paramai taip pat augo ir TUI srautai. Atlikta koreliacinė - regresinė analizė leidžia daryti išvadą, kad tiesioginės užsienio investicijos yra labai glaudžiai susijusios su ES struktūrine parama.</w:t>
      </w:r>
      <w:r w:rsidRPr="00F120FA">
        <w:rPr>
          <w:rFonts w:ascii="Times New Roman" w:hAnsi="Times New Roman" w:cs="Times New Roman"/>
          <w:sz w:val="24"/>
          <w:szCs w:val="24"/>
          <w:lang w:eastAsia="lt-LT"/>
        </w:rPr>
        <w:t xml:space="preserve"> A</w:t>
      </w:r>
      <w:r w:rsidRPr="00F120FA">
        <w:rPr>
          <w:rFonts w:ascii="Times New Roman" w:hAnsi="Times New Roman" w:cs="Times New Roman"/>
          <w:sz w:val="24"/>
          <w:szCs w:val="24"/>
        </w:rPr>
        <w:t xml:space="preserve">pskaičiuotas koreliacijos koeficientas r = </w:t>
      </w:r>
      <w:r w:rsidRPr="00F120FA">
        <w:rPr>
          <w:rFonts w:ascii="Times New Roman" w:hAnsi="Times New Roman" w:cs="Times New Roman"/>
          <w:sz w:val="24"/>
          <w:szCs w:val="24"/>
          <w:lang w:eastAsia="lt-LT"/>
        </w:rPr>
        <w:t xml:space="preserve">0,98627 </w:t>
      </w:r>
      <w:r w:rsidRPr="00F120FA">
        <w:rPr>
          <w:rFonts w:ascii="Times New Roman" w:hAnsi="Times New Roman" w:cs="Times New Roman"/>
          <w:sz w:val="24"/>
          <w:szCs w:val="24"/>
        </w:rPr>
        <w:t>yra patikimas ir nurodo stiprią tiesioginę priklausomybę tarp TUI bei ES struktūrinės paramos Lietuvai. Teigiamas koreliacijos koeficientas nurodo tiesioginį ryšį tarp nagrinėjamų rodiklių t.y. didėjant ES struktūrinei paramai taip pat didėja tiesioginių užsienio investicijų srautai į Lietuvą ir atvirkščiai – mažėjant ES struktūrinei paramai mažės ir TUI srautai.</w:t>
      </w:r>
    </w:p>
    <w:p w:rsidR="00F120FA" w:rsidRDefault="00F120FA" w:rsidP="00F71A6E">
      <w:pPr>
        <w:spacing w:after="0" w:line="360" w:lineRule="auto"/>
        <w:ind w:firstLine="567"/>
        <w:jc w:val="both"/>
        <w:rPr>
          <w:rFonts w:ascii="Times New Roman" w:hAnsi="Times New Roman" w:cs="Times New Roman"/>
          <w:sz w:val="24"/>
          <w:szCs w:val="24"/>
        </w:rPr>
      </w:pPr>
      <w:r w:rsidRPr="00F120FA">
        <w:rPr>
          <w:rFonts w:ascii="Times New Roman" w:hAnsi="Times New Roman" w:cs="Times New Roman"/>
          <w:sz w:val="24"/>
          <w:szCs w:val="24"/>
        </w:rPr>
        <w:t>Išanalizuoti įvairūs lieteratūros šaltiniai bei atlikta koreliacinė – regresinė analizė leidžia teigti, kad Europos Sąjungos struktūrinė parama smarkiai įtakoja tiesioginių užsienio investicijų srautus į Lietuvą. Todėl galima rekomenduoti ir toliau stengtis įsisavinti ES teikiamą struktūrinę paramą ir taip dar labiau didinti TUI srautus į mūsų šalį, didindami ekonomikos lygį Lietuvoje.</w:t>
      </w:r>
    </w:p>
    <w:p w:rsidR="00F120FA" w:rsidRDefault="00F120FA" w:rsidP="00FA0B7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Tolimesnės analizės bei praktinės darbo pritaikymo galimybės galėtų dar giliau analizuoti ryšį tarp Europos Sąjungos struktūrinės paramos siekiant kuo didesnių investicijų Lietuvoje.</w:t>
      </w:r>
    </w:p>
    <w:p w:rsidR="00F120FA" w:rsidRPr="00F120FA" w:rsidRDefault="00F120FA" w:rsidP="00FA0B7E">
      <w:pPr>
        <w:spacing w:after="0"/>
        <w:rPr>
          <w:rFonts w:ascii="Times New Roman" w:hAnsi="Times New Roman" w:cs="Times New Roman"/>
          <w:color w:val="FF0000"/>
          <w:sz w:val="24"/>
          <w:szCs w:val="24"/>
        </w:rPr>
      </w:pPr>
    </w:p>
    <w:sectPr w:rsidR="00F120FA" w:rsidRPr="00F120FA" w:rsidSect="00562A52">
      <w:pgSz w:w="11906" w:h="16838"/>
      <w:pgMar w:top="1440" w:right="1440" w:bottom="1440" w:left="144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09E"/>
    <w:multiLevelType w:val="hybridMultilevel"/>
    <w:tmpl w:val="67188AF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nsid w:val="211A2D20"/>
    <w:multiLevelType w:val="hybridMultilevel"/>
    <w:tmpl w:val="9D345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08A6CB8"/>
    <w:multiLevelType w:val="multilevel"/>
    <w:tmpl w:val="700CF6A2"/>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7466CA0"/>
    <w:multiLevelType w:val="hybridMultilevel"/>
    <w:tmpl w:val="4A4A4C82"/>
    <w:lvl w:ilvl="0" w:tplc="7DD49C8A">
      <w:start w:val="1"/>
      <w:numFmt w:val="bullet"/>
      <w:lvlText w:val=""/>
      <w:lvlJc w:val="left"/>
      <w:pPr>
        <w:ind w:left="1287" w:hanging="360"/>
      </w:pPr>
      <w:rPr>
        <w:rFonts w:ascii="Symbol" w:hAnsi="Symbol" w:hint="default"/>
        <w:color w:val="auto"/>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nsid w:val="59C93B1E"/>
    <w:multiLevelType w:val="multilevel"/>
    <w:tmpl w:val="B8289058"/>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5">
    <w:nsid w:val="62DD1480"/>
    <w:multiLevelType w:val="hybridMultilevel"/>
    <w:tmpl w:val="9D96EDD2"/>
    <w:lvl w:ilvl="0" w:tplc="8FA06D4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7E0D98"/>
    <w:rsid w:val="00501F78"/>
    <w:rsid w:val="00562A52"/>
    <w:rsid w:val="006A708A"/>
    <w:rsid w:val="007E0D98"/>
    <w:rsid w:val="009D47FA"/>
    <w:rsid w:val="00D25014"/>
    <w:rsid w:val="00F120FA"/>
    <w:rsid w:val="00F71A6E"/>
    <w:rsid w:val="00FA0B7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20FA"/>
    <w:pPr>
      <w:spacing w:after="0" w:line="240" w:lineRule="auto"/>
      <w:jc w:val="both"/>
    </w:pPr>
    <w:rPr>
      <w:rFonts w:ascii="Times New Roman" w:eastAsia="Times New Roman" w:hAnsi="Times New Roman" w:cs="Times New Roman"/>
      <w:color w:val="000000"/>
      <w:sz w:val="24"/>
      <w:szCs w:val="20"/>
      <w:lang/>
    </w:rPr>
  </w:style>
  <w:style w:type="character" w:customStyle="1" w:styleId="BodyTextChar">
    <w:name w:val="Body Text Char"/>
    <w:basedOn w:val="DefaultParagraphFont"/>
    <w:link w:val="BodyText"/>
    <w:rsid w:val="00F120FA"/>
    <w:rPr>
      <w:rFonts w:ascii="Times New Roman" w:eastAsia="Times New Roman" w:hAnsi="Times New Roman" w:cs="Times New Roman"/>
      <w:color w:val="000000"/>
      <w:sz w:val="24"/>
      <w:szCs w:val="20"/>
      <w:lang/>
    </w:rPr>
  </w:style>
  <w:style w:type="character" w:styleId="Hyperlink">
    <w:name w:val="Hyperlink"/>
    <w:uiPriority w:val="99"/>
    <w:rsid w:val="00F120FA"/>
    <w:rPr>
      <w:color w:val="0000FF"/>
      <w:u w:val="single"/>
    </w:rPr>
  </w:style>
  <w:style w:type="paragraph" w:styleId="NormalWeb">
    <w:name w:val="Normal (Web)"/>
    <w:basedOn w:val="Normal"/>
    <w:uiPriority w:val="99"/>
    <w:unhideWhenUsed/>
    <w:rsid w:val="00F120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sualization-table">
    <w:name w:val="visualization-table"/>
    <w:basedOn w:val="DefaultParagraphFont"/>
    <w:rsid w:val="00F120FA"/>
  </w:style>
  <w:style w:type="paragraph" w:styleId="ListParagraph">
    <w:name w:val="List Paragraph"/>
    <w:basedOn w:val="Normal"/>
    <w:uiPriority w:val="34"/>
    <w:qFormat/>
    <w:rsid w:val="00FA0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2579</Words>
  <Characters>1471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Modesta</dc:creator>
  <cp:lastModifiedBy>Modesta</cp:lastModifiedBy>
  <cp:revision>8</cp:revision>
  <dcterms:created xsi:type="dcterms:W3CDTF">2015-07-15T12:45:00Z</dcterms:created>
  <dcterms:modified xsi:type="dcterms:W3CDTF">2015-07-15T13:00:00Z</dcterms:modified>
</cp:coreProperties>
</file>