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r w:rsidRPr="00A1296C">
        <w:rPr>
          <w:rFonts w:ascii="Times New Roman" w:eastAsia="Times New Roman" w:hAnsi="Times New Roman" w:cs="Times New Roman"/>
          <w:b/>
          <w:sz w:val="24"/>
          <w:szCs w:val="24"/>
          <w:lang w:val="lt-LT"/>
        </w:rPr>
        <w:t>VILNIAUS UNIVERSITETAS</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r w:rsidRPr="00A1296C">
        <w:rPr>
          <w:rFonts w:ascii="Times New Roman" w:eastAsia="Times New Roman" w:hAnsi="Times New Roman" w:cs="Times New Roman"/>
          <w:b/>
          <w:sz w:val="24"/>
          <w:szCs w:val="24"/>
          <w:lang w:val="lt-LT"/>
        </w:rPr>
        <w:t>EKONOMIKOS FAKULTETAS</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r w:rsidRPr="00A1296C">
        <w:rPr>
          <w:rFonts w:ascii="Times New Roman" w:eastAsia="Times New Roman" w:hAnsi="Times New Roman" w:cs="Times New Roman"/>
          <w:b/>
          <w:sz w:val="24"/>
          <w:szCs w:val="24"/>
          <w:lang w:val="lt-LT"/>
        </w:rPr>
        <w:t>EKONOMINĖS POLITIKOS KATEDRA</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8"/>
          <w:szCs w:val="28"/>
          <w:lang w:val="lt-LT"/>
        </w:rPr>
      </w:pPr>
      <w:r w:rsidRPr="00A1296C">
        <w:rPr>
          <w:rFonts w:ascii="Times New Roman" w:eastAsia="Times New Roman" w:hAnsi="Times New Roman" w:cs="Times New Roman"/>
          <w:b/>
          <w:sz w:val="28"/>
          <w:szCs w:val="28"/>
          <w:lang w:val="lt-LT"/>
        </w:rPr>
        <w:t>GRETA ARLAUSKAITĖ</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3 kursas, Ekonomika, Tarptautinė ekonomika</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4"/>
          <w:szCs w:val="24"/>
          <w:lang w:val="lt-LT"/>
        </w:rPr>
      </w:pPr>
      <w:r w:rsidRPr="00A1296C">
        <w:rPr>
          <w:rFonts w:ascii="Times New Roman" w:eastAsia="Times New Roman" w:hAnsi="Times New Roman" w:cs="Times New Roman"/>
          <w:b/>
          <w:sz w:val="24"/>
          <w:szCs w:val="24"/>
          <w:lang w:val="lt-LT"/>
        </w:rPr>
        <w:t>Kursinis darbas</w:t>
      </w:r>
    </w:p>
    <w:p w:rsidR="00844A24" w:rsidRPr="00A1296C" w:rsidRDefault="00844A24" w:rsidP="002F4CA1">
      <w:pPr>
        <w:pStyle w:val="ListParagraph"/>
        <w:shd w:val="clear" w:color="auto" w:fill="FFFFFF"/>
        <w:spacing w:after="0" w:line="360" w:lineRule="auto"/>
        <w:ind w:left="0"/>
        <w:jc w:val="center"/>
        <w:rPr>
          <w:rFonts w:ascii="Times New Roman" w:eastAsia="Times New Roman" w:hAnsi="Times New Roman" w:cs="Times New Roman"/>
          <w:b/>
          <w:sz w:val="28"/>
          <w:szCs w:val="28"/>
          <w:lang w:val="lt-LT"/>
        </w:rPr>
      </w:pPr>
      <w:r w:rsidRPr="00A1296C">
        <w:rPr>
          <w:rFonts w:ascii="Times New Roman" w:hAnsi="Times New Roman" w:cs="Times New Roman"/>
          <w:b/>
          <w:color w:val="222222"/>
          <w:sz w:val="28"/>
          <w:szCs w:val="28"/>
          <w:shd w:val="clear" w:color="auto" w:fill="FFFFFF"/>
          <w:lang w:val="lt-LT"/>
        </w:rPr>
        <w:t>KULTŪROS IR MENO PLĖTOJIMAS ES SOCIALINĖJE EKONOMINĖJE ERDVĖJE: TENDENCIJOS IR PLĖTRAI SKIRTI EKONOMINIAI SPRENDIMAI</w:t>
      </w:r>
    </w:p>
    <w:p w:rsidR="00844A24" w:rsidRPr="00A1296C" w:rsidRDefault="00844A24" w:rsidP="00A1296C">
      <w:pPr>
        <w:pStyle w:val="ListParagraph"/>
        <w:shd w:val="clear" w:color="auto" w:fill="FFFFFF"/>
        <w:spacing w:after="0" w:line="360" w:lineRule="auto"/>
        <w:ind w:left="1080"/>
        <w:jc w:val="both"/>
        <w:rPr>
          <w:rFonts w:ascii="Times New Roman" w:eastAsia="Times New Roman" w:hAnsi="Times New Roman" w:cs="Times New Roman"/>
          <w:sz w:val="24"/>
          <w:szCs w:val="24"/>
          <w:lang w:val="lt-LT"/>
        </w:rPr>
      </w:pPr>
    </w:p>
    <w:p w:rsidR="00844A24" w:rsidRPr="00A1296C" w:rsidRDefault="00844A24" w:rsidP="00A1296C">
      <w:pPr>
        <w:pStyle w:val="ListParagraph"/>
        <w:shd w:val="clear" w:color="auto" w:fill="FFFFFF"/>
        <w:spacing w:after="0" w:line="360" w:lineRule="auto"/>
        <w:ind w:left="1080"/>
        <w:jc w:val="both"/>
        <w:rPr>
          <w:rFonts w:ascii="Times New Roman" w:eastAsia="Times New Roman" w:hAnsi="Times New Roman" w:cs="Times New Roman"/>
          <w:sz w:val="24"/>
          <w:szCs w:val="24"/>
          <w:lang w:val="lt-LT"/>
        </w:rPr>
      </w:pPr>
    </w:p>
    <w:p w:rsidR="00844A24" w:rsidRPr="00A1296C" w:rsidRDefault="00844A24" w:rsidP="00A1296C">
      <w:pPr>
        <w:pStyle w:val="ListParagraph"/>
        <w:shd w:val="clear" w:color="auto" w:fill="FFFFFF"/>
        <w:spacing w:after="0" w:line="360" w:lineRule="auto"/>
        <w:ind w:left="1080"/>
        <w:jc w:val="both"/>
        <w:rPr>
          <w:rFonts w:ascii="Times New Roman" w:eastAsia="Times New Roman" w:hAnsi="Times New Roman" w:cs="Times New Roman"/>
          <w:sz w:val="24"/>
          <w:szCs w:val="24"/>
          <w:lang w:val="lt-LT"/>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5040"/>
      </w:tblGrid>
      <w:tr w:rsidR="00844A24" w:rsidRPr="00A1296C" w:rsidTr="005C0D04">
        <w:tc>
          <w:tcPr>
            <w:tcW w:w="4770" w:type="dxa"/>
            <w:shd w:val="clear" w:color="auto" w:fill="auto"/>
            <w:vAlign w:val="bottom"/>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Leidžiama ginti________________</w:t>
            </w:r>
          </w:p>
        </w:tc>
        <w:tc>
          <w:tcPr>
            <w:tcW w:w="5040" w:type="dxa"/>
            <w:shd w:val="clear" w:color="auto" w:fill="auto"/>
            <w:vAlign w:val="bottom"/>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Studentas _____________________________</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0"/>
                <w:szCs w:val="20"/>
                <w:lang w:val="lt-LT"/>
              </w:rPr>
            </w:pPr>
            <w:r w:rsidRPr="00A1296C">
              <w:rPr>
                <w:rFonts w:ascii="Times New Roman" w:eastAsia="Times New Roman" w:hAnsi="Times New Roman" w:cs="Times New Roman"/>
                <w:sz w:val="24"/>
                <w:szCs w:val="24"/>
                <w:lang w:val="lt-LT"/>
              </w:rPr>
              <w:t xml:space="preserve">                                     </w:t>
            </w:r>
            <w:r w:rsidRPr="00A1296C">
              <w:rPr>
                <w:rFonts w:ascii="Times New Roman" w:eastAsia="Times New Roman" w:hAnsi="Times New Roman" w:cs="Times New Roman"/>
                <w:sz w:val="20"/>
                <w:szCs w:val="20"/>
                <w:lang w:val="lt-LT"/>
              </w:rPr>
              <w:t>(parašas)</w:t>
            </w: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 xml:space="preserve">                                      </w:t>
            </w:r>
            <w:r w:rsidRPr="00A1296C">
              <w:rPr>
                <w:rFonts w:ascii="Times New Roman" w:eastAsia="Times New Roman" w:hAnsi="Times New Roman" w:cs="Times New Roman"/>
                <w:sz w:val="20"/>
                <w:szCs w:val="20"/>
                <w:lang w:val="lt-LT"/>
              </w:rPr>
              <w:t>(parašas)</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 xml:space="preserve">Darbo vadovas </w:t>
            </w:r>
            <w:r w:rsidRPr="00A1296C">
              <w:rPr>
                <w:rFonts w:ascii="Times New Roman" w:eastAsia="Times New Roman" w:hAnsi="Times New Roman" w:cs="Times New Roman"/>
                <w:sz w:val="24"/>
                <w:szCs w:val="24"/>
                <w:u w:val="single"/>
                <w:lang w:val="lt-LT"/>
              </w:rPr>
              <w:t>prof. habil. Dr. Borisas Melnikas</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 xml:space="preserve">Katedros vedėjas </w:t>
            </w:r>
            <w:r w:rsidRPr="00A1296C">
              <w:rPr>
                <w:rFonts w:ascii="Times New Roman" w:eastAsia="Times New Roman" w:hAnsi="Times New Roman" w:cs="Times New Roman"/>
                <w:sz w:val="24"/>
                <w:szCs w:val="24"/>
                <w:u w:val="single"/>
                <w:lang w:val="lt-LT"/>
              </w:rPr>
              <w:t>Algirdas Miškinis</w:t>
            </w: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_______________________________________</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0"/>
                <w:szCs w:val="20"/>
                <w:lang w:val="lt-LT"/>
              </w:rPr>
              <w:t xml:space="preserve">                                             </w:t>
            </w: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0"/>
                <w:szCs w:val="20"/>
                <w:lang w:val="lt-LT"/>
              </w:rPr>
              <w:t xml:space="preserve">                                           (parašas)</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Darbo įteikimo data _______________________</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Registracijos Nr. _____________</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A1296C">
            <w:pPr>
              <w:pStyle w:val="ListParagraph"/>
              <w:shd w:val="clear" w:color="auto" w:fill="FFFFFF"/>
              <w:tabs>
                <w:tab w:val="left" w:pos="5865"/>
              </w:tabs>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Darbo įvertinimas _________________________</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2F4CA1">
            <w:pPr>
              <w:pStyle w:val="ListParagraph"/>
              <w:shd w:val="clear" w:color="auto" w:fill="FFFFFF"/>
              <w:tabs>
                <w:tab w:val="left" w:pos="5865"/>
              </w:tabs>
              <w:ind w:left="0"/>
              <w:jc w:val="center"/>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0"/>
                <w:szCs w:val="20"/>
                <w:lang w:val="lt-LT"/>
              </w:rPr>
              <w:t>(data, įvertinimo balas, komisijos pirmininko parašas)</w:t>
            </w:r>
          </w:p>
        </w:tc>
      </w:tr>
      <w:tr w:rsidR="00844A24" w:rsidRPr="00A1296C" w:rsidTr="005C0D04">
        <w:tc>
          <w:tcPr>
            <w:tcW w:w="4770" w:type="dxa"/>
            <w:shd w:val="clear" w:color="auto" w:fill="auto"/>
          </w:tcPr>
          <w:p w:rsidR="00844A24" w:rsidRPr="00A1296C" w:rsidRDefault="00844A24" w:rsidP="00A1296C">
            <w:pPr>
              <w:pStyle w:val="ListParagraph"/>
              <w:spacing w:line="360" w:lineRule="auto"/>
              <w:ind w:left="0"/>
              <w:jc w:val="both"/>
              <w:rPr>
                <w:rFonts w:ascii="Times New Roman" w:eastAsia="Times New Roman" w:hAnsi="Times New Roman" w:cs="Times New Roman"/>
                <w:sz w:val="24"/>
                <w:szCs w:val="24"/>
                <w:lang w:val="lt-LT"/>
              </w:rPr>
            </w:pPr>
          </w:p>
        </w:tc>
        <w:tc>
          <w:tcPr>
            <w:tcW w:w="5040" w:type="dxa"/>
            <w:shd w:val="clear" w:color="auto" w:fill="auto"/>
          </w:tcPr>
          <w:p w:rsidR="00844A24" w:rsidRPr="00A1296C" w:rsidRDefault="00844A24" w:rsidP="00A1296C">
            <w:pPr>
              <w:pStyle w:val="ListParagraph"/>
              <w:shd w:val="clear" w:color="auto" w:fill="FFFFFF"/>
              <w:tabs>
                <w:tab w:val="left" w:pos="5865"/>
              </w:tabs>
              <w:ind w:left="0"/>
              <w:jc w:val="both"/>
              <w:rPr>
                <w:rFonts w:ascii="Times New Roman" w:eastAsia="Times New Roman" w:hAnsi="Times New Roman" w:cs="Times New Roman"/>
                <w:sz w:val="24"/>
                <w:szCs w:val="24"/>
                <w:lang w:val="lt-LT"/>
              </w:rPr>
            </w:pPr>
          </w:p>
        </w:tc>
      </w:tr>
    </w:tbl>
    <w:p w:rsidR="00844A24" w:rsidRDefault="00844A24" w:rsidP="00A1296C">
      <w:pPr>
        <w:pStyle w:val="ListParagraph"/>
        <w:shd w:val="clear" w:color="auto" w:fill="FFFFFF"/>
        <w:tabs>
          <w:tab w:val="left" w:pos="5865"/>
        </w:tabs>
        <w:spacing w:after="0" w:line="240" w:lineRule="auto"/>
        <w:ind w:left="0"/>
        <w:jc w:val="both"/>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 xml:space="preserve">                                           </w:t>
      </w:r>
      <w:r w:rsidRPr="00A1296C">
        <w:rPr>
          <w:rFonts w:ascii="Times New Roman" w:eastAsia="Times New Roman" w:hAnsi="Times New Roman" w:cs="Times New Roman"/>
          <w:sz w:val="20"/>
          <w:szCs w:val="20"/>
          <w:lang w:val="lt-LT"/>
        </w:rPr>
        <w:t xml:space="preserve">        </w:t>
      </w:r>
      <w:r w:rsidRPr="00A1296C">
        <w:rPr>
          <w:rFonts w:ascii="Times New Roman" w:eastAsia="Times New Roman" w:hAnsi="Times New Roman" w:cs="Times New Roman"/>
          <w:sz w:val="24"/>
          <w:szCs w:val="24"/>
          <w:lang w:val="lt-LT"/>
        </w:rPr>
        <w:t xml:space="preserve">                         </w:t>
      </w:r>
    </w:p>
    <w:p w:rsidR="002F4CA1" w:rsidRDefault="002F4CA1" w:rsidP="00A1296C">
      <w:pPr>
        <w:pStyle w:val="ListParagraph"/>
        <w:shd w:val="clear" w:color="auto" w:fill="FFFFFF"/>
        <w:tabs>
          <w:tab w:val="left" w:pos="5865"/>
        </w:tabs>
        <w:spacing w:after="0" w:line="240" w:lineRule="auto"/>
        <w:ind w:left="0"/>
        <w:jc w:val="both"/>
        <w:rPr>
          <w:rFonts w:ascii="Times New Roman" w:eastAsia="Times New Roman" w:hAnsi="Times New Roman" w:cs="Times New Roman"/>
          <w:sz w:val="24"/>
          <w:szCs w:val="24"/>
          <w:lang w:val="lt-LT"/>
        </w:rPr>
      </w:pPr>
    </w:p>
    <w:p w:rsidR="002F4CA1" w:rsidRPr="00A1296C" w:rsidRDefault="002F4CA1" w:rsidP="00A1296C">
      <w:pPr>
        <w:pStyle w:val="ListParagraph"/>
        <w:shd w:val="clear" w:color="auto" w:fill="FFFFFF"/>
        <w:tabs>
          <w:tab w:val="left" w:pos="5865"/>
        </w:tabs>
        <w:spacing w:after="0" w:line="240" w:lineRule="auto"/>
        <w:ind w:left="0"/>
        <w:jc w:val="both"/>
        <w:rPr>
          <w:rFonts w:ascii="Times New Roman" w:eastAsia="Times New Roman" w:hAnsi="Times New Roman" w:cs="Times New Roman"/>
          <w:sz w:val="24"/>
          <w:szCs w:val="24"/>
          <w:lang w:val="lt-LT"/>
        </w:rPr>
      </w:pPr>
    </w:p>
    <w:p w:rsidR="00844A24" w:rsidRPr="00A1296C" w:rsidRDefault="00844A24" w:rsidP="00A1296C">
      <w:pPr>
        <w:pStyle w:val="ListParagraph"/>
        <w:shd w:val="clear" w:color="auto" w:fill="FFFFFF"/>
        <w:spacing w:after="0" w:line="240" w:lineRule="auto"/>
        <w:ind w:left="0"/>
        <w:jc w:val="both"/>
        <w:rPr>
          <w:rFonts w:ascii="Times New Roman" w:eastAsia="Times New Roman" w:hAnsi="Times New Roman" w:cs="Times New Roman"/>
          <w:sz w:val="24"/>
          <w:szCs w:val="24"/>
          <w:lang w:val="lt-LT"/>
        </w:rPr>
      </w:pPr>
    </w:p>
    <w:p w:rsidR="00844A24" w:rsidRDefault="00844A24" w:rsidP="002F4CA1">
      <w:pPr>
        <w:pStyle w:val="ListParagraph"/>
        <w:shd w:val="clear" w:color="auto" w:fill="FFFFFF"/>
        <w:spacing w:after="0" w:line="240" w:lineRule="auto"/>
        <w:ind w:left="0"/>
        <w:jc w:val="center"/>
        <w:rPr>
          <w:rFonts w:ascii="Times New Roman" w:eastAsia="Times New Roman" w:hAnsi="Times New Roman" w:cs="Times New Roman"/>
          <w:sz w:val="24"/>
          <w:szCs w:val="24"/>
          <w:lang w:val="lt-LT"/>
        </w:rPr>
      </w:pPr>
      <w:r w:rsidRPr="00A1296C">
        <w:rPr>
          <w:rFonts w:ascii="Times New Roman" w:eastAsia="Times New Roman" w:hAnsi="Times New Roman" w:cs="Times New Roman"/>
          <w:sz w:val="24"/>
          <w:szCs w:val="24"/>
          <w:lang w:val="lt-LT"/>
        </w:rPr>
        <w:t>Vilnius, 2016</w:t>
      </w:r>
    </w:p>
    <w:p w:rsidR="002F4CA1" w:rsidRPr="002F4CA1" w:rsidRDefault="002F4CA1" w:rsidP="002F4CA1">
      <w:pPr>
        <w:pStyle w:val="ListParagraph"/>
        <w:shd w:val="clear" w:color="auto" w:fill="FFFFFF"/>
        <w:spacing w:after="0" w:line="240" w:lineRule="auto"/>
        <w:ind w:left="0"/>
        <w:jc w:val="center"/>
        <w:rPr>
          <w:rFonts w:ascii="Times New Roman" w:eastAsia="Times New Roman" w:hAnsi="Times New Roman" w:cs="Times New Roman"/>
          <w:sz w:val="24"/>
          <w:szCs w:val="24"/>
          <w:lang w:val="lt-LT"/>
        </w:rPr>
      </w:pPr>
    </w:p>
    <w:p w:rsidR="00844A24" w:rsidRPr="00A1296C" w:rsidRDefault="00844A24" w:rsidP="00A1296C">
      <w:pPr>
        <w:jc w:val="center"/>
        <w:rPr>
          <w:rFonts w:ascii="Times New Roman" w:hAnsi="Times New Roman" w:cs="Times New Roman"/>
          <w:b/>
          <w:sz w:val="24"/>
          <w:szCs w:val="24"/>
          <w:lang w:val="lt-LT"/>
        </w:rPr>
      </w:pPr>
      <w:r w:rsidRPr="00A1296C">
        <w:rPr>
          <w:rFonts w:ascii="Times New Roman" w:hAnsi="Times New Roman" w:cs="Times New Roman"/>
          <w:b/>
          <w:sz w:val="24"/>
          <w:szCs w:val="24"/>
          <w:lang w:val="lt-LT"/>
        </w:rPr>
        <w:lastRenderedPageBreak/>
        <w:t>TURINYS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48"/>
        <w:gridCol w:w="539"/>
      </w:tblGrid>
      <w:tr w:rsidR="00844A24" w:rsidRPr="00A1296C" w:rsidTr="00B8490A">
        <w:tc>
          <w:tcPr>
            <w:tcW w:w="9648" w:type="dxa"/>
          </w:tcPr>
          <w:p w:rsidR="00844A24" w:rsidRPr="00A1296C" w:rsidRDefault="00844A24" w:rsidP="005A38FD">
            <w:pPr>
              <w:spacing w:line="360" w:lineRule="auto"/>
              <w:jc w:val="both"/>
              <w:rPr>
                <w:rFonts w:ascii="Times New Roman" w:hAnsi="Times New Roman" w:cs="Times New Roman"/>
                <w:sz w:val="24"/>
                <w:szCs w:val="24"/>
                <w:lang w:val="lt-LT"/>
              </w:rPr>
            </w:pPr>
            <w:r w:rsidRPr="00A1296C">
              <w:rPr>
                <w:rFonts w:ascii="Times New Roman" w:hAnsi="Times New Roman" w:cs="Times New Roman"/>
                <w:sz w:val="24"/>
                <w:szCs w:val="24"/>
                <w:lang w:val="lt-LT"/>
              </w:rPr>
              <w:t>ĮVADAS</w:t>
            </w:r>
            <w:r w:rsidR="00E87007">
              <w:rPr>
                <w:rFonts w:ascii="Times New Roman" w:hAnsi="Times New Roman" w:cs="Times New Roman"/>
                <w:sz w:val="24"/>
                <w:szCs w:val="24"/>
                <w:lang w:val="lt-LT"/>
              </w:rPr>
              <w:t>..............................................................................................................................................</w:t>
            </w:r>
          </w:p>
        </w:tc>
        <w:tc>
          <w:tcPr>
            <w:tcW w:w="539" w:type="dxa"/>
            <w:vAlign w:val="bottom"/>
          </w:tcPr>
          <w:p w:rsidR="00844A24" w:rsidRPr="00A1296C" w:rsidRDefault="00E87007"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3</w:t>
            </w:r>
          </w:p>
        </w:tc>
      </w:tr>
      <w:tr w:rsidR="00844A24" w:rsidRPr="00A1296C" w:rsidTr="00B8490A">
        <w:tc>
          <w:tcPr>
            <w:tcW w:w="9648" w:type="dxa"/>
          </w:tcPr>
          <w:p w:rsidR="00844A24" w:rsidRPr="00A1296C" w:rsidRDefault="00844A24" w:rsidP="00B8490A">
            <w:pPr>
              <w:pStyle w:val="ListParagraph"/>
              <w:numPr>
                <w:ilvl w:val="0"/>
                <w:numId w:val="2"/>
              </w:numPr>
              <w:spacing w:line="360" w:lineRule="auto"/>
              <w:ind w:left="270" w:hanging="270"/>
              <w:jc w:val="both"/>
              <w:rPr>
                <w:rFonts w:ascii="Times New Roman" w:hAnsi="Times New Roman" w:cs="Times New Roman"/>
                <w:sz w:val="24"/>
                <w:szCs w:val="24"/>
                <w:lang w:val="lt-LT"/>
              </w:rPr>
            </w:pPr>
            <w:r w:rsidRPr="00A1296C">
              <w:rPr>
                <w:rFonts w:ascii="Times New Roman" w:hAnsi="Times New Roman" w:cs="Times New Roman"/>
                <w:sz w:val="24"/>
                <w:szCs w:val="24"/>
                <w:lang w:val="lt-LT"/>
              </w:rPr>
              <w:t>TEORINĖ STUDIJA,</w:t>
            </w:r>
            <w:r w:rsidR="00B8490A">
              <w:rPr>
                <w:rFonts w:ascii="Times New Roman" w:hAnsi="Times New Roman" w:cs="Times New Roman"/>
                <w:sz w:val="24"/>
                <w:szCs w:val="24"/>
                <w:lang w:val="lt-LT"/>
              </w:rPr>
              <w:t xml:space="preserve"> SKIRTA EKONOMINIAMS SPRENDIMAMS, ORIENTUOTIEMS Į KULTŪROS IR MENO PLĖTOJIMĄ ES SOCIALINĖJE EKONOMINĖJE ERDVĖJE</w:t>
            </w:r>
            <w:r w:rsidRPr="00A1296C">
              <w:rPr>
                <w:rFonts w:ascii="Times New Roman" w:hAnsi="Times New Roman" w:cs="Times New Roman"/>
                <w:sz w:val="24"/>
                <w:szCs w:val="24"/>
                <w:lang w:val="lt-LT"/>
              </w:rPr>
              <w:t>.</w:t>
            </w:r>
            <w:r w:rsidR="00525893">
              <w:rPr>
                <w:rFonts w:ascii="Times New Roman" w:hAnsi="Times New Roman" w:cs="Times New Roman"/>
                <w:sz w:val="24"/>
                <w:szCs w:val="24"/>
                <w:lang w:val="lt-LT"/>
              </w:rPr>
              <w:t>..........................................</w:t>
            </w:r>
            <w:r w:rsidR="00B8490A">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844A24" w:rsidRPr="00A1296C" w:rsidTr="00B8490A">
        <w:tc>
          <w:tcPr>
            <w:tcW w:w="9648" w:type="dxa"/>
          </w:tcPr>
          <w:p w:rsidR="00844A24" w:rsidRPr="00A1296C" w:rsidRDefault="00B8490A" w:rsidP="00B8490A">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Šiuolaikinė</w:t>
            </w:r>
            <w:r w:rsidR="00844A24" w:rsidRPr="00A1296C">
              <w:rPr>
                <w:rFonts w:ascii="Times New Roman" w:hAnsi="Times New Roman" w:cs="Times New Roman"/>
                <w:sz w:val="24"/>
                <w:szCs w:val="24"/>
                <w:lang w:val="lt-LT"/>
              </w:rPr>
              <w:t xml:space="preserve"> kultūros ir meno samprata,</w:t>
            </w:r>
            <w:r>
              <w:rPr>
                <w:rFonts w:ascii="Times New Roman" w:hAnsi="Times New Roman" w:cs="Times New Roman"/>
                <w:sz w:val="24"/>
                <w:szCs w:val="24"/>
                <w:lang w:val="lt-LT"/>
              </w:rPr>
              <w:t xml:space="preserve"> jos pritaikymas ES socialinės, kultūrinės,</w:t>
            </w:r>
            <w:r w:rsidR="00844A24" w:rsidRPr="00A1296C">
              <w:rPr>
                <w:rFonts w:ascii="Times New Roman" w:hAnsi="Times New Roman" w:cs="Times New Roman"/>
                <w:sz w:val="24"/>
                <w:szCs w:val="24"/>
                <w:lang w:val="lt-LT"/>
              </w:rPr>
              <w:t xml:space="preserve"> ekonominės </w:t>
            </w:r>
            <w:r>
              <w:rPr>
                <w:rFonts w:ascii="Times New Roman" w:hAnsi="Times New Roman" w:cs="Times New Roman"/>
                <w:sz w:val="24"/>
                <w:szCs w:val="24"/>
                <w:lang w:val="lt-LT"/>
              </w:rPr>
              <w:t>raidos</w:t>
            </w:r>
            <w:r w:rsidR="00844A24" w:rsidRPr="00A1296C">
              <w:rPr>
                <w:rFonts w:ascii="Times New Roman" w:hAnsi="Times New Roman" w:cs="Times New Roman"/>
                <w:sz w:val="24"/>
                <w:szCs w:val="24"/>
                <w:lang w:val="lt-LT"/>
              </w:rPr>
              <w:t xml:space="preserve"> sąlygomis.</w:t>
            </w:r>
            <w:r w:rsidR="00525893">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844A24" w:rsidRPr="00A1296C" w:rsidTr="00B8490A">
        <w:tc>
          <w:tcPr>
            <w:tcW w:w="9648" w:type="dxa"/>
          </w:tcPr>
          <w:p w:rsidR="00844A24" w:rsidRPr="00A1296C" w:rsidRDefault="00A1296C" w:rsidP="00CE0673">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Šiuol</w:t>
            </w:r>
            <w:r w:rsidR="00CE0673">
              <w:rPr>
                <w:rFonts w:ascii="Times New Roman" w:hAnsi="Times New Roman" w:cs="Times New Roman"/>
                <w:sz w:val="24"/>
                <w:szCs w:val="24"/>
                <w:lang w:val="lt-LT"/>
              </w:rPr>
              <w:t>aikinės kultūros ir meno raidos</w:t>
            </w:r>
            <w:r w:rsidR="00B8490A">
              <w:rPr>
                <w:rFonts w:ascii="Times New Roman" w:hAnsi="Times New Roman" w:cs="Times New Roman"/>
                <w:sz w:val="24"/>
                <w:szCs w:val="24"/>
                <w:lang w:val="lt-LT"/>
              </w:rPr>
              <w:t xml:space="preserve"> ES socialinėje ekonominėje erdvėje</w:t>
            </w:r>
            <w:r>
              <w:rPr>
                <w:rFonts w:ascii="Times New Roman" w:hAnsi="Times New Roman" w:cs="Times New Roman"/>
                <w:sz w:val="24"/>
                <w:szCs w:val="24"/>
                <w:lang w:val="lt-LT"/>
              </w:rPr>
              <w:t xml:space="preserve"> problemos ir poreikis jas spręsti ekonominėmis priemonėmis.</w:t>
            </w:r>
            <w:r w:rsidR="00525893">
              <w:rPr>
                <w:rFonts w:ascii="Times New Roman" w:hAnsi="Times New Roman" w:cs="Times New Roman"/>
                <w:sz w:val="24"/>
                <w:szCs w:val="24"/>
                <w:lang w:val="lt-LT"/>
              </w:rPr>
              <w:t>.......................................................</w:t>
            </w:r>
            <w:r w:rsidR="00B8490A">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8</w:t>
            </w:r>
          </w:p>
        </w:tc>
      </w:tr>
      <w:tr w:rsidR="00844A24" w:rsidRPr="00A1296C" w:rsidTr="00B8490A">
        <w:tc>
          <w:tcPr>
            <w:tcW w:w="9648" w:type="dxa"/>
          </w:tcPr>
          <w:p w:rsidR="00A1296C" w:rsidRPr="00A1296C" w:rsidRDefault="00A1296C" w:rsidP="005A38FD">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Šiuolaikiniai požiūriai į kultūros ir meno raidos aktyvinimą</w:t>
            </w:r>
            <w:r w:rsidR="00B8490A">
              <w:rPr>
                <w:rFonts w:ascii="Times New Roman" w:hAnsi="Times New Roman" w:cs="Times New Roman"/>
                <w:sz w:val="24"/>
                <w:szCs w:val="24"/>
                <w:lang w:val="lt-LT"/>
              </w:rPr>
              <w:t xml:space="preserve"> ES socialinėje ekonominėje erdvėje</w:t>
            </w:r>
            <w:r>
              <w:rPr>
                <w:rFonts w:ascii="Times New Roman" w:hAnsi="Times New Roman" w:cs="Times New Roman"/>
                <w:sz w:val="24"/>
                <w:szCs w:val="24"/>
                <w:lang w:val="lt-LT"/>
              </w:rPr>
              <w:t>, p</w:t>
            </w:r>
            <w:r w:rsidR="00B8490A">
              <w:rPr>
                <w:rFonts w:ascii="Times New Roman" w:hAnsi="Times New Roman" w:cs="Times New Roman"/>
                <w:sz w:val="24"/>
                <w:szCs w:val="24"/>
                <w:lang w:val="lt-LT"/>
              </w:rPr>
              <w:t>anaudojant ekonomines priemones</w:t>
            </w:r>
            <w:r w:rsidR="00525893">
              <w:rPr>
                <w:rFonts w:ascii="Times New Roman" w:hAnsi="Times New Roman" w:cs="Times New Roman"/>
                <w:sz w:val="24"/>
                <w:szCs w:val="24"/>
                <w:lang w:val="lt-LT"/>
              </w:rPr>
              <w:t>........................................</w:t>
            </w:r>
            <w:r w:rsidR="00B8490A">
              <w:rPr>
                <w:rFonts w:ascii="Times New Roman" w:hAnsi="Times New Roman" w:cs="Times New Roman"/>
                <w:sz w:val="24"/>
                <w:szCs w:val="24"/>
                <w:lang w:val="lt-LT"/>
              </w:rPr>
              <w:t>..........</w:t>
            </w:r>
            <w:r w:rsidR="005A38FD">
              <w:rPr>
                <w:rFonts w:ascii="Times New Roman" w:hAnsi="Times New Roman" w:cs="Times New Roman"/>
                <w:sz w:val="24"/>
                <w:szCs w:val="24"/>
                <w:lang w:val="lt-LT"/>
              </w:rPr>
              <w:t>........</w:t>
            </w:r>
            <w:r w:rsidR="00525893">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11</w:t>
            </w:r>
          </w:p>
        </w:tc>
      </w:tr>
      <w:tr w:rsidR="00844A24" w:rsidRPr="00A1296C" w:rsidTr="00B8490A">
        <w:tc>
          <w:tcPr>
            <w:tcW w:w="9648" w:type="dxa"/>
          </w:tcPr>
          <w:p w:rsidR="00844A24" w:rsidRPr="00A1296C" w:rsidRDefault="00A1296C" w:rsidP="005A38FD">
            <w:pPr>
              <w:pStyle w:val="ListParagraph"/>
              <w:numPr>
                <w:ilvl w:val="0"/>
                <w:numId w:val="2"/>
              </w:numPr>
              <w:spacing w:line="360" w:lineRule="auto"/>
              <w:ind w:left="270" w:hanging="270"/>
              <w:jc w:val="both"/>
              <w:rPr>
                <w:rFonts w:ascii="Times New Roman" w:hAnsi="Times New Roman" w:cs="Times New Roman"/>
                <w:sz w:val="24"/>
                <w:szCs w:val="24"/>
                <w:lang w:val="lt-LT"/>
              </w:rPr>
            </w:pPr>
            <w:r>
              <w:rPr>
                <w:rFonts w:ascii="Times New Roman" w:hAnsi="Times New Roman" w:cs="Times New Roman"/>
                <w:sz w:val="24"/>
                <w:szCs w:val="24"/>
                <w:lang w:val="lt-LT"/>
              </w:rPr>
              <w:t>EMPIRINIAI TYRIMAI, SKIRTI KULTŪROS IR MENO PLĖTOJIMUI ES SOCIALINĖJE EKONOMINĖJE ERDVĖJE.</w:t>
            </w:r>
            <w:r w:rsidR="00525893">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14</w:t>
            </w:r>
          </w:p>
        </w:tc>
      </w:tr>
      <w:tr w:rsidR="00844A24" w:rsidRPr="00A1296C" w:rsidTr="00B8490A">
        <w:tc>
          <w:tcPr>
            <w:tcW w:w="9648" w:type="dxa"/>
          </w:tcPr>
          <w:p w:rsidR="00844A24" w:rsidRPr="00525893" w:rsidRDefault="00525893" w:rsidP="00B8490A">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Ekonominių – stat</w:t>
            </w:r>
            <w:r w:rsidR="00B8490A">
              <w:rPr>
                <w:rFonts w:ascii="Times New Roman" w:hAnsi="Times New Roman" w:cs="Times New Roman"/>
                <w:sz w:val="24"/>
                <w:szCs w:val="24"/>
                <w:lang w:val="lt-LT"/>
              </w:rPr>
              <w:t>istinių duomenų analizė, skirta bendrosioms</w:t>
            </w:r>
            <w:r>
              <w:rPr>
                <w:rFonts w:ascii="Times New Roman" w:hAnsi="Times New Roman" w:cs="Times New Roman"/>
                <w:sz w:val="24"/>
                <w:szCs w:val="24"/>
                <w:lang w:val="lt-LT"/>
              </w:rPr>
              <w:t xml:space="preserve"> kultūros ir meno</w:t>
            </w:r>
            <w:r w:rsidR="00B8490A">
              <w:rPr>
                <w:rFonts w:ascii="Times New Roman" w:hAnsi="Times New Roman" w:cs="Times New Roman"/>
                <w:sz w:val="24"/>
                <w:szCs w:val="24"/>
                <w:lang w:val="lt-LT"/>
              </w:rPr>
              <w:t xml:space="preserve"> raidos ES socialinėje ekonominėje erdvėje tendencijoms.......................</w:t>
            </w:r>
            <w:r>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14</w:t>
            </w:r>
          </w:p>
        </w:tc>
      </w:tr>
      <w:tr w:rsidR="00844A24" w:rsidRPr="00A1296C" w:rsidTr="00B8490A">
        <w:tc>
          <w:tcPr>
            <w:tcW w:w="9648" w:type="dxa"/>
          </w:tcPr>
          <w:p w:rsidR="00844A24" w:rsidRPr="00525893" w:rsidRDefault="00525893" w:rsidP="00B8490A">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ES struktūrinių fondų</w:t>
            </w:r>
            <w:r w:rsidR="00B8490A">
              <w:rPr>
                <w:rFonts w:ascii="Times New Roman" w:hAnsi="Times New Roman" w:cs="Times New Roman"/>
                <w:sz w:val="24"/>
                <w:szCs w:val="24"/>
                <w:lang w:val="lt-LT"/>
              </w:rPr>
              <w:t xml:space="preserve"> panaudojimui plėtojant kultūrą ir meną skirtas tyrimas..............................................</w:t>
            </w:r>
            <w:r>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16</w:t>
            </w:r>
          </w:p>
        </w:tc>
      </w:tr>
      <w:tr w:rsidR="00844A24" w:rsidRPr="00A1296C" w:rsidTr="00B8490A">
        <w:tc>
          <w:tcPr>
            <w:tcW w:w="9648" w:type="dxa"/>
          </w:tcPr>
          <w:p w:rsidR="00844A24" w:rsidRPr="00E87007" w:rsidRDefault="00E87007" w:rsidP="00B8490A">
            <w:pPr>
              <w:pStyle w:val="ListParagraph"/>
              <w:numPr>
                <w:ilvl w:val="1"/>
                <w:numId w:val="2"/>
              </w:numPr>
              <w:spacing w:line="360" w:lineRule="auto"/>
              <w:ind w:left="810" w:hanging="450"/>
              <w:jc w:val="both"/>
              <w:rPr>
                <w:rFonts w:ascii="Times New Roman" w:hAnsi="Times New Roman" w:cs="Times New Roman"/>
                <w:sz w:val="24"/>
                <w:szCs w:val="24"/>
                <w:lang w:val="lt-LT"/>
              </w:rPr>
            </w:pPr>
            <w:r>
              <w:rPr>
                <w:rFonts w:ascii="Times New Roman" w:hAnsi="Times New Roman" w:cs="Times New Roman"/>
                <w:sz w:val="24"/>
                <w:szCs w:val="24"/>
                <w:lang w:val="lt-LT"/>
              </w:rPr>
              <w:t>K</w:t>
            </w:r>
            <w:r w:rsidRPr="001F2A25">
              <w:rPr>
                <w:rFonts w:ascii="Times New Roman" w:hAnsi="Times New Roman" w:cs="Times New Roman"/>
                <w:sz w:val="24"/>
                <w:szCs w:val="24"/>
                <w:lang w:val="lt-LT"/>
              </w:rPr>
              <w:t xml:space="preserve">ultūros ir meno </w:t>
            </w:r>
            <w:r w:rsidR="00B8490A">
              <w:rPr>
                <w:rFonts w:ascii="Times New Roman" w:hAnsi="Times New Roman" w:cs="Times New Roman"/>
                <w:sz w:val="24"/>
                <w:szCs w:val="24"/>
                <w:lang w:val="lt-LT"/>
              </w:rPr>
              <w:t>plėtrai Baltijos šalyse skirtas tyrimas......................................................................</w:t>
            </w:r>
            <w:r>
              <w:rPr>
                <w:rFonts w:ascii="Times New Roman" w:hAnsi="Times New Roman" w:cs="Times New Roman"/>
                <w:sz w:val="24"/>
                <w:szCs w:val="24"/>
                <w:lang w:val="lt-LT"/>
              </w:rPr>
              <w:t>.............................................................</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21</w:t>
            </w:r>
          </w:p>
        </w:tc>
      </w:tr>
      <w:tr w:rsidR="00844A24" w:rsidRPr="00A1296C" w:rsidTr="00B8490A">
        <w:tc>
          <w:tcPr>
            <w:tcW w:w="9648" w:type="dxa"/>
          </w:tcPr>
          <w:p w:rsidR="00844A24" w:rsidRPr="00E87007" w:rsidRDefault="00E87007" w:rsidP="005A38FD">
            <w:pPr>
              <w:pStyle w:val="ListParagraph"/>
              <w:numPr>
                <w:ilvl w:val="0"/>
                <w:numId w:val="2"/>
              </w:numPr>
              <w:spacing w:line="360" w:lineRule="auto"/>
              <w:ind w:left="270" w:hanging="270"/>
              <w:jc w:val="both"/>
              <w:rPr>
                <w:rFonts w:ascii="Times New Roman" w:hAnsi="Times New Roman" w:cs="Times New Roman"/>
                <w:sz w:val="24"/>
                <w:szCs w:val="24"/>
                <w:lang w:val="lt-LT"/>
              </w:rPr>
            </w:pPr>
            <w:r>
              <w:rPr>
                <w:rFonts w:ascii="Times New Roman" w:hAnsi="Times New Roman" w:cs="Times New Roman"/>
                <w:sz w:val="24"/>
                <w:szCs w:val="24"/>
                <w:lang w:val="lt-LT"/>
              </w:rPr>
              <w:t>EKONOMINIAI SPRENDIMAI, SKIRTI KULTŪROS IR MENO PLĖTOJIMUI ES SOCIALINĖJE EKONOMINĖJE ERDVĖJE................................................................................</w:t>
            </w:r>
          </w:p>
        </w:tc>
        <w:tc>
          <w:tcPr>
            <w:tcW w:w="539" w:type="dxa"/>
            <w:vAlign w:val="bottom"/>
          </w:tcPr>
          <w:p w:rsidR="00844A24" w:rsidRPr="00A1296C" w:rsidRDefault="00277CCC"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24</w:t>
            </w:r>
          </w:p>
        </w:tc>
      </w:tr>
      <w:tr w:rsidR="00844A24" w:rsidRPr="00A1296C" w:rsidTr="00B8490A">
        <w:tc>
          <w:tcPr>
            <w:tcW w:w="9648" w:type="dxa"/>
          </w:tcPr>
          <w:p w:rsidR="00844A24" w:rsidRPr="00A1296C" w:rsidRDefault="00E87007" w:rsidP="005A38FD">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IŠVADOS IR PASIŪLYMAI.............................................................................................................</w:t>
            </w:r>
          </w:p>
        </w:tc>
        <w:tc>
          <w:tcPr>
            <w:tcW w:w="539" w:type="dxa"/>
            <w:vAlign w:val="bottom"/>
          </w:tcPr>
          <w:p w:rsidR="00844A24" w:rsidRPr="00A1296C" w:rsidRDefault="00A128AA"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26</w:t>
            </w:r>
          </w:p>
        </w:tc>
      </w:tr>
      <w:tr w:rsidR="00844A24" w:rsidRPr="00A1296C" w:rsidTr="00B8490A">
        <w:tc>
          <w:tcPr>
            <w:tcW w:w="9648" w:type="dxa"/>
          </w:tcPr>
          <w:p w:rsidR="00844A24" w:rsidRPr="00A1296C" w:rsidRDefault="00E87007" w:rsidP="005A38FD">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SANTRAUKA....................................................................................................................................</w:t>
            </w:r>
          </w:p>
        </w:tc>
        <w:tc>
          <w:tcPr>
            <w:tcW w:w="539" w:type="dxa"/>
            <w:vAlign w:val="bottom"/>
          </w:tcPr>
          <w:p w:rsidR="00844A24" w:rsidRPr="00A1296C" w:rsidRDefault="00A128AA"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28</w:t>
            </w:r>
          </w:p>
        </w:tc>
      </w:tr>
      <w:tr w:rsidR="00E87007" w:rsidRPr="00A1296C" w:rsidTr="00B8490A">
        <w:tc>
          <w:tcPr>
            <w:tcW w:w="9648" w:type="dxa"/>
          </w:tcPr>
          <w:p w:rsidR="00E87007" w:rsidRPr="00A1296C" w:rsidRDefault="00E87007" w:rsidP="005A38FD">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LITERATŪROS IR ŠALTINIŲ SĄRAŠAS......................................................................................</w:t>
            </w:r>
          </w:p>
        </w:tc>
        <w:tc>
          <w:tcPr>
            <w:tcW w:w="539" w:type="dxa"/>
            <w:vAlign w:val="bottom"/>
          </w:tcPr>
          <w:p w:rsidR="00E87007" w:rsidRPr="00A1296C" w:rsidRDefault="00A128AA" w:rsidP="005A38FD">
            <w:pPr>
              <w:spacing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29</w:t>
            </w:r>
          </w:p>
        </w:tc>
      </w:tr>
    </w:tbl>
    <w:p w:rsidR="00844A24" w:rsidRDefault="00844A24" w:rsidP="00A1296C">
      <w:pPr>
        <w:spacing w:line="360" w:lineRule="auto"/>
        <w:jc w:val="both"/>
        <w:rPr>
          <w:lang w:val="lt-LT"/>
        </w:rPr>
      </w:pPr>
    </w:p>
    <w:p w:rsidR="00BF6344" w:rsidRDefault="00BF6344" w:rsidP="00A1296C">
      <w:pPr>
        <w:spacing w:line="360" w:lineRule="auto"/>
        <w:jc w:val="both"/>
        <w:rPr>
          <w:lang w:val="lt-LT"/>
        </w:rPr>
      </w:pPr>
    </w:p>
    <w:p w:rsidR="00BF6344" w:rsidRDefault="00BF6344" w:rsidP="00A1296C">
      <w:pPr>
        <w:spacing w:line="360" w:lineRule="auto"/>
        <w:jc w:val="both"/>
        <w:rPr>
          <w:lang w:val="lt-LT"/>
        </w:rPr>
      </w:pPr>
    </w:p>
    <w:p w:rsidR="00BF6344" w:rsidRDefault="00BF6344" w:rsidP="00A1296C">
      <w:pPr>
        <w:spacing w:line="360" w:lineRule="auto"/>
        <w:jc w:val="both"/>
        <w:rPr>
          <w:lang w:val="lt-LT"/>
        </w:rPr>
      </w:pPr>
    </w:p>
    <w:p w:rsidR="00B8490A" w:rsidRDefault="00B8490A" w:rsidP="00A1296C">
      <w:pPr>
        <w:spacing w:line="360" w:lineRule="auto"/>
        <w:jc w:val="both"/>
        <w:rPr>
          <w:lang w:val="lt-LT"/>
        </w:rPr>
      </w:pPr>
    </w:p>
    <w:p w:rsidR="00BF6344" w:rsidRDefault="00BF6344" w:rsidP="00A1296C">
      <w:pPr>
        <w:spacing w:line="360" w:lineRule="auto"/>
        <w:jc w:val="both"/>
        <w:rPr>
          <w:lang w:val="lt-LT"/>
        </w:rPr>
      </w:pPr>
    </w:p>
    <w:p w:rsidR="00BF6344" w:rsidRPr="001F2A25" w:rsidRDefault="00BF6344" w:rsidP="00BF6344">
      <w:pPr>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lastRenderedPageBreak/>
        <w:t>ĮVADAS</w:t>
      </w:r>
    </w:p>
    <w:p w:rsidR="00BF6344" w:rsidRPr="001F2A25" w:rsidRDefault="00BF6344" w:rsidP="00BF6344">
      <w:pPr>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ab/>
      </w:r>
    </w:p>
    <w:p w:rsidR="00BF6344" w:rsidRPr="001F2A25" w:rsidRDefault="00BF6344" w:rsidP="00BF63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Šiuolaikinėje visuomenėje vis didesnę reikšmę žmonės teikia įvairių kultūrų ir meno pažinimui, tai sąlygoja globalizacijos ir internacionalizacijos veiksniai. Ankščiau visuomenė pažindavo kitas kultūras keliaudama, skaitydama knygas arba žiūrėdama kultūrines laidas per televiziją, tačiau šiuolaikinės technologijos leidžia domėtis užsienio kultūra daug lengvesniais būdais ir bet kokiu paros metu. Internetas mobiliuosiuose telefonuose, kompiuteriuose, netgi televizoriuose leidžia tyrinėti kultūras pagal žmogaus poreikius. </w:t>
      </w:r>
      <w:r>
        <w:rPr>
          <w:rFonts w:ascii="Times New Roman" w:hAnsi="Times New Roman" w:cs="Times New Roman"/>
          <w:sz w:val="24"/>
          <w:szCs w:val="24"/>
          <w:lang w:val="lt-LT"/>
        </w:rPr>
        <w:t xml:space="preserve">Moderni, šiuolaikinė visuomenė, tai aukštų standartų humanistikos, meno ir kultūros orientacija, kuri reikalauja kryptingos kultūros politikos. </w:t>
      </w:r>
      <w:r w:rsidRPr="001F2A25">
        <w:rPr>
          <w:rFonts w:ascii="Times New Roman" w:hAnsi="Times New Roman" w:cs="Times New Roman"/>
          <w:sz w:val="24"/>
          <w:szCs w:val="24"/>
          <w:lang w:val="lt-LT"/>
        </w:rPr>
        <w:t>Europos Sąjunga skatina valstybių kultūrinę plėtrą ir integraciją, inkultūrizaciją, kuria bendrą Europos platformą, todėl svarbu tirti ES veiklą kultūros ir meno sektoriuje.</w:t>
      </w:r>
    </w:p>
    <w:p w:rsidR="00BF6344" w:rsidRPr="001F2A25" w:rsidRDefault="00BF6344" w:rsidP="00BF63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b/>
          <w:sz w:val="24"/>
          <w:szCs w:val="24"/>
          <w:lang w:val="lt-LT"/>
        </w:rPr>
        <w:t>Darbo tikslas</w:t>
      </w:r>
      <w:r w:rsidRPr="001F2A25">
        <w:rPr>
          <w:rFonts w:ascii="Times New Roman" w:hAnsi="Times New Roman" w:cs="Times New Roman"/>
          <w:sz w:val="24"/>
          <w:szCs w:val="24"/>
          <w:lang w:val="lt-LT"/>
        </w:rPr>
        <w:t xml:space="preserve"> </w:t>
      </w:r>
      <w:r w:rsidRPr="001F2A25">
        <w:rPr>
          <w:rFonts w:ascii="Times New Roman" w:eastAsia="Times New Roman" w:hAnsi="Times New Roman" w:cs="Times New Roman"/>
          <w:sz w:val="24"/>
          <w:szCs w:val="24"/>
          <w:lang w:val="lt-LT"/>
        </w:rPr>
        <w:t>–</w:t>
      </w:r>
      <w:r w:rsidRPr="001F2A25">
        <w:rPr>
          <w:rFonts w:ascii="Times New Roman" w:hAnsi="Times New Roman" w:cs="Times New Roman"/>
          <w:sz w:val="24"/>
          <w:szCs w:val="24"/>
          <w:lang w:val="lt-LT"/>
        </w:rPr>
        <w:t xml:space="preserve"> </w:t>
      </w:r>
      <w:r>
        <w:rPr>
          <w:rFonts w:ascii="Times New Roman" w:hAnsi="Times New Roman" w:cs="Times New Roman"/>
          <w:sz w:val="24"/>
          <w:szCs w:val="24"/>
          <w:lang w:val="lt-LT"/>
        </w:rPr>
        <w:t>išnagrinėti ku</w:t>
      </w:r>
      <w:r w:rsidR="00B8490A">
        <w:rPr>
          <w:rFonts w:ascii="Times New Roman" w:hAnsi="Times New Roman" w:cs="Times New Roman"/>
          <w:sz w:val="24"/>
          <w:szCs w:val="24"/>
          <w:lang w:val="lt-LT"/>
        </w:rPr>
        <w:t>ltūros ir meno raidos tendecijas</w:t>
      </w:r>
      <w:r>
        <w:rPr>
          <w:rFonts w:ascii="Times New Roman" w:hAnsi="Times New Roman" w:cs="Times New Roman"/>
          <w:sz w:val="24"/>
          <w:szCs w:val="24"/>
          <w:lang w:val="lt-LT"/>
        </w:rPr>
        <w:t xml:space="preserve"> ir parengti ekonominius sprendimus, skirtus plėtoti kultūros ir meno sektorių ES socialinėje ekonominėje erdvėje.</w:t>
      </w:r>
    </w:p>
    <w:p w:rsidR="00BF6344" w:rsidRPr="001F2A25" w:rsidRDefault="00BF6344" w:rsidP="00BF63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b/>
          <w:sz w:val="24"/>
          <w:szCs w:val="24"/>
          <w:lang w:val="lt-LT"/>
        </w:rPr>
        <w:t>Darbo uždaviniai</w:t>
      </w:r>
      <w:r w:rsidRPr="001F2A25">
        <w:rPr>
          <w:rFonts w:ascii="Times New Roman" w:hAnsi="Times New Roman" w:cs="Times New Roman"/>
          <w:sz w:val="24"/>
          <w:szCs w:val="24"/>
          <w:lang w:val="lt-LT"/>
        </w:rPr>
        <w:t>:</w:t>
      </w:r>
    </w:p>
    <w:p w:rsidR="00BF6344" w:rsidRPr="001F2A25" w:rsidRDefault="00BF6344" w:rsidP="00BF6344">
      <w:pPr>
        <w:pStyle w:val="ListParagraph"/>
        <w:numPr>
          <w:ilvl w:val="0"/>
          <w:numId w:val="3"/>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išnagrinėjus skirtingų autorių pateiktas kultūros ir meno sąvokas</w:t>
      </w:r>
      <w:r>
        <w:rPr>
          <w:rFonts w:ascii="Times New Roman" w:hAnsi="Times New Roman" w:cs="Times New Roman"/>
          <w:sz w:val="24"/>
          <w:szCs w:val="24"/>
          <w:lang w:val="lt-LT"/>
        </w:rPr>
        <w:t>, nustatyti jų svarbą</w:t>
      </w:r>
      <w:r w:rsidRPr="001F2A25">
        <w:rPr>
          <w:rFonts w:ascii="Times New Roman" w:hAnsi="Times New Roman" w:cs="Times New Roman"/>
          <w:sz w:val="24"/>
          <w:szCs w:val="24"/>
          <w:lang w:val="lt-LT"/>
        </w:rPr>
        <w:t xml:space="preserve"> šiuolaikinės visuomenės gyvenime;</w:t>
      </w:r>
    </w:p>
    <w:p w:rsidR="00BF6344" w:rsidRPr="001F2A25" w:rsidRDefault="00BF6344" w:rsidP="00BF6344">
      <w:pPr>
        <w:pStyle w:val="ListParagraph"/>
        <w:numPr>
          <w:ilvl w:val="0"/>
          <w:numId w:val="3"/>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nustatyti, kokių tikslų siekiama</w:t>
      </w:r>
      <w:r w:rsidR="00B8490A">
        <w:rPr>
          <w:rFonts w:ascii="Times New Roman" w:hAnsi="Times New Roman" w:cs="Times New Roman"/>
          <w:sz w:val="24"/>
          <w:szCs w:val="24"/>
          <w:lang w:val="lt-LT"/>
        </w:rPr>
        <w:t xml:space="preserve"> plėtojant kultūrą ir meną</w:t>
      </w:r>
      <w:r w:rsidRPr="001F2A25">
        <w:rPr>
          <w:rFonts w:ascii="Times New Roman" w:hAnsi="Times New Roman" w:cs="Times New Roman"/>
          <w:sz w:val="24"/>
          <w:szCs w:val="24"/>
          <w:lang w:val="lt-LT"/>
        </w:rPr>
        <w:t xml:space="preserve"> Europos Sąjungo</w:t>
      </w:r>
      <w:r w:rsidR="00B8490A">
        <w:rPr>
          <w:rFonts w:ascii="Times New Roman" w:hAnsi="Times New Roman" w:cs="Times New Roman"/>
          <w:sz w:val="24"/>
          <w:szCs w:val="24"/>
          <w:lang w:val="lt-LT"/>
        </w:rPr>
        <w:t>je</w:t>
      </w:r>
      <w:r w:rsidRPr="001F2A25">
        <w:rPr>
          <w:rFonts w:ascii="Times New Roman" w:hAnsi="Times New Roman" w:cs="Times New Roman"/>
          <w:sz w:val="24"/>
          <w:szCs w:val="24"/>
          <w:lang w:val="lt-LT"/>
        </w:rPr>
        <w:t>;</w:t>
      </w:r>
    </w:p>
    <w:p w:rsidR="00BF6344" w:rsidRPr="001F2A25" w:rsidRDefault="00BF6344" w:rsidP="00BF6344">
      <w:pPr>
        <w:pStyle w:val="ListParagraph"/>
        <w:numPr>
          <w:ilvl w:val="0"/>
          <w:numId w:val="3"/>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nustatyti, kokios struktūrinės paramos programos ir iniciatyvos vykdomos Europos Sąjungoje, </w:t>
      </w:r>
      <w:r w:rsidR="00B8490A">
        <w:rPr>
          <w:rFonts w:ascii="Times New Roman" w:hAnsi="Times New Roman" w:cs="Times New Roman"/>
          <w:sz w:val="24"/>
          <w:szCs w:val="24"/>
          <w:lang w:val="lt-LT"/>
        </w:rPr>
        <w:t>kryptingai plėtojant kultūrą ir meną ES socialinėje ekonominėje erdvėje;</w:t>
      </w:r>
    </w:p>
    <w:p w:rsidR="00BF6344" w:rsidRPr="001F2A25" w:rsidRDefault="00BF6344" w:rsidP="00BF6344">
      <w:pPr>
        <w:pStyle w:val="ListParagraph"/>
        <w:numPr>
          <w:ilvl w:val="0"/>
          <w:numId w:val="3"/>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nustatyti, kokie </w:t>
      </w:r>
      <w:r w:rsidRPr="001F2A25">
        <w:rPr>
          <w:rFonts w:ascii="Times New Roman" w:eastAsia="Times New Roman" w:hAnsi="Times New Roman" w:cs="Times New Roman"/>
          <w:sz w:val="24"/>
          <w:szCs w:val="24"/>
          <w:lang w:val="lt-LT"/>
        </w:rPr>
        <w:t>ES struktūrinės paramos pagrindu</w:t>
      </w:r>
      <w:r w:rsidR="00B8490A">
        <w:rPr>
          <w:rFonts w:ascii="Times New Roman" w:eastAsia="Times New Roman" w:hAnsi="Times New Roman" w:cs="Times New Roman"/>
          <w:sz w:val="24"/>
          <w:szCs w:val="24"/>
          <w:lang w:val="lt-LT"/>
        </w:rPr>
        <w:t xml:space="preserve"> vykdomi</w:t>
      </w:r>
      <w:r w:rsidRPr="001F2A25">
        <w:rPr>
          <w:rFonts w:ascii="Times New Roman" w:eastAsia="Times New Roman" w:hAnsi="Times New Roman" w:cs="Times New Roman"/>
          <w:sz w:val="24"/>
          <w:szCs w:val="24"/>
          <w:lang w:val="lt-LT"/>
        </w:rPr>
        <w:t xml:space="preserve"> projektai</w:t>
      </w:r>
      <w:r w:rsidR="00B8490A">
        <w:rPr>
          <w:rFonts w:ascii="Times New Roman" w:eastAsia="Times New Roman" w:hAnsi="Times New Roman" w:cs="Times New Roman"/>
          <w:sz w:val="24"/>
          <w:szCs w:val="24"/>
          <w:lang w:val="lt-LT"/>
        </w:rPr>
        <w:t xml:space="preserve">, skirti meno ir kultūros plėtrai, </w:t>
      </w:r>
      <w:r w:rsidRPr="001F2A25">
        <w:rPr>
          <w:rFonts w:ascii="Times New Roman" w:eastAsia="Times New Roman" w:hAnsi="Times New Roman" w:cs="Times New Roman"/>
          <w:sz w:val="24"/>
          <w:szCs w:val="24"/>
          <w:lang w:val="lt-LT"/>
        </w:rPr>
        <w:t xml:space="preserve"> buvo įgyvendinti arba yra įgyvendinami Lietuvoje</w:t>
      </w:r>
      <w:r w:rsidR="00B8490A">
        <w:rPr>
          <w:rFonts w:ascii="Times New Roman" w:eastAsia="Times New Roman" w:hAnsi="Times New Roman" w:cs="Times New Roman"/>
          <w:sz w:val="24"/>
          <w:szCs w:val="24"/>
          <w:lang w:val="lt-LT"/>
        </w:rPr>
        <w:t>.</w:t>
      </w:r>
      <w:r w:rsidRPr="001F2A25">
        <w:rPr>
          <w:rFonts w:ascii="Times New Roman" w:eastAsia="Times New Roman" w:hAnsi="Times New Roman" w:cs="Times New Roman"/>
          <w:sz w:val="24"/>
          <w:szCs w:val="24"/>
          <w:lang w:val="lt-LT"/>
        </w:rPr>
        <w:t> </w:t>
      </w:r>
    </w:p>
    <w:p w:rsidR="00BF6344" w:rsidRDefault="00BF6344" w:rsidP="00BF63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b/>
          <w:sz w:val="24"/>
          <w:szCs w:val="24"/>
          <w:lang w:val="lt-LT"/>
        </w:rPr>
        <w:t xml:space="preserve">Darbo metodai </w:t>
      </w:r>
      <w:r w:rsidRPr="001F2A25">
        <w:rPr>
          <w:rFonts w:ascii="Times New Roman" w:eastAsia="Times New Roman" w:hAnsi="Times New Roman" w:cs="Times New Roman"/>
          <w:b/>
          <w:sz w:val="24"/>
          <w:szCs w:val="24"/>
          <w:lang w:val="lt-LT"/>
        </w:rPr>
        <w:t>–</w:t>
      </w:r>
      <w:r w:rsidRPr="001F2A25">
        <w:rPr>
          <w:rFonts w:ascii="Times New Roman" w:hAnsi="Times New Roman" w:cs="Times New Roman"/>
          <w:sz w:val="24"/>
          <w:szCs w:val="24"/>
          <w:lang w:val="lt-LT"/>
        </w:rPr>
        <w:t xml:space="preserve"> siekiant nustatyti meno ir kultūros svarbą šiuolaikinės visuomenės gyvenime atlikta mokslinės literatūros analizė ir sintezė, siekiant nustatyti, kaip Europos Sąjungoje vykdoma meno ir kultūros plėtra, atlikta struktūrinės paramos programų kokybinė analizė.</w:t>
      </w:r>
    </w:p>
    <w:p w:rsidR="00462090" w:rsidRDefault="00462090" w:rsidP="00BF6344">
      <w:pPr>
        <w:spacing w:line="360" w:lineRule="auto"/>
        <w:ind w:firstLine="720"/>
        <w:jc w:val="both"/>
        <w:rPr>
          <w:rFonts w:ascii="Times New Roman" w:hAnsi="Times New Roman" w:cs="Times New Roman"/>
          <w:sz w:val="24"/>
          <w:szCs w:val="24"/>
          <w:lang w:val="lt-LT"/>
        </w:rPr>
      </w:pPr>
    </w:p>
    <w:p w:rsidR="00462090" w:rsidRDefault="00462090" w:rsidP="00BF6344">
      <w:pPr>
        <w:spacing w:line="360" w:lineRule="auto"/>
        <w:ind w:firstLine="720"/>
        <w:jc w:val="both"/>
        <w:rPr>
          <w:rFonts w:ascii="Times New Roman" w:hAnsi="Times New Roman" w:cs="Times New Roman"/>
          <w:sz w:val="24"/>
          <w:szCs w:val="24"/>
          <w:lang w:val="lt-LT"/>
        </w:rPr>
      </w:pPr>
    </w:p>
    <w:p w:rsidR="00462090" w:rsidRDefault="00462090" w:rsidP="00BF6344">
      <w:pPr>
        <w:spacing w:line="360" w:lineRule="auto"/>
        <w:ind w:firstLine="720"/>
        <w:jc w:val="both"/>
        <w:rPr>
          <w:rFonts w:ascii="Times New Roman" w:hAnsi="Times New Roman" w:cs="Times New Roman"/>
          <w:sz w:val="24"/>
          <w:szCs w:val="24"/>
          <w:lang w:val="lt-LT"/>
        </w:rPr>
      </w:pPr>
    </w:p>
    <w:p w:rsidR="00462090" w:rsidRDefault="00B8490A" w:rsidP="00B8490A">
      <w:pPr>
        <w:pStyle w:val="ListParagraph"/>
        <w:numPr>
          <w:ilvl w:val="0"/>
          <w:numId w:val="4"/>
        </w:numPr>
        <w:spacing w:line="360" w:lineRule="auto"/>
        <w:jc w:val="center"/>
        <w:rPr>
          <w:rFonts w:ascii="Times New Roman" w:hAnsi="Times New Roman" w:cs="Times New Roman"/>
          <w:sz w:val="24"/>
          <w:szCs w:val="24"/>
          <w:lang w:val="lt-LT"/>
        </w:rPr>
      </w:pPr>
      <w:r w:rsidRPr="00A1296C">
        <w:rPr>
          <w:rFonts w:ascii="Times New Roman" w:hAnsi="Times New Roman" w:cs="Times New Roman"/>
          <w:sz w:val="24"/>
          <w:szCs w:val="24"/>
          <w:lang w:val="lt-LT"/>
        </w:rPr>
        <w:lastRenderedPageBreak/>
        <w:t>TEORINĖ STUDIJA,</w:t>
      </w:r>
      <w:r>
        <w:rPr>
          <w:rFonts w:ascii="Times New Roman" w:hAnsi="Times New Roman" w:cs="Times New Roman"/>
          <w:sz w:val="24"/>
          <w:szCs w:val="24"/>
          <w:lang w:val="lt-LT"/>
        </w:rPr>
        <w:t xml:space="preserve"> SKIRTA EKONOMINIAMS SPRENDIMAMS, ORIENTUOTIEMS Į KULTŪROS IR MENO PLĖTOJIMĄ ES SOCIALINĖJE EKONOMINĖJE ERDVĖJE</w:t>
      </w:r>
    </w:p>
    <w:p w:rsidR="00B8490A" w:rsidRDefault="00B8490A" w:rsidP="00B8490A">
      <w:pPr>
        <w:pStyle w:val="ListParagraph"/>
        <w:spacing w:line="360" w:lineRule="auto"/>
        <w:ind w:left="630"/>
        <w:rPr>
          <w:rFonts w:ascii="Times New Roman" w:hAnsi="Times New Roman" w:cs="Times New Roman"/>
          <w:sz w:val="24"/>
          <w:szCs w:val="24"/>
          <w:lang w:val="lt-LT"/>
        </w:rPr>
      </w:pPr>
    </w:p>
    <w:p w:rsidR="00B8490A" w:rsidRPr="00B8490A" w:rsidRDefault="00B8490A" w:rsidP="00B8490A">
      <w:pPr>
        <w:pStyle w:val="ListParagraph"/>
        <w:spacing w:line="360" w:lineRule="auto"/>
        <w:ind w:left="630"/>
        <w:jc w:val="center"/>
        <w:rPr>
          <w:rFonts w:ascii="Times New Roman" w:hAnsi="Times New Roman" w:cs="Times New Roman"/>
          <w:b/>
          <w:sz w:val="24"/>
          <w:szCs w:val="24"/>
          <w:lang w:val="lt-LT"/>
        </w:rPr>
      </w:pPr>
      <w:r w:rsidRPr="00B8490A">
        <w:rPr>
          <w:rFonts w:ascii="Times New Roman" w:hAnsi="Times New Roman" w:cs="Times New Roman"/>
          <w:b/>
          <w:sz w:val="24"/>
          <w:szCs w:val="24"/>
          <w:lang w:val="lt-LT"/>
        </w:rPr>
        <w:t>1.</w:t>
      </w:r>
      <w:r>
        <w:rPr>
          <w:rFonts w:ascii="Times New Roman" w:hAnsi="Times New Roman" w:cs="Times New Roman"/>
          <w:b/>
          <w:sz w:val="24"/>
          <w:szCs w:val="24"/>
          <w:lang w:val="lt-LT"/>
        </w:rPr>
        <w:t>1</w:t>
      </w:r>
      <w:r w:rsidRPr="00B8490A">
        <w:rPr>
          <w:rFonts w:ascii="Times New Roman" w:hAnsi="Times New Roman" w:cs="Times New Roman"/>
          <w:b/>
          <w:sz w:val="24"/>
          <w:szCs w:val="24"/>
          <w:lang w:val="lt-LT"/>
        </w:rPr>
        <w:t>. Šiuolaikinė kultūros ir meno samprata, jos pritaikymas ES socialinės, kultūrinės, ekonominės raidos sąlygomis</w:t>
      </w:r>
    </w:p>
    <w:p w:rsidR="00B8490A" w:rsidRDefault="00B8490A" w:rsidP="00462090">
      <w:pPr>
        <w:shd w:val="clear" w:color="auto" w:fill="FFFFFF"/>
        <w:spacing w:after="0" w:line="360" w:lineRule="auto"/>
        <w:ind w:firstLine="720"/>
        <w:jc w:val="both"/>
        <w:rPr>
          <w:rFonts w:ascii="Times New Roman" w:hAnsi="Times New Roman" w:cs="Times New Roman"/>
          <w:sz w:val="24"/>
          <w:szCs w:val="24"/>
          <w:lang w:val="lt-LT"/>
        </w:rPr>
      </w:pPr>
    </w:p>
    <w:p w:rsidR="00462090" w:rsidRPr="001F2A25" w:rsidRDefault="00462090" w:rsidP="00462090">
      <w:pPr>
        <w:shd w:val="clear" w:color="auto" w:fill="FFFFFF"/>
        <w:spacing w:after="0"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Kiekvienos tautos išskirtinumas ir unikalumas kyla iš seniausių tradicijų, papročių bei bene svarbiausio veiksnio </w:t>
      </w:r>
      <w:r w:rsidRPr="001F2A25">
        <w:rPr>
          <w:rFonts w:ascii="Times New Roman" w:eastAsia="Times New Roman" w:hAnsi="Times New Roman" w:cs="Times New Roman"/>
          <w:sz w:val="24"/>
          <w:szCs w:val="24"/>
          <w:lang w:val="lt-LT"/>
        </w:rPr>
        <w:t>–</w:t>
      </w:r>
      <w:r w:rsidRPr="001F2A25">
        <w:rPr>
          <w:rFonts w:ascii="Times New Roman" w:hAnsi="Times New Roman" w:cs="Times New Roman"/>
          <w:sz w:val="24"/>
          <w:szCs w:val="24"/>
          <w:lang w:val="lt-LT"/>
        </w:rPr>
        <w:t xml:space="preserve"> kultūros. Architektūrinis paveldas, dainos, literatūros šaltiniai, filmai, paveikslai, šokiai, skulptūros </w:t>
      </w:r>
      <w:r w:rsidRPr="001F2A25">
        <w:rPr>
          <w:rFonts w:ascii="Times New Roman" w:eastAsia="Times New Roman" w:hAnsi="Times New Roman" w:cs="Times New Roman"/>
          <w:sz w:val="24"/>
          <w:szCs w:val="24"/>
          <w:lang w:val="lt-LT"/>
        </w:rPr>
        <w:t xml:space="preserve">– visa tai galima apibūdinti žodžiui </w:t>
      </w:r>
      <w:r w:rsidRPr="001F2A25">
        <w:rPr>
          <w:rFonts w:ascii="Times New Roman" w:eastAsia="Times New Roman" w:hAnsi="Times New Roman" w:cs="Times New Roman"/>
          <w:i/>
          <w:sz w:val="24"/>
          <w:szCs w:val="24"/>
          <w:lang w:val="lt-LT"/>
        </w:rPr>
        <w:t>kultūra</w:t>
      </w:r>
      <w:r w:rsidRPr="001F2A25">
        <w:rPr>
          <w:rFonts w:ascii="Times New Roman" w:eastAsia="Times New Roman" w:hAnsi="Times New Roman" w:cs="Times New Roman"/>
          <w:sz w:val="24"/>
          <w:szCs w:val="24"/>
          <w:lang w:val="lt-LT"/>
        </w:rPr>
        <w:t>.</w:t>
      </w:r>
      <w:r w:rsidRPr="001F2A25">
        <w:rPr>
          <w:rFonts w:ascii="Times New Roman" w:hAnsi="Times New Roman" w:cs="Times New Roman"/>
          <w:sz w:val="24"/>
          <w:szCs w:val="24"/>
          <w:lang w:val="lt-LT"/>
        </w:rPr>
        <w:t xml:space="preserve"> Pasak Pruskaus (cituojama iš Robertson 2003; Kačerauskas 2011), „Joje akumuliuoja patirtis, perduodama iš kartos į kartą, sudaro prielaidas individo ir tautos raiškai pasaulyje, paženklina jų veiklą išlikimo ženklu ir suteikia prasmę. Be kultūros sunkiai įsivaizduojama ir ekonominė pažanga“. </w:t>
      </w:r>
    </w:p>
    <w:p w:rsidR="00462090" w:rsidRDefault="00462090" w:rsidP="0046209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hAnsi="Times New Roman" w:cs="Times New Roman"/>
          <w:sz w:val="24"/>
          <w:szCs w:val="24"/>
          <w:lang w:val="lt-LT"/>
        </w:rPr>
        <w:t xml:space="preserve">Bėgant metams, kultūra ir menas ėmė užimti vis didesnę dalį žmogaus laisvalaikio ir tapo ne tik išprusimo bei aukšto intelekto požymiu, bet ir neatsiejamu mados bei stiliaus ženklu. Prie šios tendencijos puoselėjimo prisidėjo globalizacijos ir inkultūrizacijos procesai. „Visuotinė globalizacija paspartino darbo ir kapitalo mainus, suteikė tautoms pažangos ir ekonominės gerovės viltį. Ji paskatino ir spartesnius kultūrinius mainus. Pasaulio šalių kultūros praranda savo uždarumą, ribos tarp jų vis sunkiau įvardijamos, o tai savo ruožtu skatina efektyvios tarpkultūrinės komunikacijos poreikį“ (Pruskus, cituojama iš Guirdham 1999). Inkultūrizacija, tai  kultūros bruožų, papročių, manierų įsisavinimas. Šis procesas prasideda vos tik žmogui gimus, jis augdamas tyrinėja savo aplinkos kultūrą taip pats tapdamas jos dalimi, kitaip sakant, inkultūrizacija padeda žmogui socializuotis visuomenėje. Inkultūrizacijos procesas yra nenutrūkstamas visą žmogaus gyvenimą. „Nuolatinė kultūrinė praktika numato ir kuria struktūruotą reikšmių tinklą </w:t>
      </w:r>
      <w:r w:rsidRPr="001F2A25">
        <w:rPr>
          <w:rFonts w:ascii="Times New Roman" w:eastAsia="Times New Roman" w:hAnsi="Times New Roman" w:cs="Times New Roman"/>
          <w:sz w:val="24"/>
          <w:szCs w:val="24"/>
          <w:lang w:val="lt-LT"/>
        </w:rPr>
        <w:t>– interpretavimo bendruomenes, kurių pagrindas yra žmonių gebėjimas įgyti tam tikrą tarp-subjektyvaus supratimo laipsnį ir įtvirtinti kultūros tapatumo jauseną – abipusius santykius tarp kultūros praktikų ir kultūrinių (interpretavimo) bendruomenių; nei viena šių pusių negali egzistuoti viena be kitos“ (Černevičiūtė 2009; Žilinskaitė 2009).</w:t>
      </w:r>
      <w:r>
        <w:rPr>
          <w:rFonts w:ascii="Times New Roman" w:eastAsia="Times New Roman" w:hAnsi="Times New Roman" w:cs="Times New Roman"/>
          <w:sz w:val="24"/>
          <w:szCs w:val="24"/>
          <w:lang w:val="lt-LT"/>
        </w:rPr>
        <w:t xml:space="preserve"> </w:t>
      </w:r>
    </w:p>
    <w:p w:rsidR="00462090" w:rsidRDefault="00462090" w:rsidP="00462090">
      <w:pPr>
        <w:shd w:val="clear" w:color="auto" w:fill="FFFFFF"/>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Kultūros apibrėžimų yra daug ir labai įvairių, todėl Didžiosios Britanijos kultūros studijų mokslo atstovas R. Williamsas kultūrą priskyrė prie sudėtingiausių anglų kalbos žodžių. Šiam žodžiui paaiškinti jis suformulavo tris apibrėžmus:</w:t>
      </w:r>
    </w:p>
    <w:p w:rsidR="00462090" w:rsidRDefault="00462090" w:rsidP="00462090">
      <w:pPr>
        <w:pStyle w:val="ListParagraph"/>
        <w:numPr>
          <w:ilvl w:val="0"/>
          <w:numId w:val="6"/>
        </w:numPr>
        <w:shd w:val="clear" w:color="auto" w:fill="FFFFFF"/>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„Kultūra, kaip bendras intelektinis, dvasinis ir estetinis vystymosi procesas“. Taip apibūdino Vakarų Europos vystymasis, kuris apima intelektinius, estetinius dalykus, pavyzdžiui, žinomų menininkų kūryba;</w:t>
      </w:r>
    </w:p>
    <w:p w:rsidR="00462090" w:rsidRDefault="00462090" w:rsidP="00462090">
      <w:pPr>
        <w:pStyle w:val="ListParagraph"/>
        <w:numPr>
          <w:ilvl w:val="0"/>
          <w:numId w:val="6"/>
        </w:numPr>
        <w:shd w:val="clear" w:color="auto" w:fill="FFFFFF"/>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„Kultūra kaip ypatingas tautos, grupės žmonių, ar tam tikro istorinio laikotarpio gyvenimo būdas“. Taip apibūdinta Vakarų Europos visuomenės sporto ir religinių švenčių raida. Kultūra sutapatinta su gyvenimo būdu;</w:t>
      </w:r>
    </w:p>
    <w:p w:rsidR="00462090" w:rsidRPr="002B46E1" w:rsidRDefault="00462090" w:rsidP="00462090">
      <w:pPr>
        <w:pStyle w:val="ListParagraph"/>
        <w:numPr>
          <w:ilvl w:val="0"/>
          <w:numId w:val="6"/>
        </w:numPr>
        <w:shd w:val="clear" w:color="auto" w:fill="FFFFFF"/>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„Kultūra kaip intelektinė ir meninė veikla ir kultūrinė arba ženklinanti praktika“. Kultūra lyg teoriniai ar praktiniai modeliai, kurie gali kurti reikšmes. Tuo remiasi struktūralizmo ir poststruktūralizmo teorijos. (Kuprytė, 2009)</w:t>
      </w:r>
    </w:p>
    <w:p w:rsidR="00462090" w:rsidRDefault="00462090" w:rsidP="00462090">
      <w:pPr>
        <w:shd w:val="clear" w:color="auto" w:fill="FFFFFF"/>
        <w:spacing w:after="0"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Menas </w:t>
      </w:r>
      <w:r w:rsidRPr="001F2A25">
        <w:rPr>
          <w:rFonts w:ascii="Times New Roman" w:eastAsia="Times New Roman" w:hAnsi="Times New Roman" w:cs="Times New Roman"/>
          <w:sz w:val="24"/>
          <w:szCs w:val="24"/>
          <w:lang w:val="lt-LT"/>
        </w:rPr>
        <w:t>–</w:t>
      </w:r>
      <w:r w:rsidRPr="001F2A25">
        <w:rPr>
          <w:rFonts w:ascii="Times New Roman" w:hAnsi="Times New Roman" w:cs="Times New Roman"/>
          <w:sz w:val="24"/>
          <w:szCs w:val="24"/>
          <w:lang w:val="lt-LT"/>
        </w:rPr>
        <w:t xml:space="preserve"> žmogaus kūrybinės veiklos estetinė/sensualinė (grožinė/jutiminė) išraiška. (gr. technemenas, amatas, mokėjimas) (Tarptautinių žodžių žodynas, 2008). Menas apima skulptūrą, architektūrą, dizainą, fotografiją, kiną, dailę, muziką, teatro meną, judesio meną... Atsiranda vis naujesnių ir originalesnių meno sričių, kas daro visuomenę modernesnę ir šiuolaikiškesnę, tačiau meno šaknys kilusios iš gūdžios senovės, garsiausi pasaulio filosofai, teoretikai išskirdavo meno svarbą visuomenei ir atskirai žmogui. Skirtingomis epochomis menas buvo lyginamas su grožiu, susižavėjimu, krikščionybe, gyvenimo pažinimo prasme, aukščiausiomis dvasinėmis vertybėmis, dorovingumo ugdymo vaidmeniu, ypatingos pažintinės galios ir išraiškos vaidmeniu kultūroje ir dar daugeliu kitų veiksnių.  Pagrindines meno epochų tendencijas ir autorius susistemino I. Gaižutytė savo disertacijoje. (Kuprytė 2009). Ši sistema pavaizduota 1 lentelėje. </w:t>
      </w:r>
    </w:p>
    <w:p w:rsidR="002F5B2E" w:rsidRPr="001F2A25" w:rsidRDefault="002F5B2E" w:rsidP="00462090">
      <w:pPr>
        <w:shd w:val="clear" w:color="auto" w:fill="FFFFFF"/>
        <w:spacing w:after="0" w:line="360" w:lineRule="auto"/>
        <w:ind w:firstLine="720"/>
        <w:jc w:val="both"/>
        <w:rPr>
          <w:rFonts w:ascii="Times New Roman" w:hAnsi="Times New Roman" w:cs="Times New Roman"/>
          <w:sz w:val="24"/>
          <w:szCs w:val="24"/>
          <w:lang w:val="lt-LT"/>
        </w:rPr>
      </w:pPr>
    </w:p>
    <w:p w:rsidR="00462090" w:rsidRPr="001F2A25" w:rsidRDefault="00462090" w:rsidP="00462090">
      <w:pPr>
        <w:shd w:val="clear" w:color="auto" w:fill="FFFFFF"/>
        <w:spacing w:after="0" w:line="360" w:lineRule="auto"/>
        <w:ind w:firstLine="720"/>
        <w:jc w:val="center"/>
        <w:rPr>
          <w:rFonts w:ascii="Times New Roman" w:hAnsi="Times New Roman" w:cs="Times New Roman"/>
          <w:b/>
          <w:sz w:val="24"/>
          <w:szCs w:val="24"/>
          <w:lang w:val="lt-LT"/>
        </w:rPr>
      </w:pPr>
      <w:r w:rsidRPr="001F2A25">
        <w:rPr>
          <w:rFonts w:ascii="Times New Roman" w:hAnsi="Times New Roman" w:cs="Times New Roman"/>
          <w:sz w:val="24"/>
          <w:szCs w:val="24"/>
          <w:lang w:val="lt-LT"/>
        </w:rPr>
        <w:t xml:space="preserve">1 lentelė. </w:t>
      </w:r>
      <w:r w:rsidRPr="001F2A25">
        <w:rPr>
          <w:rFonts w:ascii="Times New Roman" w:hAnsi="Times New Roman" w:cs="Times New Roman"/>
          <w:b/>
          <w:sz w:val="24"/>
          <w:szCs w:val="24"/>
          <w:lang w:val="lt-LT"/>
        </w:rPr>
        <w:t>Pagrindinės meno epochų tendencijos</w:t>
      </w:r>
    </w:p>
    <w:tbl>
      <w:tblPr>
        <w:tblStyle w:val="TableGrid"/>
        <w:tblW w:w="0" w:type="auto"/>
        <w:tblLook w:val="04A0"/>
      </w:tblPr>
      <w:tblGrid>
        <w:gridCol w:w="2538"/>
        <w:gridCol w:w="2250"/>
        <w:gridCol w:w="5399"/>
      </w:tblGrid>
      <w:tr w:rsidR="00462090" w:rsidRPr="001F2A25" w:rsidTr="005C0D04">
        <w:tc>
          <w:tcPr>
            <w:tcW w:w="2538" w:type="dxa"/>
            <w:vAlign w:val="center"/>
          </w:tcPr>
          <w:p w:rsidR="00462090" w:rsidRPr="001F2A25" w:rsidRDefault="00462090" w:rsidP="005C0D04">
            <w:pPr>
              <w:spacing w:line="360" w:lineRule="auto"/>
              <w:jc w:val="center"/>
              <w:rPr>
                <w:rFonts w:ascii="Times New Roman" w:hAnsi="Times New Roman" w:cs="Times New Roman"/>
                <w:b/>
                <w:lang w:val="lt-LT"/>
              </w:rPr>
            </w:pPr>
            <w:r w:rsidRPr="001F2A25">
              <w:rPr>
                <w:rFonts w:ascii="Times New Roman" w:hAnsi="Times New Roman" w:cs="Times New Roman"/>
                <w:b/>
                <w:lang w:val="lt-LT"/>
              </w:rPr>
              <w:t>Teorijos / metodologinės orientacijos</w:t>
            </w:r>
          </w:p>
        </w:tc>
        <w:tc>
          <w:tcPr>
            <w:tcW w:w="2250" w:type="dxa"/>
            <w:vAlign w:val="center"/>
          </w:tcPr>
          <w:p w:rsidR="00462090" w:rsidRPr="001F2A25" w:rsidRDefault="00462090" w:rsidP="005C0D04">
            <w:pPr>
              <w:spacing w:line="360" w:lineRule="auto"/>
              <w:jc w:val="center"/>
              <w:rPr>
                <w:rFonts w:ascii="Times New Roman" w:hAnsi="Times New Roman" w:cs="Times New Roman"/>
                <w:b/>
                <w:lang w:val="lt-LT"/>
              </w:rPr>
            </w:pPr>
            <w:r w:rsidRPr="001F2A25">
              <w:rPr>
                <w:rFonts w:ascii="Times New Roman" w:hAnsi="Times New Roman" w:cs="Times New Roman"/>
                <w:b/>
                <w:lang w:val="lt-LT"/>
              </w:rPr>
              <w:t xml:space="preserve">Pagrindiniai autoriai, </w:t>
            </w:r>
            <w:r w:rsidRPr="001F2A25">
              <w:rPr>
                <w:rFonts w:ascii="Times New Roman" w:hAnsi="Times New Roman" w:cs="Times New Roman"/>
                <w:b/>
                <w:lang w:val="lt-LT"/>
              </w:rPr>
              <w:br/>
              <w:t>teorijų skleidėjai</w:t>
            </w:r>
          </w:p>
        </w:tc>
        <w:tc>
          <w:tcPr>
            <w:tcW w:w="5399" w:type="dxa"/>
            <w:vAlign w:val="center"/>
          </w:tcPr>
          <w:p w:rsidR="00462090" w:rsidRPr="001F2A25" w:rsidRDefault="00462090" w:rsidP="005C0D04">
            <w:pPr>
              <w:spacing w:line="360" w:lineRule="auto"/>
              <w:jc w:val="center"/>
              <w:rPr>
                <w:rFonts w:ascii="Times New Roman" w:hAnsi="Times New Roman" w:cs="Times New Roman"/>
                <w:b/>
                <w:lang w:val="lt-LT"/>
              </w:rPr>
            </w:pPr>
            <w:r w:rsidRPr="001F2A25">
              <w:rPr>
                <w:rFonts w:ascii="Times New Roman" w:hAnsi="Times New Roman" w:cs="Times New Roman"/>
                <w:b/>
                <w:lang w:val="lt-LT"/>
              </w:rPr>
              <w:t>Meno funkcijos</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Antika</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Sokratas,</w:t>
            </w:r>
            <w:r w:rsidRPr="001F2A25">
              <w:rPr>
                <w:rFonts w:ascii="Times New Roman" w:hAnsi="Times New Roman" w:cs="Times New Roman"/>
                <w:lang w:val="lt-LT"/>
              </w:rPr>
              <w:br/>
              <w:t xml:space="preserve">Aristotelis, </w:t>
            </w:r>
            <w:r w:rsidRPr="001F2A25">
              <w:rPr>
                <w:rFonts w:ascii="Times New Roman" w:hAnsi="Times New Roman" w:cs="Times New Roman"/>
                <w:lang w:val="lt-LT"/>
              </w:rPr>
              <w:br/>
              <w:t>Platonas, Plotinas</w:t>
            </w:r>
          </w:p>
        </w:tc>
        <w:tc>
          <w:tcPr>
            <w:tcW w:w="5399" w:type="dxa"/>
          </w:tcPr>
          <w:p w:rsidR="00462090" w:rsidRPr="001F2A25" w:rsidRDefault="00462090" w:rsidP="005C0D04">
            <w:pPr>
              <w:jc w:val="both"/>
              <w:rPr>
                <w:rFonts w:ascii="Times New Roman" w:eastAsia="Times New Roman" w:hAnsi="Times New Roman" w:cs="Times New Roman"/>
                <w:lang w:val="lt-LT"/>
              </w:rPr>
            </w:pP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 xml:space="preserve">– grožio realizacija, kelianti žmogaus susižavėjimą. </w:t>
            </w: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 moralinio auklėjimo stimulas.</w:t>
            </w:r>
          </w:p>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teikia aukščiausią būties pažinimą.</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Viduramžiai</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T. Akvinietis,</w:t>
            </w:r>
            <w:r w:rsidRPr="001F2A25">
              <w:rPr>
                <w:rFonts w:ascii="Times New Roman" w:hAnsi="Times New Roman" w:cs="Times New Roman"/>
                <w:lang w:val="lt-LT"/>
              </w:rPr>
              <w:br/>
              <w:t>S. Augustinas</w:t>
            </w:r>
          </w:p>
        </w:tc>
        <w:tc>
          <w:tcPr>
            <w:tcW w:w="5399" w:type="dxa"/>
          </w:tcPr>
          <w:p w:rsidR="00462090" w:rsidRPr="001F2A25" w:rsidRDefault="00462090" w:rsidP="005C0D04">
            <w:pPr>
              <w:jc w:val="both"/>
              <w:rPr>
                <w:rFonts w:ascii="Times New Roman" w:eastAsia="Times New Roman" w:hAnsi="Times New Roman" w:cs="Times New Roman"/>
                <w:lang w:val="lt-LT"/>
              </w:rPr>
            </w:pPr>
            <w:r w:rsidRPr="001F2A25">
              <w:rPr>
                <w:rFonts w:ascii="Times New Roman" w:hAnsi="Times New Roman" w:cs="Times New Roman"/>
                <w:lang w:val="lt-LT"/>
              </w:rPr>
              <w:t xml:space="preserve">Meno funkcija </w:t>
            </w:r>
            <w:r w:rsidRPr="001F2A25">
              <w:rPr>
                <w:rFonts w:ascii="Times New Roman" w:eastAsia="Times New Roman" w:hAnsi="Times New Roman" w:cs="Times New Roman"/>
                <w:lang w:val="lt-LT"/>
              </w:rPr>
              <w:t>– atvaizduoti dieviškąjį kūrybinį aktą.</w:t>
            </w:r>
          </w:p>
          <w:p w:rsidR="00462090" w:rsidRPr="001F2A25" w:rsidRDefault="00462090" w:rsidP="005C0D04">
            <w:pPr>
              <w:jc w:val="both"/>
              <w:rPr>
                <w:rFonts w:ascii="Times New Roman" w:hAnsi="Times New Roman" w:cs="Times New Roman"/>
                <w:lang w:val="lt-LT"/>
              </w:rPr>
            </w:pPr>
            <w:r w:rsidRPr="001F2A25">
              <w:rPr>
                <w:rFonts w:ascii="Times New Roman" w:eastAsia="Times New Roman" w:hAnsi="Times New Roman" w:cs="Times New Roman"/>
                <w:lang w:val="lt-LT"/>
              </w:rPr>
              <w:t>Menas priartina žmogų prie sakralinių vertybių ir dvasinio apsivalymo.</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Renesansas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Leonardo da Vinci</w:t>
            </w:r>
            <w:r w:rsidRPr="001F2A25">
              <w:rPr>
                <w:rFonts w:ascii="Times New Roman" w:hAnsi="Times New Roman" w:cs="Times New Roman"/>
                <w:lang w:val="lt-LT"/>
              </w:rPr>
              <w:br/>
              <w:t>N. Piccinni,</w:t>
            </w:r>
            <w:r w:rsidRPr="001F2A25">
              <w:rPr>
                <w:rFonts w:ascii="Times New Roman" w:hAnsi="Times New Roman" w:cs="Times New Roman"/>
                <w:lang w:val="lt-LT"/>
              </w:rPr>
              <w:br/>
              <w:t>L. B. Alberti</w:t>
            </w:r>
          </w:p>
        </w:tc>
        <w:tc>
          <w:tcPr>
            <w:tcW w:w="5399" w:type="dxa"/>
          </w:tcPr>
          <w:p w:rsidR="00462090" w:rsidRPr="001F2A25" w:rsidRDefault="00462090" w:rsidP="005C0D04">
            <w:pPr>
              <w:jc w:val="both"/>
              <w:rPr>
                <w:rFonts w:ascii="Times New Roman" w:eastAsia="Times New Roman" w:hAnsi="Times New Roman" w:cs="Times New Roman"/>
                <w:lang w:val="lt-LT"/>
              </w:rPr>
            </w:pP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 žmogiškosios kūrybos forma.</w:t>
            </w:r>
          </w:p>
          <w:p w:rsidR="00462090" w:rsidRPr="001F2A25" w:rsidRDefault="00462090" w:rsidP="005C0D04">
            <w:pPr>
              <w:jc w:val="both"/>
              <w:rPr>
                <w:rFonts w:ascii="Times New Roman" w:eastAsia="Times New Roman" w:hAnsi="Times New Roman" w:cs="Times New Roman"/>
                <w:lang w:val="lt-LT"/>
              </w:rPr>
            </w:pPr>
            <w:r w:rsidRPr="001F2A25">
              <w:rPr>
                <w:rFonts w:ascii="Times New Roman" w:hAnsi="Times New Roman" w:cs="Times New Roman"/>
                <w:lang w:val="lt-LT"/>
              </w:rPr>
              <w:t xml:space="preserve">Meno funkcija </w:t>
            </w:r>
            <w:r w:rsidRPr="001F2A25">
              <w:rPr>
                <w:rFonts w:ascii="Times New Roman" w:eastAsia="Times New Roman" w:hAnsi="Times New Roman" w:cs="Times New Roman"/>
                <w:lang w:val="lt-LT"/>
              </w:rPr>
              <w:t>– harmonizuoti asmens ir visuomenės pasaulį.</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Apšvieta</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D. Diderot</w:t>
            </w:r>
            <w:r w:rsidRPr="001F2A25">
              <w:rPr>
                <w:rFonts w:ascii="Times New Roman" w:hAnsi="Times New Roman" w:cs="Times New Roman"/>
                <w:lang w:val="lt-LT"/>
              </w:rPr>
              <w:br/>
              <w:t xml:space="preserve">Ch. Batteux, </w:t>
            </w:r>
            <w:r w:rsidRPr="001F2A25">
              <w:rPr>
                <w:rFonts w:ascii="Times New Roman" w:hAnsi="Times New Roman" w:cs="Times New Roman"/>
                <w:lang w:val="lt-LT"/>
              </w:rPr>
              <w:br/>
              <w:t>A. G. Baumgarten</w:t>
            </w:r>
          </w:p>
        </w:tc>
        <w:tc>
          <w:tcPr>
            <w:tcW w:w="5399" w:type="dxa"/>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Menas sukelia emocinį išgyvenimą.</w:t>
            </w:r>
          </w:p>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Menas teikia malonumą, praturtina žmogaus dorovę.</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Racionalizmas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R. Descartes,</w:t>
            </w:r>
            <w:r w:rsidRPr="001F2A25">
              <w:rPr>
                <w:rFonts w:ascii="Times New Roman" w:hAnsi="Times New Roman" w:cs="Times New Roman"/>
                <w:lang w:val="lt-LT"/>
              </w:rPr>
              <w:br/>
              <w:t>N. Boileu</w:t>
            </w:r>
          </w:p>
        </w:tc>
        <w:tc>
          <w:tcPr>
            <w:tcW w:w="5399"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 specifinis pažinimas, kuris remiasi proto galia.</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Iracionalizmas</w:t>
            </w:r>
          </w:p>
        </w:tc>
        <w:tc>
          <w:tcPr>
            <w:tcW w:w="2250" w:type="dxa"/>
          </w:tcPr>
          <w:p w:rsidR="00462090" w:rsidRPr="001F2A25" w:rsidRDefault="00462090" w:rsidP="005C0D04">
            <w:pPr>
              <w:pStyle w:val="ListParagraph"/>
              <w:ind w:left="0"/>
              <w:rPr>
                <w:rFonts w:ascii="Times New Roman" w:hAnsi="Times New Roman" w:cs="Times New Roman"/>
                <w:lang w:val="lt-LT"/>
              </w:rPr>
            </w:pPr>
            <w:r w:rsidRPr="001F2A25">
              <w:rPr>
                <w:rFonts w:ascii="Times New Roman" w:hAnsi="Times New Roman" w:cs="Times New Roman"/>
                <w:lang w:val="lt-LT"/>
              </w:rPr>
              <w:t>A.Schopenhauer,</w:t>
            </w:r>
            <w:r w:rsidRPr="001F2A25">
              <w:rPr>
                <w:rFonts w:ascii="Times New Roman" w:hAnsi="Times New Roman" w:cs="Times New Roman"/>
                <w:lang w:val="lt-LT"/>
              </w:rPr>
              <w:br/>
              <w:t>S. Kierkegaard,</w:t>
            </w:r>
            <w:r w:rsidRPr="001F2A25">
              <w:rPr>
                <w:rFonts w:ascii="Times New Roman" w:hAnsi="Times New Roman" w:cs="Times New Roman"/>
                <w:lang w:val="lt-LT"/>
              </w:rPr>
              <w:br/>
              <w:t>F. Nietzche</w:t>
            </w:r>
          </w:p>
        </w:tc>
        <w:tc>
          <w:tcPr>
            <w:tcW w:w="5399"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 xml:space="preserve">Meno funkcija </w:t>
            </w:r>
            <w:r w:rsidRPr="001F2A25">
              <w:rPr>
                <w:rFonts w:ascii="Times New Roman" w:eastAsia="Times New Roman" w:hAnsi="Times New Roman" w:cs="Times New Roman"/>
                <w:lang w:val="lt-LT"/>
              </w:rPr>
              <w:t>– sukelti vidinius išgyvenimus, patirti emocinę palaimą ir nirvaną.</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Empirizmas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D. Hume</w:t>
            </w:r>
          </w:p>
        </w:tc>
        <w:tc>
          <w:tcPr>
            <w:tcW w:w="5399"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Menas pratina žmogų prie nesavanaudiškų pomėgių, lavina žmogaus dorovingumą.</w:t>
            </w:r>
            <w:r w:rsidRPr="001F2A25">
              <w:rPr>
                <w:rFonts w:ascii="Times New Roman" w:hAnsi="Times New Roman" w:cs="Times New Roman"/>
                <w:lang w:val="lt-LT"/>
              </w:rPr>
              <w:br/>
              <w:t xml:space="preserve">Menas sukelia žmonių bendrus, prasmingus jausmus ir </w:t>
            </w:r>
            <w:r w:rsidRPr="001F2A25">
              <w:rPr>
                <w:rFonts w:ascii="Times New Roman" w:hAnsi="Times New Roman" w:cs="Times New Roman"/>
                <w:lang w:val="lt-LT"/>
              </w:rPr>
              <w:lastRenderedPageBreak/>
              <w:t>juos suvienija.</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lastRenderedPageBreak/>
              <w:t>Trascendencializmas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I.Kant</w:t>
            </w:r>
            <w:r w:rsidRPr="001F2A25">
              <w:rPr>
                <w:rFonts w:ascii="Times New Roman" w:hAnsi="Times New Roman" w:cs="Times New Roman"/>
                <w:lang w:val="lt-LT"/>
              </w:rPr>
              <w:br/>
            </w:r>
            <w:r w:rsidRPr="001F2A25">
              <w:rPr>
                <w:rFonts w:ascii="Times New Roman" w:hAnsi="Times New Roman" w:cs="Times New Roman"/>
                <w:lang w:val="lt-LT"/>
              </w:rPr>
              <w:br/>
              <w:t>W. Schelling</w:t>
            </w:r>
          </w:p>
        </w:tc>
        <w:tc>
          <w:tcPr>
            <w:tcW w:w="5399"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 xml:space="preserve">Menas sukelia nesuinteresuotą jausmą </w:t>
            </w:r>
            <w:r w:rsidRPr="001F2A25">
              <w:rPr>
                <w:rFonts w:ascii="Times New Roman" w:eastAsia="Times New Roman" w:hAnsi="Times New Roman" w:cs="Times New Roman"/>
                <w:lang w:val="lt-LT"/>
              </w:rPr>
              <w:t>– kūrybinių galių žaidimą žmoguje.</w:t>
            </w:r>
            <w:r w:rsidRPr="001F2A25">
              <w:rPr>
                <w:rFonts w:ascii="Times New Roman" w:eastAsia="Times New Roman" w:hAnsi="Times New Roman" w:cs="Times New Roman"/>
                <w:lang w:val="lt-LT"/>
              </w:rPr>
              <w:br/>
            </w:r>
            <w:r w:rsidRPr="001F2A25">
              <w:rPr>
                <w:rFonts w:ascii="Times New Roman" w:hAnsi="Times New Roman" w:cs="Times New Roman"/>
                <w:lang w:val="lt-LT"/>
              </w:rPr>
              <w:t>Menas atlieka žmogaus dorovinio ugdymo vaidmenį.</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Idealizmas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G. W. F. Hegel</w:t>
            </w:r>
            <w:r w:rsidRPr="001F2A25">
              <w:rPr>
                <w:rFonts w:ascii="Times New Roman" w:hAnsi="Times New Roman" w:cs="Times New Roman"/>
                <w:lang w:val="lt-LT"/>
              </w:rPr>
              <w:br/>
              <w:t>W. Schelling</w:t>
            </w:r>
          </w:p>
        </w:tc>
        <w:tc>
          <w:tcPr>
            <w:tcW w:w="5399" w:type="dxa"/>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Menas atlieka ypatingos pažintinės galios ir išraiškos vaidmenį kultūroje ir reprezentuoja istorinę individo orientaciją.</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Marksizmas ir meno sociologija</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K. H. Marx,</w:t>
            </w:r>
            <w:r w:rsidRPr="001F2A25">
              <w:rPr>
                <w:rFonts w:ascii="Times New Roman" w:hAnsi="Times New Roman" w:cs="Times New Roman"/>
                <w:lang w:val="lt-LT"/>
              </w:rPr>
              <w:br/>
              <w:t>H. Taine,</w:t>
            </w:r>
            <w:r w:rsidRPr="001F2A25">
              <w:rPr>
                <w:rFonts w:ascii="Times New Roman" w:hAnsi="Times New Roman" w:cs="Times New Roman"/>
                <w:lang w:val="lt-LT"/>
              </w:rPr>
              <w:br/>
              <w:t>P. Francastel</w:t>
            </w:r>
          </w:p>
        </w:tc>
        <w:tc>
          <w:tcPr>
            <w:tcW w:w="5399"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 xml:space="preserve">Meno funkcija </w:t>
            </w:r>
            <w:r w:rsidRPr="001F2A25">
              <w:rPr>
                <w:rFonts w:ascii="Times New Roman" w:eastAsia="Times New Roman" w:hAnsi="Times New Roman" w:cs="Times New Roman"/>
                <w:lang w:val="lt-LT"/>
              </w:rPr>
              <w:t>– tarnauti visuomenės pažangai, kaitai, atspindėti visuomenės istoriškumą.</w:t>
            </w:r>
            <w:r w:rsidRPr="001F2A25">
              <w:rPr>
                <w:rFonts w:ascii="Times New Roman" w:eastAsia="Times New Roman" w:hAnsi="Times New Roman" w:cs="Times New Roman"/>
                <w:lang w:val="lt-LT"/>
              </w:rPr>
              <w:br/>
              <w:t>Meno funkcija orientuotis socialiai ir objetyvizuoti pasaulio pažinimą.</w:t>
            </w:r>
            <w:r w:rsidRPr="001F2A25">
              <w:rPr>
                <w:rFonts w:ascii="Times New Roman" w:eastAsia="Times New Roman" w:hAnsi="Times New Roman" w:cs="Times New Roman"/>
                <w:lang w:val="lt-LT"/>
              </w:rPr>
              <w:br/>
            </w:r>
            <w:r w:rsidRPr="001F2A25">
              <w:rPr>
                <w:rFonts w:ascii="Times New Roman" w:hAnsi="Times New Roman" w:cs="Times New Roman"/>
                <w:lang w:val="lt-LT"/>
              </w:rPr>
              <w:t xml:space="preserve">Menas </w:t>
            </w:r>
            <w:r w:rsidRPr="001F2A25">
              <w:rPr>
                <w:rFonts w:ascii="Times New Roman" w:eastAsia="Times New Roman" w:hAnsi="Times New Roman" w:cs="Times New Roman"/>
                <w:lang w:val="lt-LT"/>
              </w:rPr>
              <w:t>– komunikacijos kanalas, perduodantis visuomenei svarbiausią informaciją.</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Egzistencializmas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M. Heidegger,</w:t>
            </w:r>
            <w:r w:rsidRPr="001F2A25">
              <w:rPr>
                <w:rFonts w:ascii="Times New Roman" w:hAnsi="Times New Roman" w:cs="Times New Roman"/>
                <w:lang w:val="lt-LT"/>
              </w:rPr>
              <w:br/>
              <w:t xml:space="preserve"> J. P. Sartre, K. Jaspers</w:t>
            </w:r>
          </w:p>
        </w:tc>
        <w:tc>
          <w:tcPr>
            <w:tcW w:w="5399" w:type="dxa"/>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Menas padeda atskleisti būties esmę, pajusti ir pažinti gyvenimo prasmę.</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Psichoanalitikai</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S. Freud,</w:t>
            </w:r>
            <w:r w:rsidRPr="001F2A25">
              <w:rPr>
                <w:rFonts w:ascii="Times New Roman" w:hAnsi="Times New Roman" w:cs="Times New Roman"/>
                <w:lang w:val="lt-LT"/>
              </w:rPr>
              <w:br/>
              <w:t>C.G. Jung,</w:t>
            </w:r>
            <w:r w:rsidRPr="001F2A25">
              <w:rPr>
                <w:rFonts w:ascii="Times New Roman" w:hAnsi="Times New Roman" w:cs="Times New Roman"/>
                <w:lang w:val="lt-LT"/>
              </w:rPr>
              <w:br/>
              <w:t>J.P. Weber</w:t>
            </w:r>
          </w:p>
        </w:tc>
        <w:tc>
          <w:tcPr>
            <w:tcW w:w="5399"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Menas atlieka katarsio terapiją, padedančią žmogui “išsikrauti“ emociškai, tapti nesuvaržytu, tapti “savimi”.</w:t>
            </w:r>
          </w:p>
        </w:tc>
      </w:tr>
      <w:tr w:rsidR="00462090" w:rsidRPr="001F2A25" w:rsidTr="005C0D04">
        <w:tc>
          <w:tcPr>
            <w:tcW w:w="2538" w:type="dxa"/>
            <w:vAlign w:val="center"/>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Intuityvizmas</w:t>
            </w:r>
          </w:p>
        </w:tc>
        <w:tc>
          <w:tcPr>
            <w:tcW w:w="2250" w:type="dxa"/>
          </w:tcPr>
          <w:p w:rsidR="00462090" w:rsidRPr="001F2A25" w:rsidRDefault="00462090" w:rsidP="005C0D04">
            <w:pPr>
              <w:rPr>
                <w:rFonts w:ascii="Times New Roman" w:hAnsi="Times New Roman" w:cs="Times New Roman"/>
                <w:lang w:val="lt-LT"/>
              </w:rPr>
            </w:pPr>
            <w:r w:rsidRPr="001F2A25">
              <w:rPr>
                <w:rFonts w:ascii="Times New Roman" w:hAnsi="Times New Roman" w:cs="Times New Roman"/>
                <w:lang w:val="lt-LT"/>
              </w:rPr>
              <w:t>H. Bergson,</w:t>
            </w:r>
            <w:r w:rsidRPr="001F2A25">
              <w:rPr>
                <w:rFonts w:ascii="Times New Roman" w:hAnsi="Times New Roman" w:cs="Times New Roman"/>
                <w:lang w:val="lt-LT"/>
              </w:rPr>
              <w:br/>
              <w:t>B. Croce</w:t>
            </w:r>
          </w:p>
        </w:tc>
        <w:tc>
          <w:tcPr>
            <w:tcW w:w="5399" w:type="dxa"/>
          </w:tcPr>
          <w:p w:rsidR="00462090" w:rsidRPr="001F2A25" w:rsidRDefault="00462090" w:rsidP="005C0D04">
            <w:pPr>
              <w:jc w:val="both"/>
              <w:rPr>
                <w:rFonts w:ascii="Times New Roman" w:hAnsi="Times New Roman" w:cs="Times New Roman"/>
                <w:lang w:val="lt-LT"/>
              </w:rPr>
            </w:pPr>
            <w:r w:rsidRPr="001F2A25">
              <w:rPr>
                <w:rFonts w:ascii="Times New Roman" w:hAnsi="Times New Roman" w:cs="Times New Roman"/>
                <w:lang w:val="lt-LT"/>
              </w:rPr>
              <w:t xml:space="preserve">Menui svetima nauda, jo paskirtis </w:t>
            </w:r>
            <w:r w:rsidRPr="001F2A25">
              <w:rPr>
                <w:rFonts w:ascii="Times New Roman" w:eastAsia="Times New Roman" w:hAnsi="Times New Roman" w:cs="Times New Roman"/>
                <w:lang w:val="lt-LT"/>
              </w:rPr>
              <w:t>– įprasminti aukščiausias dvasines vertybes ir žmoniškumo idealus.</w:t>
            </w:r>
          </w:p>
        </w:tc>
      </w:tr>
    </w:tbl>
    <w:p w:rsidR="00462090" w:rsidRPr="001F2A25" w:rsidRDefault="00462090" w:rsidP="00462090">
      <w:pPr>
        <w:shd w:val="clear" w:color="auto" w:fill="FFFFFF"/>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 xml:space="preserve">(šaltinis: Kuprytė (2009), </w:t>
      </w:r>
      <w:r w:rsidRPr="001F2A25">
        <w:rPr>
          <w:rFonts w:ascii="Times New Roman" w:eastAsia="Times New Roman" w:hAnsi="Times New Roman" w:cs="Times New Roman"/>
          <w:sz w:val="24"/>
          <w:szCs w:val="24"/>
          <w:lang w:val="lt-LT"/>
        </w:rPr>
        <w:t>cituojama iš Gaižutytė (2003</w:t>
      </w:r>
      <w:r w:rsidRPr="001F2A25">
        <w:rPr>
          <w:rFonts w:ascii="Times New Roman" w:hAnsi="Times New Roman" w:cs="Times New Roman"/>
          <w:color w:val="222222"/>
          <w:sz w:val="24"/>
          <w:szCs w:val="24"/>
          <w:lang w:val="lt-LT"/>
        </w:rPr>
        <w:t>))</w:t>
      </w:r>
    </w:p>
    <w:p w:rsidR="00462090" w:rsidRPr="001F2A25" w:rsidRDefault="00462090" w:rsidP="00462090">
      <w:pPr>
        <w:shd w:val="clear" w:color="auto" w:fill="FFFFFF"/>
        <w:spacing w:after="0"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„Siekiant suvokti kultūros vaidmenį šiuolaikinėje visuomenėje ir efektyvinti šiuolaikinio kultūros sektoriaus kryptingą plėtrą, tikslinga remtis šiomis pačią kultūrą bei šiuolaikinį kultūros sektorių apibūdinančiomis sąvokomis:</w:t>
      </w:r>
    </w:p>
    <w:p w:rsidR="00462090" w:rsidRPr="001F2A25" w:rsidRDefault="00462090" w:rsidP="00462090">
      <w:pPr>
        <w:pStyle w:val="ListParagraph"/>
        <w:numPr>
          <w:ilvl w:val="0"/>
          <w:numId w:val="5"/>
        </w:numPr>
        <w:shd w:val="clear" w:color="auto" w:fill="FFFFFF"/>
        <w:spacing w:after="0"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kultūra </w:t>
      </w:r>
      <w:r w:rsidRPr="001F2A25">
        <w:rPr>
          <w:rFonts w:ascii="Times New Roman" w:eastAsia="Times New Roman" w:hAnsi="Times New Roman" w:cs="Times New Roman"/>
          <w:sz w:val="24"/>
          <w:szCs w:val="24"/>
          <w:lang w:val="lt-LT"/>
        </w:rPr>
        <w:t>– tai visuomenei būdingų vertybių, gyvenimo ir socialinės veiklos modelių bei elgsenos stereotipų, normų, standartų, etalonų ir idealų sistema;</w:t>
      </w:r>
    </w:p>
    <w:p w:rsidR="00462090" w:rsidRPr="00A812F4" w:rsidRDefault="00462090" w:rsidP="00462090">
      <w:pPr>
        <w:pStyle w:val="ListParagraph"/>
        <w:numPr>
          <w:ilvl w:val="0"/>
          <w:numId w:val="5"/>
        </w:numPr>
        <w:shd w:val="clear" w:color="auto" w:fill="FFFFFF"/>
        <w:spacing w:after="0" w:line="360" w:lineRule="auto"/>
        <w:jc w:val="both"/>
        <w:rPr>
          <w:rFonts w:ascii="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kultūros sektorius – tai visuma visuomenės mastu veikiančių individų – kūrėjų bei institucijų, taip pat įstaigų ir kitokių organizacijų, kuriose yra kuriami, kaupiami ir kurių yra skleidžiami ir vartotojams pateikiami produktai, atliekantys perspektyvių ir reikšmingų visuomenei būdingų vertybių, gyvenimo ir socialinės veiklos modelių bei elgsenos stereotipų, normų, standartų, etalonų ir idealų formavimo, ugdymo, skleidimo, įtvirtinimo bei atnaujinimo funkcijas.“ (Melnikas, 2007).</w:t>
      </w:r>
    </w:p>
    <w:p w:rsidR="00462090" w:rsidRPr="00A812F4" w:rsidRDefault="00462090" w:rsidP="00462090">
      <w:pPr>
        <w:shd w:val="clear" w:color="auto" w:fill="FFFFFF"/>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Šių laikų visuomenėje menas ir kultūra įgyja komercinę reikšmę, kas būtent Lietuvai, nuo nepriklausomybės atkūrimo buvo naujiena, kadangi sovietmečiu viskas buvo grindžiama ideologija, meno kokybe. Kai planinę ekonomiką pakeitė rinkos ekonomika, požiūris į meną ir kultūrą pasikeitė, pasikeitė ir pati kultūros egzistavimo struktūra, organizacijos turėjo pačios save išsilaikyti, konkuruoti rinkoje. Menininkams, kurie nepriklauso organizacijoms, šiuolaikinėje visuomenėje dar sunkiau išlikti, reklamuotis, dar sunkiau pristatyti save užsienyje.</w:t>
      </w:r>
    </w:p>
    <w:p w:rsidR="00462090" w:rsidRPr="005A3E49" w:rsidRDefault="00462090" w:rsidP="00462090">
      <w:pPr>
        <w:shd w:val="clear" w:color="auto" w:fill="FFFFFF"/>
        <w:spacing w:after="0"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lastRenderedPageBreak/>
        <w:t xml:space="preserve">Kultūros sektoriaus raida daro įtaką visuomenės kultūros lygio augimui ir kilimui, bendrai visuomenės modernizacijai, idėjų ir vertybių kėlimui kultūros sektoriuje, produktų, sukurtų kultūros sektoriuje prieinamumui, kultūros sektoriuje sukauptų žmogiškųjų išteklių kokybės gerinimui. Šiuolaikinė visuomenė įvairių institucijų ir organizacijų pagalba yra integruojama į kultūros pažinimo procesą, o įvairių kultūros programų pagalba tiek bendru atveju valstybėms, tiek atskirai, menininkams, jų veiklai yra skiriama parama, </w:t>
      </w:r>
      <w:r w:rsidRPr="005A3E49">
        <w:rPr>
          <w:rFonts w:ascii="Times New Roman" w:hAnsi="Times New Roman" w:cs="Times New Roman"/>
          <w:sz w:val="24"/>
          <w:szCs w:val="24"/>
          <w:lang w:val="lt-LT"/>
        </w:rPr>
        <w:t xml:space="preserve">siekiant , bendro tikslo </w:t>
      </w:r>
      <w:r w:rsidRPr="005A3E49">
        <w:rPr>
          <w:rFonts w:ascii="Times New Roman" w:eastAsia="Times New Roman" w:hAnsi="Times New Roman" w:cs="Times New Roman"/>
          <w:sz w:val="24"/>
          <w:szCs w:val="24"/>
          <w:lang w:val="lt-LT"/>
        </w:rPr>
        <w:t xml:space="preserve">– </w:t>
      </w:r>
      <w:r w:rsidRPr="005A3E49">
        <w:rPr>
          <w:rFonts w:ascii="Times New Roman" w:hAnsi="Times New Roman" w:cs="Times New Roman"/>
          <w:sz w:val="24"/>
          <w:szCs w:val="24"/>
          <w:lang w:val="lt-LT"/>
        </w:rPr>
        <w:t>plėsti kultūros sektorių.</w:t>
      </w:r>
    </w:p>
    <w:p w:rsidR="00462090" w:rsidRPr="005A3E49" w:rsidRDefault="00462090" w:rsidP="00462090">
      <w:pPr>
        <w:spacing w:line="360" w:lineRule="auto"/>
        <w:ind w:firstLine="720"/>
        <w:jc w:val="both"/>
        <w:rPr>
          <w:rFonts w:ascii="Times New Roman" w:hAnsi="Times New Roman"/>
          <w:sz w:val="24"/>
          <w:szCs w:val="24"/>
          <w:lang w:val="lt-LT"/>
        </w:rPr>
      </w:pPr>
      <w:r>
        <w:rPr>
          <w:rFonts w:ascii="Times New Roman" w:hAnsi="Times New Roman"/>
          <w:sz w:val="24"/>
          <w:szCs w:val="24"/>
          <w:lang w:val="lt-LT"/>
        </w:rPr>
        <w:t>„</w:t>
      </w:r>
      <w:r w:rsidRPr="005A3E49">
        <w:rPr>
          <w:rFonts w:ascii="Times New Roman" w:hAnsi="Times New Roman"/>
          <w:sz w:val="24"/>
          <w:szCs w:val="24"/>
          <w:lang w:val="lt-LT"/>
        </w:rPr>
        <w:t>Kūrybingumas yra vienas iš labiausiai vertintinų asmens gebėjimų. Meninė kūryba turi esminę vertę, ji įvairiais būdais praturtina asmens ir visuomenės gyvenimą, yra visos žmonijos bendrakultūrinio pagrindo dalis. Kūrybos laisvė yra viena pamatinių asmens teisių, jos rezultatų sklaida – kultūros įvairovės ir atvirumo pagrindas. Kūrybingumo ir novatoriškumo skatinimas yra modernios visuomenės ir valstybės pažangos veiksnys, svarbiausias kultūr</w:t>
      </w:r>
      <w:r>
        <w:rPr>
          <w:rFonts w:ascii="Times New Roman" w:hAnsi="Times New Roman"/>
          <w:sz w:val="24"/>
          <w:szCs w:val="24"/>
          <w:lang w:val="lt-LT"/>
        </w:rPr>
        <w:t xml:space="preserve">a grįstos ekonomikos išteklius.“ (Lietuvos kultūros politikos kaitos gairės). </w:t>
      </w:r>
      <w:r w:rsidRPr="001F2A25">
        <w:rPr>
          <w:rFonts w:ascii="Times New Roman" w:hAnsi="Times New Roman" w:cs="Times New Roman"/>
          <w:sz w:val="24"/>
          <w:szCs w:val="24"/>
          <w:lang w:val="lt-LT"/>
        </w:rPr>
        <w:t>Taigi šiuolaikinėje visuomenėje, remiantis jos vertybėmis, kultūra tampa saviraiškos kalba, kuria susikalbama ne tik šalies viduje, bet ir už jos ribų, kitaip sakant kultūra yra tautų bendravimo ir bendradarbiavimo kalba.</w:t>
      </w:r>
    </w:p>
    <w:p w:rsidR="00462090" w:rsidRPr="001F2A25" w:rsidRDefault="00462090" w:rsidP="00462090">
      <w:pPr>
        <w:shd w:val="clear" w:color="auto" w:fill="FFFFFF"/>
        <w:spacing w:after="0" w:line="360" w:lineRule="auto"/>
        <w:ind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Sąjunga (ES) – po Antrojo pasaulinio karo sukurta politinė ir ekonominė 28 Europos šalių partnerystė. Bendradarbiavimą skatinanti sąjunga sukurta tam, kad įstojusios valstybės narės prekiautų tarpusavyje ir taip taptų viena nuo kitų priklausančiomis partnerėmis, o to rezultatu taptų ekonominių ir politinių konfliktų prevencija. Visa ES veikla vykdoma remiantis teisinės valstybės principais, t.y. viskas reglamentuojama sutartimis, kurias pasirašo valstybės narės. Stengiamasi, kad visos ES institucijos veiktų skaidriai ir demokratiškai, todėl didelė valdžios tenka tiesiogiai renkamam Europos Parlamentui, be to, siekiama sąjungos piliečius integruoti į politinį procesą įvairiais būdais (Europos piliečių iniciatyva, viešomis konsultacijomis, piliečių dialogais, peticijomis Europos Parlamentui, skundais).</w:t>
      </w:r>
    </w:p>
    <w:p w:rsidR="00462090" w:rsidRPr="001F2A25" w:rsidRDefault="00462090" w:rsidP="00462090">
      <w:pPr>
        <w:shd w:val="clear" w:color="auto" w:fill="FFFFFF"/>
        <w:spacing w:after="0" w:line="360" w:lineRule="auto"/>
        <w:ind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 xml:space="preserve">Kultūrą ES prižiūri ir reguliuoja Europos Parlamento Kultūros ir švietimo komitetas, Europos Sąjungos Taryba, Europos Komisija, Regionų komitetas bei ES agentūros. „ES siekia išsaugoti bendrą Europos kultūros paveldą, padėti užtikrinti, kad jis būtų pasiekiamas visiems, remti ir skatinti menus ir kūrybos sektorių Europoje.“   (Kultūra Europos Sąjungoje. Prieiga per internetą </w:t>
      </w:r>
      <w:hyperlink r:id="rId7" w:history="1">
        <w:r w:rsidRPr="001F2A25">
          <w:rPr>
            <w:rStyle w:val="Hyperlink"/>
            <w:rFonts w:ascii="Times New Roman" w:eastAsia="Times New Roman" w:hAnsi="Times New Roman" w:cs="Times New Roman"/>
            <w:sz w:val="24"/>
            <w:szCs w:val="24"/>
            <w:lang w:val="lt-LT"/>
          </w:rPr>
          <w:t>http://europa.eu/pol/cult/index_lt.htm</w:t>
        </w:r>
      </w:hyperlink>
      <w:r w:rsidRPr="001F2A25">
        <w:rPr>
          <w:rFonts w:ascii="Times New Roman" w:eastAsia="Times New Roman" w:hAnsi="Times New Roman" w:cs="Times New Roman"/>
          <w:sz w:val="24"/>
          <w:szCs w:val="24"/>
          <w:lang w:val="lt-LT"/>
        </w:rPr>
        <w:t xml:space="preserve">  (žiūrėta 2016 m. balandžio 10d.)). Europos Sąjungos vykdomos politikos pagrindiniai tikslai yra valstybių plėtra ir integracija. Integraciją galima įvardinti kaip atskirų šalių bendrų planų įgyvendinimą, bendradarbiavimą, susiliejimą dėl valstybių ekonominio, politinio bei kultūrinio bendravimo. Bendradarbiavimas siekiant tikslų, susijusių su kultūra Europos Sąjungoje apima:</w:t>
      </w:r>
    </w:p>
    <w:p w:rsidR="00462090" w:rsidRPr="00B8490A" w:rsidRDefault="00462090" w:rsidP="00B8490A">
      <w:pPr>
        <w:pStyle w:val="ListParagraph"/>
        <w:numPr>
          <w:ilvl w:val="0"/>
          <w:numId w:val="24"/>
        </w:numPr>
        <w:shd w:val="clear" w:color="auto" w:fill="FFFFFF"/>
        <w:spacing w:after="0" w:line="360" w:lineRule="auto"/>
        <w:jc w:val="both"/>
        <w:rPr>
          <w:rFonts w:ascii="Times New Roman" w:eastAsia="Times New Roman" w:hAnsi="Times New Roman" w:cs="Times New Roman"/>
          <w:sz w:val="24"/>
          <w:szCs w:val="24"/>
          <w:lang w:val="lt-LT"/>
        </w:rPr>
      </w:pPr>
      <w:r w:rsidRPr="00B8490A">
        <w:rPr>
          <w:rFonts w:ascii="Times New Roman" w:eastAsia="Times New Roman" w:hAnsi="Times New Roman" w:cs="Times New Roman"/>
          <w:sz w:val="24"/>
          <w:szCs w:val="24"/>
          <w:lang w:val="lt-LT"/>
        </w:rPr>
        <w:lastRenderedPageBreak/>
        <w:t>kultūrų įvairovę ir kultūrų tarpusavio dialogus;</w:t>
      </w:r>
    </w:p>
    <w:p w:rsidR="00462090" w:rsidRPr="00B8490A" w:rsidRDefault="00462090" w:rsidP="00B8490A">
      <w:pPr>
        <w:pStyle w:val="ListParagraph"/>
        <w:numPr>
          <w:ilvl w:val="0"/>
          <w:numId w:val="24"/>
        </w:numPr>
        <w:shd w:val="clear" w:color="auto" w:fill="FFFFFF"/>
        <w:spacing w:after="0" w:line="360" w:lineRule="auto"/>
        <w:jc w:val="both"/>
        <w:rPr>
          <w:rFonts w:ascii="Times New Roman" w:eastAsia="Times New Roman" w:hAnsi="Times New Roman" w:cs="Times New Roman"/>
          <w:sz w:val="24"/>
          <w:szCs w:val="24"/>
          <w:lang w:val="lt-LT"/>
        </w:rPr>
      </w:pPr>
      <w:r w:rsidRPr="00B8490A">
        <w:rPr>
          <w:rFonts w:ascii="Times New Roman" w:eastAsia="Times New Roman" w:hAnsi="Times New Roman" w:cs="Times New Roman"/>
          <w:sz w:val="24"/>
          <w:szCs w:val="24"/>
          <w:lang w:val="lt-LT"/>
        </w:rPr>
        <w:t>kultūrą, kaip kūrybiškumo ir novatoriškumo variklį;</w:t>
      </w:r>
    </w:p>
    <w:p w:rsidR="00462090" w:rsidRPr="00B8490A" w:rsidRDefault="00462090" w:rsidP="00B8490A">
      <w:pPr>
        <w:pStyle w:val="ListParagraph"/>
        <w:numPr>
          <w:ilvl w:val="0"/>
          <w:numId w:val="24"/>
        </w:numPr>
        <w:shd w:val="clear" w:color="auto" w:fill="FFFFFF"/>
        <w:spacing w:after="0" w:line="360" w:lineRule="auto"/>
        <w:jc w:val="both"/>
        <w:rPr>
          <w:rFonts w:ascii="Times New Roman" w:eastAsia="Times New Roman" w:hAnsi="Times New Roman" w:cs="Times New Roman"/>
          <w:sz w:val="24"/>
          <w:szCs w:val="24"/>
          <w:lang w:val="lt-LT"/>
        </w:rPr>
      </w:pPr>
      <w:r w:rsidRPr="00B8490A">
        <w:rPr>
          <w:rFonts w:ascii="Times New Roman" w:eastAsia="Times New Roman" w:hAnsi="Times New Roman" w:cs="Times New Roman"/>
          <w:sz w:val="24"/>
          <w:szCs w:val="24"/>
          <w:lang w:val="lt-LT"/>
        </w:rPr>
        <w:t xml:space="preserve">kultūrą, įvardinant ją kaip Europos Sąjungos tarptautinių santykių dalį. </w:t>
      </w:r>
    </w:p>
    <w:p w:rsidR="00462090" w:rsidRPr="001F2A25" w:rsidRDefault="00462090" w:rsidP="00462090">
      <w:pPr>
        <w:shd w:val="clear" w:color="auto" w:fill="FFFFFF"/>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2007 metų gegužės mėnesį Europos Komisija įvesti kultūros darbotvarkę, pagrįstą trimis ankščiau minėtais tikslais. Valstybės, besiremdamos pirmojo rinkinio tikslais turėtų dirbti bendrų tikslų vardan, taip palaikydamos aktyvų kultūrų dialogą, kuris užtikrintų Europos Sąjungos kultūrų įvairovę. Kultūrų dialogas yra nenutraukiamas Europos Sąjungos prioritetas, o nuo tada, kai 2007 metais įsigaliojo Lisabonos sutartis, kuri iš dalies pakeitė ES sutartį, kultūrų dialogas pasidarė dar svarbesnis. Pagrindiniai kultūrų dialogo akcentai yra tokie kaip romų kultūros iniciatyva, tarpkultūrinės Europos platforma, tarpkultūrinių miestų iniciatyva, daugiakalbystė, moksliniai tyrimai, jaunimo užimtumas, išorės santykiai ir t.t. Remiantis antrojo rinkinio tikslais, dėmesys skiriamas kultūrai, kaip kūrybiškumo varomajai jėgai, kurią skatina Lisabonos augimo ir darbo vietų kūrimo strategija. Trečiojo rinkinio tikslai tai labai svarbus tarptautinių santykių elementas, kuris integruoja kultūros vaidmenį į Europos santykius tarp ES šalių narių, partnerių ir regioninių partnerių.</w:t>
      </w:r>
    </w:p>
    <w:p w:rsidR="00462090" w:rsidRPr="001F2A25" w:rsidRDefault="00462090" w:rsidP="00462090">
      <w:pPr>
        <w:shd w:val="clear" w:color="auto" w:fill="FFFFFF"/>
        <w:spacing w:after="0" w:line="360" w:lineRule="auto"/>
        <w:ind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Valstybių nacionalinės institucijos, siekdamos įvardintų tikslų, aktyviai bendradarbiauja su ES institucijomis ir  visu Europos kultūros sektoriumi. Dirbant pagal tokią sistemą, valstybės gali skirti savo atstovus į ES ekspertų grupes, kuriose nagrinėjami geriausiai pavykę nacionaliniai ir regioniniai veiklos pavyzdžiai, teikiamos rekomendacijos kitoms valstybėms, pagal padarytas išvadas ir vadovaujantis kitų šalių patirtimi. Nuo 2005 metų  Europos Sąjunga yra prisijungusi prie UNESCO konvencijos, kuri siekia apsaugoti kultūrų raiškos įvairovę ir ją skatinti, taigi ES pasirengusi kultūrą išskirti kaip vieną iš svarbiausių išorės veiksnių ir rengti naują, patobulintą, aktyvų Europos kultūros vaidmenį tarptautiniuose santykiuose. Kultūros negalima niekuo pakeisti, siekiant ES strateginių tikslų – gerovės, solidarumo ir saugumo, aktyvios tarptautinės veiklos užtikrinimo. Europos Sąjungos pagrindinių teisių chartijos 13 straipsnyje rašoma, kad „menai ir moksliniai tyrimai neturi būti varžomi“. O 22 straipsnyje ES reikalauja gerbti „kultūrų, religijų ir kalbų įvairovę“.</w:t>
      </w:r>
    </w:p>
    <w:p w:rsidR="00462090" w:rsidRPr="00313760" w:rsidRDefault="0046209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 xml:space="preserve"> </w:t>
      </w:r>
    </w:p>
    <w:p w:rsidR="00462090" w:rsidRPr="00B8490A" w:rsidRDefault="00B8490A" w:rsidP="00B8490A">
      <w:pPr>
        <w:pStyle w:val="ListParagraph"/>
        <w:numPr>
          <w:ilvl w:val="1"/>
          <w:numId w:val="23"/>
        </w:numPr>
        <w:spacing w:line="360" w:lineRule="auto"/>
        <w:jc w:val="center"/>
        <w:rPr>
          <w:rFonts w:ascii="Times New Roman" w:hAnsi="Times New Roman" w:cs="Times New Roman"/>
          <w:b/>
          <w:sz w:val="24"/>
          <w:szCs w:val="24"/>
          <w:lang w:val="lt-LT"/>
        </w:rPr>
      </w:pPr>
      <w:r w:rsidRPr="00B8490A">
        <w:rPr>
          <w:rFonts w:ascii="Times New Roman" w:hAnsi="Times New Roman" w:cs="Times New Roman"/>
          <w:b/>
          <w:sz w:val="24"/>
          <w:szCs w:val="24"/>
          <w:lang w:val="lt-LT"/>
        </w:rPr>
        <w:t>Šiuolaikinės kultūros ir meno raidos ES socialinėje ekonominėje erdvėje problemos ir poreikis jas spręsti ekonominėmis priemonėmis</w:t>
      </w:r>
    </w:p>
    <w:p w:rsidR="00313760" w:rsidRPr="001F2A25" w:rsidRDefault="00313760" w:rsidP="00313760">
      <w:pPr>
        <w:pStyle w:val="NormalWeb"/>
        <w:shd w:val="clear" w:color="auto" w:fill="FFFFFF"/>
        <w:spacing w:line="360" w:lineRule="auto"/>
        <w:ind w:firstLine="403"/>
        <w:jc w:val="both"/>
        <w:rPr>
          <w:lang w:val="lt-LT"/>
        </w:rPr>
      </w:pPr>
      <w:r w:rsidRPr="001F2A25">
        <w:rPr>
          <w:lang w:val="lt-LT"/>
        </w:rPr>
        <w:t xml:space="preserve">Šiuolaikinėje visuomenėje kultūra susiduria su įvairiais iššūkiais ir problemomis, kurios lemia poreikius kryptingai plėtoti kultūros sektorių, siekiant patikinti, kad kultūros sektoriaus plėtros būdai būtų identifikuoti pačios visuomenės ir jai suprantami, kad plėtros būdai realiai keltų visuomenės kultūros ir kultūringumo lygį, keltų visuomenės vertybių, gyvenimo būdo, standartų, idealų ir siekių </w:t>
      </w:r>
      <w:r w:rsidRPr="001F2A25">
        <w:rPr>
          <w:lang w:val="lt-LT"/>
        </w:rPr>
        <w:lastRenderedPageBreak/>
        <w:t>normas ir sistemas. „Galima teigti, jog kultūros sektoriaus raida turi būti orientuojama į pačios visuomenės kultūros lygio kėlimą, kultūros problemų sprendimą bei visuomenės modernizavimą apskritai. Aukštesnis kultūros lygis ir kokybiniai pokyčiai, charakteringi visuomenės kultūrai suvoktini kaip esminis požymis, parodantis visuomenės modernizavimą.“ (Melnikas, 2011). Lietuvoje visuomenės kūrybingumas yra priskiriamas prie valstybės tvarumo ir konkurencingumo išteklių, tai demokratijos ir laisvo asmens saviraiškos ženklas, kuris išsaugo visuomenės gebėjimus perduoti tradicijas, gebėjimus, diegti naujoves. „Šiuo metu kultūra ir menas, taip pat su kultūra susiję ekonomikos, socialinės sanglaudos, darnios aplinkos aspektai nėra tarp svarbiausių valstybės politikos prioritetų. Tai rodo kultūros finansavimo valstybės ir savivaldybių biudžetų lėšomis mastas, menkas kultūros vaidmuo įgyvendinan tarpsektorines iniciatyvas“.(Lietuvos kultūros politikos kaitos gairės). Siekiant keisti padėti į gerąją pusę reikėtų įtvirtinti kultūrą, kaip svarbią strateginės raidos kryptį ilgalaikėje Lietuvos strategijoje, kultūros politiką sujungti su kitomis valstybės politikomis, kitaip sakant, sukurti tarpinstitucinio bendradarbiavimo modelį.</w:t>
      </w:r>
    </w:p>
    <w:p w:rsidR="00313760" w:rsidRPr="001F2A25" w:rsidRDefault="00313760" w:rsidP="00313760">
      <w:pPr>
        <w:pStyle w:val="NormalWeb"/>
        <w:shd w:val="clear" w:color="auto" w:fill="FFFFFF"/>
        <w:spacing w:line="360" w:lineRule="auto"/>
        <w:ind w:firstLine="403"/>
        <w:jc w:val="both"/>
        <w:rPr>
          <w:lang w:val="lt-LT"/>
        </w:rPr>
      </w:pPr>
      <w:r w:rsidRPr="001F2A25">
        <w:rPr>
          <w:lang w:val="lt-LT"/>
        </w:rPr>
        <w:t>Siekiant plėsti kultūros sektorių kryptingai, reikia suvokti ne tik naujausius iššūkius ir problemas, visuomenės kultūros lygio augimo poreikius, bet pačios kultūros pokyčius, problemas bei raidos aktualijas, kurios charakterizuoja patį kultūros sektorių. Toks suvokimas yra būtinas, norint pagrįstai nustatyti tolimesnį kultūros raidos planą, raidos prioritetus bei argumentuotai ruošti kultūros sektoriaus pažangą skatinančius strateginius planus ir sprendimus. „Paties kultūros sektoriaus problemos, raidos aktualijos bei tolesnės plėtros ir pažangos prioritetai gali būti identifikuojami bei klasifikuojami labai įvairiai. Tačiau bet kuriuo identifikavimo ar klasifikavimo atveju gali būti išryškintos tam tikros problemos ir raidos aktualijos, bei tam tikri plėtros ir pažangos prioritetai, kuriuos galima laikyti išskirtinai reikšmingais. Tarp išskirtinai reikšmingų kultūros sektoriui būdingų problemų bei raidos aktualijų, plėtros ir pažangos prioritetų pažymėtini:</w:t>
      </w:r>
    </w:p>
    <w:p w:rsidR="00313760" w:rsidRPr="001F2A25" w:rsidRDefault="00313760" w:rsidP="00313760">
      <w:pPr>
        <w:pStyle w:val="NormalWeb"/>
        <w:numPr>
          <w:ilvl w:val="0"/>
          <w:numId w:val="16"/>
        </w:numPr>
        <w:shd w:val="clear" w:color="auto" w:fill="FFFFFF"/>
        <w:spacing w:line="360" w:lineRule="auto"/>
        <w:jc w:val="both"/>
        <w:rPr>
          <w:lang w:val="lt-LT"/>
        </w:rPr>
      </w:pPr>
      <w:r w:rsidRPr="001F2A25">
        <w:rPr>
          <w:lang w:val="lt-LT"/>
        </w:rPr>
        <w:t>kultūros sektoriuje brandinamų idėjų ir vertybių bei kuriamų produktų kokybės problemos, taip pat kokybei gerinti skirtos raidos ir pažangos aktualijos ir prioritetai;</w:t>
      </w:r>
    </w:p>
    <w:p w:rsidR="00313760" w:rsidRPr="001F2A25" w:rsidRDefault="00313760" w:rsidP="00313760">
      <w:pPr>
        <w:pStyle w:val="NormalWeb"/>
        <w:numPr>
          <w:ilvl w:val="0"/>
          <w:numId w:val="16"/>
        </w:numPr>
        <w:shd w:val="clear" w:color="auto" w:fill="FFFFFF"/>
        <w:spacing w:line="360" w:lineRule="auto"/>
        <w:jc w:val="both"/>
        <w:rPr>
          <w:lang w:val="lt-LT"/>
        </w:rPr>
      </w:pPr>
      <w:r w:rsidRPr="001F2A25">
        <w:rPr>
          <w:lang w:val="lt-LT"/>
        </w:rPr>
        <w:t>kultūros sektoriuje kuriamų produktų prieinamumo visuomenei, visuomenės aktyvinimo kuriant ir skleidžiant šiuos produktus problemos bei į kultūros produktų prieinamumo užtikrinimą orientuotos raidos ir pažangos aktualijos ir prioritetai;</w:t>
      </w:r>
    </w:p>
    <w:p w:rsidR="00313760" w:rsidRPr="001F2A25" w:rsidRDefault="00313760" w:rsidP="00313760">
      <w:pPr>
        <w:pStyle w:val="NormalWeb"/>
        <w:numPr>
          <w:ilvl w:val="0"/>
          <w:numId w:val="16"/>
        </w:numPr>
        <w:shd w:val="clear" w:color="auto" w:fill="FFFFFF"/>
        <w:spacing w:line="360" w:lineRule="auto"/>
        <w:jc w:val="both"/>
        <w:rPr>
          <w:lang w:val="lt-LT"/>
        </w:rPr>
      </w:pPr>
      <w:r w:rsidRPr="001F2A25">
        <w:rPr>
          <w:lang w:val="lt-LT"/>
        </w:rPr>
        <w:t>kultūros sektoriaus raidos ir plėtros procesų internacionalizavimą išreiškiančios problemos, raidos aktualijos, plėtros ir pažangos prioritetai;</w:t>
      </w:r>
    </w:p>
    <w:p w:rsidR="00313760" w:rsidRPr="00313760" w:rsidRDefault="00313760" w:rsidP="00313760">
      <w:pPr>
        <w:pStyle w:val="NormalWeb"/>
        <w:numPr>
          <w:ilvl w:val="0"/>
          <w:numId w:val="16"/>
        </w:numPr>
        <w:shd w:val="clear" w:color="auto" w:fill="FFFFFF"/>
        <w:spacing w:line="360" w:lineRule="auto"/>
        <w:jc w:val="both"/>
        <w:rPr>
          <w:lang w:val="lt-LT"/>
        </w:rPr>
      </w:pPr>
      <w:r w:rsidRPr="001F2A25">
        <w:rPr>
          <w:lang w:val="lt-LT"/>
        </w:rPr>
        <w:lastRenderedPageBreak/>
        <w:t>kultūros sektoriaus vadybos tobulinimo problemos, raidos aktualijos, plėtros ir pažangos prioritetai.“ (Melnikas, 2011).</w:t>
      </w:r>
    </w:p>
    <w:p w:rsidR="00CE0673" w:rsidRDefault="005312AA" w:rsidP="00CE0673">
      <w:pPr>
        <w:shd w:val="clear" w:color="auto" w:fill="FFFFFF"/>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Kultūros ir meno raida neįsivaizduojama be valstybės ar ES paramos, tačiau reikia atsižvelgti į tai, kad šis sektorius ne tik priima paramą, bet ir kuria pridėtinę vertę. Pavyzdžiui,</w:t>
      </w:r>
      <w:r w:rsidR="00CE0673" w:rsidRPr="00675D7C">
        <w:rPr>
          <w:rFonts w:ascii="Times New Roman" w:hAnsi="Times New Roman" w:cs="Times New Roman"/>
          <w:sz w:val="24"/>
          <w:szCs w:val="24"/>
          <w:lang w:val="lt-LT"/>
        </w:rPr>
        <w:t xml:space="preserve"> Lietuvoje nėr</w:t>
      </w:r>
      <w:r w:rsidR="00CE0673">
        <w:rPr>
          <w:rFonts w:ascii="Times New Roman" w:hAnsi="Times New Roman" w:cs="Times New Roman"/>
          <w:sz w:val="24"/>
          <w:szCs w:val="24"/>
          <w:lang w:val="lt-LT"/>
        </w:rPr>
        <w:t>a</w:t>
      </w:r>
      <w:r w:rsidR="00CE0673" w:rsidRPr="00675D7C">
        <w:rPr>
          <w:rFonts w:ascii="Times New Roman" w:hAnsi="Times New Roman" w:cs="Times New Roman"/>
          <w:sz w:val="24"/>
          <w:szCs w:val="24"/>
          <w:lang w:val="lt-LT"/>
        </w:rPr>
        <w:t xml:space="preserve"> išsamaus Lietuvos kūrybos ekonomikos vertinimo, tačiau remiantis statistika, galima teigti, kad Lietuvoje kūrybinis sektorius sukuria apie 5 % šalies BVP, kas rodo, kad dabar esamas kultūros sektoriaus finansavimas yra neteisingas, nes kultūros sukuriama pridėtinė vertė neatsispindi valstybės biudžeto lėšose. Valstybei ir visuomenei reikėtų pradėti kultūrą vertinti kaip pridėtinės vertės kūrėją, o ne valstybės ir gyventojų išlaikytinę. Būtų tikslinga pradėti kurti kultūros ekonomikos indėlio į BVP skaičiavimo  metodologiją ir po to investuoti į kultūrą atitinkamą sumą, priklausant nuo to, kiek kultūros sektorius</w:t>
      </w:r>
      <w:r w:rsidR="00B85ECC">
        <w:rPr>
          <w:rFonts w:ascii="Times New Roman" w:hAnsi="Times New Roman" w:cs="Times New Roman"/>
          <w:sz w:val="24"/>
          <w:szCs w:val="24"/>
          <w:lang w:val="lt-LT"/>
        </w:rPr>
        <w:t xml:space="preserve"> sukuria</w:t>
      </w:r>
      <w:r w:rsidR="00CE0673" w:rsidRPr="00675D7C">
        <w:rPr>
          <w:rFonts w:ascii="Times New Roman" w:hAnsi="Times New Roman" w:cs="Times New Roman"/>
          <w:sz w:val="24"/>
          <w:szCs w:val="24"/>
          <w:lang w:val="lt-LT"/>
        </w:rPr>
        <w:t>.</w:t>
      </w:r>
    </w:p>
    <w:p w:rsidR="00460437" w:rsidRDefault="00460437" w:rsidP="00CE0673">
      <w:pPr>
        <w:shd w:val="clear" w:color="auto" w:fill="FFFFFF"/>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Remiantis Valstybinio audito ataskaitos dėl kultūros politikos įgyvendinimo, dalinai finansuojant programas ir projektus, išvadomis, galima teigti, kad šalyje nėra aiškios sistemos dėl savivaldybių, valstybės instiucijų ir jų įstaigų dalyvavimo dalinai finansuojamų programų ir projektų konkursuose, todėl sudaromos nelygios konkurencinės galimybės paramos gavėjams dalyvauti konkurse, trūksta informacijos srautų.</w:t>
      </w:r>
      <w:r w:rsidR="00B85ECC">
        <w:rPr>
          <w:rFonts w:ascii="Times New Roman" w:hAnsi="Times New Roman" w:cs="Times New Roman"/>
          <w:sz w:val="24"/>
          <w:szCs w:val="24"/>
          <w:lang w:val="lt-LT"/>
        </w:rPr>
        <w:t xml:space="preserve"> </w:t>
      </w:r>
    </w:p>
    <w:p w:rsidR="00460437" w:rsidRDefault="00460437" w:rsidP="00460437">
      <w:pPr>
        <w:shd w:val="clear" w:color="auto" w:fill="FFFFFF"/>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Pr="005312AA">
        <w:rPr>
          <w:rFonts w:ascii="Times New Roman" w:hAnsi="Times New Roman" w:cs="Times New Roman"/>
          <w:sz w:val="24"/>
          <w:szCs w:val="24"/>
          <w:lang w:val="lt-LT"/>
        </w:rPr>
        <w:t>Kultūros ministerija ne visada užtikrina ir kontroliuoja, kad projektų vykdytojai pateiktų projekto veiklos rezultatus, nurodytų ir pagrįstų visus projekto finansavimo šaltinius, nepakankamai įvertina įvykdytų projektų kokybę, jų indėlį į visuomeninę kultūrą, pasiektų rezultatų reikšmingumą, jų įtaką kultūros politikos tikslų įgyvendinimui, ir ar VšĮ negauna pajamų, kurios viršija projekto savikainą.</w:t>
      </w:r>
      <w:r>
        <w:rPr>
          <w:rFonts w:ascii="Times New Roman" w:hAnsi="Times New Roman" w:cs="Times New Roman"/>
          <w:sz w:val="24"/>
          <w:szCs w:val="24"/>
          <w:lang w:val="lt-LT"/>
        </w:rPr>
        <w:t>“ (Valstybinio audito ataskaita, 2009).</w:t>
      </w:r>
    </w:p>
    <w:p w:rsidR="00B85ECC" w:rsidRDefault="00460437" w:rsidP="00313760">
      <w:pPr>
        <w:shd w:val="clear" w:color="auto" w:fill="FFFFFF"/>
        <w:spacing w:line="360" w:lineRule="auto"/>
        <w:ind w:firstLine="360"/>
        <w:jc w:val="both"/>
        <w:rPr>
          <w:rFonts w:ascii="Times New Roman" w:hAnsi="Times New Roman" w:cs="Times New Roman"/>
          <w:sz w:val="24"/>
          <w:szCs w:val="24"/>
          <w:lang w:val="lt-LT"/>
        </w:rPr>
      </w:pPr>
      <w:r>
        <w:rPr>
          <w:rFonts w:ascii="Times New Roman" w:hAnsi="Times New Roman" w:cs="Times New Roman"/>
          <w:sz w:val="24"/>
          <w:szCs w:val="24"/>
          <w:lang w:val="lt-LT"/>
        </w:rPr>
        <w:t>Tam, kad šių problemų mastas mažėtų, turi būti</w:t>
      </w:r>
      <w:r w:rsidR="005C0D04">
        <w:rPr>
          <w:rFonts w:ascii="Times New Roman" w:hAnsi="Times New Roman" w:cs="Times New Roman"/>
          <w:sz w:val="24"/>
          <w:szCs w:val="24"/>
          <w:lang w:val="lt-LT"/>
        </w:rPr>
        <w:t xml:space="preserve"> atliekami tyrimai ir analizės, siekiant kurti ir tobuliti vieningą ir teisingą kultūros politiką</w:t>
      </w:r>
      <w:r w:rsidR="00B85ECC">
        <w:rPr>
          <w:rFonts w:ascii="Times New Roman" w:hAnsi="Times New Roman" w:cs="Times New Roman"/>
          <w:sz w:val="24"/>
          <w:szCs w:val="24"/>
          <w:lang w:val="lt-LT"/>
        </w:rPr>
        <w:t>, kurios kryptis gali nustatyti nuo pačių aukščiausių valstybinių institucijų iki pavienių mokyklų, universitetų, organizacijų. Labai svarbu, kad į šį procesą būtų įtraukti ir piliečiai. Jų iniciatyvos turi būti išklausytos ir išgirstos, net mažiausiuose miesteliuose gyventojų idėjos gali tapti realybe, pavyzdžiui, iniciatyva įkurti vietinį mėgėjų teatrą, rankdarbių užsiėmimus, folkloro ansamblį ar panašiai.</w:t>
      </w:r>
    </w:p>
    <w:p w:rsidR="00313760" w:rsidRDefault="00313760" w:rsidP="00313760">
      <w:pPr>
        <w:shd w:val="clear" w:color="auto" w:fill="FFFFFF"/>
        <w:spacing w:line="360" w:lineRule="auto"/>
        <w:ind w:firstLine="360"/>
        <w:jc w:val="both"/>
        <w:rPr>
          <w:rFonts w:ascii="Times New Roman" w:hAnsi="Times New Roman" w:cs="Times New Roman"/>
          <w:sz w:val="24"/>
          <w:szCs w:val="24"/>
          <w:lang w:val="lt-LT"/>
        </w:rPr>
      </w:pPr>
    </w:p>
    <w:p w:rsidR="00B8490A" w:rsidRDefault="00B8490A" w:rsidP="00B8490A">
      <w:pPr>
        <w:pStyle w:val="ListParagraph"/>
        <w:numPr>
          <w:ilvl w:val="1"/>
          <w:numId w:val="23"/>
        </w:numPr>
        <w:spacing w:line="360" w:lineRule="auto"/>
        <w:jc w:val="center"/>
        <w:rPr>
          <w:rFonts w:ascii="Times New Roman" w:hAnsi="Times New Roman" w:cs="Times New Roman"/>
          <w:b/>
          <w:sz w:val="24"/>
          <w:szCs w:val="24"/>
          <w:lang w:val="lt-LT"/>
        </w:rPr>
      </w:pPr>
      <w:r w:rsidRPr="00B8490A">
        <w:rPr>
          <w:rFonts w:ascii="Times New Roman" w:hAnsi="Times New Roman" w:cs="Times New Roman"/>
          <w:b/>
          <w:sz w:val="24"/>
          <w:szCs w:val="24"/>
          <w:lang w:val="lt-LT"/>
        </w:rPr>
        <w:lastRenderedPageBreak/>
        <w:t>Šiuolaikiniai požiūriai į kultūros ir meno raidos aktyvinimą ES socialinėje ekonominėje erdvėje, panaudojant ekonomines priemones</w:t>
      </w:r>
    </w:p>
    <w:p w:rsidR="00B8490A" w:rsidRPr="00B8490A" w:rsidRDefault="00B8490A" w:rsidP="00B8490A">
      <w:pPr>
        <w:pStyle w:val="ListParagraph"/>
        <w:spacing w:line="360" w:lineRule="auto"/>
        <w:ind w:left="1080"/>
        <w:rPr>
          <w:rFonts w:ascii="Times New Roman" w:hAnsi="Times New Roman" w:cs="Times New Roman"/>
          <w:b/>
          <w:sz w:val="24"/>
          <w:szCs w:val="24"/>
          <w:lang w:val="lt-LT"/>
        </w:rPr>
      </w:pPr>
    </w:p>
    <w:p w:rsidR="005C0D04" w:rsidRDefault="005C0D04" w:rsidP="00313760">
      <w:pPr>
        <w:pStyle w:val="ListParagraph"/>
        <w:spacing w:line="360" w:lineRule="auto"/>
        <w:ind w:left="0" w:firstLine="36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Kultūros politika</w:t>
      </w:r>
      <w:r w:rsidR="00B85ECC">
        <w:rPr>
          <w:rFonts w:ascii="Times New Roman" w:hAnsi="Times New Roman" w:cs="Times New Roman"/>
          <w:sz w:val="24"/>
          <w:szCs w:val="24"/>
          <w:lang w:val="lt-LT"/>
        </w:rPr>
        <w:t xml:space="preserve"> yra labai svarbus reiškinys kiekvienos valstybės valdymo procese</w:t>
      </w:r>
      <w:r w:rsidR="00313760">
        <w:rPr>
          <w:rFonts w:ascii="Times New Roman" w:hAnsi="Times New Roman" w:cs="Times New Roman"/>
          <w:sz w:val="24"/>
          <w:szCs w:val="24"/>
          <w:lang w:val="lt-LT"/>
        </w:rPr>
        <w:t xml:space="preserve">, tačiau ją palaikyti reikia ne tik šalies mastu, bet ir tarptautiniu. </w:t>
      </w:r>
      <w:r w:rsidR="00313760" w:rsidRPr="001F2A25">
        <w:rPr>
          <w:rFonts w:ascii="Times New Roman" w:eastAsia="Times New Roman" w:hAnsi="Times New Roman" w:cs="Times New Roman"/>
          <w:sz w:val="24"/>
          <w:szCs w:val="24"/>
          <w:lang w:val="lt-LT"/>
        </w:rPr>
        <w:t>Europos Sąjunga nuo 2014 metų iškeltus naujus tikslus įgyvendina per šias priemones: diegia kultūros iniciatyvas, padeda dalyvauti mokslinių tyrimų projektuose, remia bei finansuoja  bendradarbiavimą teik ES viduje, tiek išorėje, skiria premijas už sėkmingai realizuotus projektus, stiprina menininkų judumą Europos kultūros erdvėje, vykdo ES kultūros programą „Kūrybiška Europa“.</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ab/>
      </w:r>
      <w:r w:rsidRPr="001F2A25">
        <w:rPr>
          <w:rFonts w:ascii="Times New Roman" w:eastAsia="Times New Roman" w:hAnsi="Times New Roman" w:cs="Times New Roman"/>
          <w:b/>
          <w:sz w:val="24"/>
          <w:szCs w:val="24"/>
          <w:lang w:val="lt-LT"/>
        </w:rPr>
        <w:t xml:space="preserve">Kultūros iniciatyva – Europos kultūros sostinės. </w:t>
      </w:r>
      <w:r w:rsidRPr="001F2A25">
        <w:rPr>
          <w:rFonts w:ascii="Times New Roman" w:eastAsia="Times New Roman" w:hAnsi="Times New Roman" w:cs="Times New Roman"/>
          <w:sz w:val="24"/>
          <w:szCs w:val="24"/>
          <w:lang w:val="lt-LT"/>
        </w:rPr>
        <w:t>Bene žinomiausias ir populiariausias projektas. Kasmet paskelbiami du skirtingų šalių miestai, kurie įgija Europos kultūros sostinės statusą, tačiau miestų atranka pradedama gerokai ankščiau, net šešeri metai iki sostinių paskelbimo viešai. Miestus atrenka nepriklausoma grupė. Ši iniciatyva sukurta 1985 metais ir iki šiol kultūros sostinėmis buvo paskelbta daugiau nei 50 Europos miestų. Šiuo metu Europos kultūros sostinės 2016 yra Vroclavas (Lenkija) ir San Sebastianas, kitaip Donostija (Ispanija). Jau yra patvirtintos ir kitos kultūros sostinės:</w:t>
      </w:r>
    </w:p>
    <w:p w:rsidR="00313760" w:rsidRPr="001F2A25" w:rsidRDefault="00313760" w:rsidP="00313760">
      <w:pPr>
        <w:pStyle w:val="ListParagraph"/>
        <w:numPr>
          <w:ilvl w:val="0"/>
          <w:numId w:val="7"/>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2017 – Orhusas (Danija) ir Pafos (Kipras);</w:t>
      </w:r>
    </w:p>
    <w:p w:rsidR="00313760" w:rsidRPr="001F2A25" w:rsidRDefault="00313760" w:rsidP="00313760">
      <w:pPr>
        <w:pStyle w:val="ListParagraph"/>
        <w:numPr>
          <w:ilvl w:val="0"/>
          <w:numId w:val="7"/>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2018 – Leuvardenas (Nyderlandai) ir Valeta (Malta);</w:t>
      </w:r>
    </w:p>
    <w:p w:rsidR="00313760" w:rsidRPr="001F2A25" w:rsidRDefault="00313760" w:rsidP="00313760">
      <w:pPr>
        <w:pStyle w:val="ListParagraph"/>
        <w:numPr>
          <w:ilvl w:val="0"/>
          <w:numId w:val="7"/>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2019 – Plovdivas (Bulgarija) ir Matera (Italija);</w:t>
      </w:r>
    </w:p>
    <w:p w:rsidR="00313760" w:rsidRPr="001F2A25" w:rsidRDefault="00313760" w:rsidP="00313760">
      <w:pPr>
        <w:pStyle w:val="ListParagraph"/>
        <w:numPr>
          <w:ilvl w:val="0"/>
          <w:numId w:val="7"/>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2020 – Rijeka (Kroatija) ir Airijos miestas, tiksliai kuris, dar nepatvirtinta.</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Iniciatyva Europos kultūros sostinė yra skirta atskleisti Europos kultūrų turtingumą ir įvairumą, kartu paminint bendrus europiečių kultūros bruožus, didinti europiečių bendrumo jausmą kultūros srityje, skatinti kultūros indėlį į miestų plėtrą. Kaip rodo ankstesnė šalių narių patirtis, ši iniciatyva taip pat yra puikus būdas pagyvinti miesto gyvenimą, kadangi organizuojami projektai pritraukia įvairaus amžiaus miesto gyventojus susiburti kultūros renginiuose, kultūros sostinės statusas sudaro patrauklaus miesto įvaizdį, kuris skatina turizmą, suteikia ilgalaikės socialinės ir kultūrinės naudos.</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Premijos. </w:t>
      </w:r>
      <w:r w:rsidRPr="001F2A25">
        <w:rPr>
          <w:rFonts w:ascii="Times New Roman" w:eastAsia="Times New Roman" w:hAnsi="Times New Roman" w:cs="Times New Roman"/>
          <w:sz w:val="24"/>
          <w:szCs w:val="24"/>
          <w:lang w:val="lt-LT"/>
        </w:rPr>
        <w:t>Menininkai Europos Sąjungoje skatinami įvairiomis premijomis, prizais, apdovanojimais ir ženklais, tai ES kultūros politikos dalis. Tokiu būdu siekiama atkreipti visuomenės dėmesį į talentingiausius, kokybiškiausius ir sėkmingiausius menininkus ir dar labiau populiarinti jų darbus. Skatinti menininkų saviraišką labai svarbu ne tik dėl jų pačių, bet ir dėl kultūros sektoriaus didinimo dėl ekonomikos augimo tikslų. ES skiriami apdovanojimai:</w:t>
      </w:r>
    </w:p>
    <w:p w:rsidR="00313760" w:rsidRPr="001F2A25" w:rsidRDefault="00313760" w:rsidP="00313760">
      <w:pPr>
        <w:pStyle w:val="ListParagraph"/>
        <w:numPr>
          <w:ilvl w:val="0"/>
          <w:numId w:val="9"/>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 xml:space="preserve">ES literatūros premija – premija pristato ES autorius kaip kokybiško žodžio rašytojus, kūrybiškus, šiuolaikiškus bei įvairius. Premija siekiama didinti susidomėjimą ir prieinamumą </w:t>
      </w:r>
      <w:r w:rsidRPr="001F2A25">
        <w:rPr>
          <w:rFonts w:ascii="Times New Roman" w:eastAsia="Times New Roman" w:hAnsi="Times New Roman" w:cs="Times New Roman"/>
          <w:sz w:val="24"/>
          <w:szCs w:val="24"/>
          <w:lang w:val="lt-LT"/>
        </w:rPr>
        <w:lastRenderedPageBreak/>
        <w:t>prie kitų šalių literatūros kūrinių, kadangi šios premijos laureatai gali prašyti ES remti jų kūrinių vertimą pagal kultūros programą „Kūrybiška Europa“;</w:t>
      </w:r>
    </w:p>
    <w:p w:rsidR="00313760" w:rsidRPr="001F2A25" w:rsidRDefault="00313760" w:rsidP="00313760">
      <w:pPr>
        <w:pStyle w:val="ListParagraph"/>
        <w:numPr>
          <w:ilvl w:val="0"/>
          <w:numId w:val="8"/>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 šiuolaikinės architektūros apdovanojimas (Mies van der Rohe apdovanojimas) – tai pats prestiziškiausias Europos architektūros apdovanojimas, kuriuo apdovanojami patys novatoriškaiusi ir inovatyviausi architektai;</w:t>
      </w:r>
    </w:p>
    <w:p w:rsidR="00313760" w:rsidRPr="001F2A25" w:rsidRDefault="00313760" w:rsidP="00313760">
      <w:pPr>
        <w:pStyle w:val="ListParagraph"/>
        <w:numPr>
          <w:ilvl w:val="0"/>
          <w:numId w:val="8"/>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 kultūros paveldo apdovanojimas („Europa Nostra“ apdovanojimas) – skiriamas už projektus, kurie padeda išsaugoti, tirti istorinį kultūrinį paveldą (architektūros objektą, sodą, meno kūrinį ir t.t.);</w:t>
      </w:r>
    </w:p>
    <w:p w:rsidR="00313760" w:rsidRPr="001F2A25" w:rsidRDefault="00313760" w:rsidP="00313760">
      <w:pPr>
        <w:pStyle w:val="ListParagraph"/>
        <w:numPr>
          <w:ilvl w:val="0"/>
          <w:numId w:val="8"/>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 apdovanojimas „Prix MEDIA“ – nuo 2012 metų skiriamas apdovanojimas, skirtas filmui, kuris sukurtas vadovaujantis programa MEDIA ir juo tikimasi pritraukti pilnas sales žiūrovų. Filmo nugalėtojo režisieriai ir autorius pagerbiami per Kanų kino festivalį.</w:t>
      </w:r>
    </w:p>
    <w:p w:rsidR="00313760" w:rsidRPr="001F2A25" w:rsidRDefault="00313760" w:rsidP="00313760">
      <w:pPr>
        <w:pStyle w:val="ListParagraph"/>
        <w:numPr>
          <w:ilvl w:val="0"/>
          <w:numId w:val="8"/>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„European Border Breakers“ apdovanojimai – muzikos atlikėjų apdovanojimai, kurių prizininkais tampa muzikantai, kurių pirmieji išleisti kūriniai užkariauja ne tik savo, bet ir užsienio klausytojų simpatijas. Apdovanojimas išaukština išskirtinius talentus, kurie savo muzika skatinami pasidalinti su visa ES auditorija;</w:t>
      </w:r>
    </w:p>
    <w:p w:rsidR="00313760" w:rsidRPr="001F2A25" w:rsidRDefault="00313760" w:rsidP="00313760">
      <w:pPr>
        <w:pStyle w:val="ListParagraph"/>
        <w:numPr>
          <w:ilvl w:val="0"/>
          <w:numId w:val="8"/>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paveldo ženklas – tai apdovanojimas, kuriuo įvertinama aktyviausia Europos integracijos vieta, kuri aukština ES idealus, vertybes ir atskleidžia visuomenei ES reikšmę.</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b/>
          <w:sz w:val="24"/>
          <w:szCs w:val="24"/>
          <w:lang w:val="lt-LT"/>
        </w:rPr>
        <w:tab/>
        <w:t xml:space="preserve">Menininkų judumas. </w:t>
      </w:r>
      <w:r w:rsidRPr="001F2A25">
        <w:rPr>
          <w:rFonts w:ascii="Times New Roman" w:eastAsia="Times New Roman" w:hAnsi="Times New Roman" w:cs="Times New Roman"/>
          <w:sz w:val="24"/>
          <w:szCs w:val="24"/>
          <w:lang w:val="lt-LT"/>
        </w:rPr>
        <w:t>ES ribose norima sukurti kultūros erdvę, o menininkų judumas kaip tik ją ir kuria. Menininkai judėdami sąjungoje plečia savo žinias, ieško įkvėpimo, pristato savo kūrinius naujai auditorijai, keičiasi patirtimi su kitais menininkais.</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b/>
          <w:sz w:val="24"/>
          <w:szCs w:val="24"/>
          <w:lang w:val="lt-LT"/>
        </w:rPr>
        <w:tab/>
        <w:t xml:space="preserve">ES kultūros programa 2014 </w:t>
      </w:r>
      <w:r w:rsidRPr="001F2A25">
        <w:rPr>
          <w:rFonts w:ascii="Times New Roman" w:eastAsia="Times New Roman" w:hAnsi="Times New Roman" w:cs="Times New Roman"/>
          <w:sz w:val="24"/>
          <w:szCs w:val="24"/>
          <w:lang w:val="lt-LT"/>
        </w:rPr>
        <w:t xml:space="preserve">– </w:t>
      </w:r>
      <w:r w:rsidRPr="001F2A25">
        <w:rPr>
          <w:rFonts w:ascii="Times New Roman" w:eastAsia="Times New Roman" w:hAnsi="Times New Roman" w:cs="Times New Roman"/>
          <w:b/>
          <w:sz w:val="24"/>
          <w:szCs w:val="24"/>
          <w:lang w:val="lt-LT"/>
        </w:rPr>
        <w:t xml:space="preserve">2020m. „Kūrybiška Europa“. </w:t>
      </w:r>
      <w:r w:rsidRPr="001F2A25">
        <w:rPr>
          <w:rFonts w:ascii="Times New Roman" w:eastAsia="Times New Roman" w:hAnsi="Times New Roman" w:cs="Times New Roman"/>
          <w:sz w:val="24"/>
          <w:szCs w:val="24"/>
          <w:lang w:val="lt-LT"/>
        </w:rPr>
        <w:t>Ši programa sukurta atsižvelgiant į ankstesnių programų „Kultūra“ (2000 – 2013 m.), MEDIA Mundus (2011  – 2013 m.), ir MEDIA (1991 – 2013 m.) geriausią patirtį, rezultatus ir pasisekimą. Programa orientuota į kultūros ir kūrybos sektoriaus stiprinimą, skatinama daugiakalbystė ir kalbų įvairovė Europoje, integracijos augimas, technologijų diegimas ir prieinamumas visuomenei, naujų rinkų atradimas ir pažinimas. Programa ne tik rems kultūros sritis, bet ir sudarys galimybes lengviau gauti paskolas smulkiems operatoriams. Programa aktuali prekybininkams, menininkams, kultūros specialistams, literatūros autoriams ir mėgėjams, filmų kūrėjams, platintojams, nes ši programa remia:</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kultūros ir kūrybos organizacijas, kurios kuria programas ES ir už jos ribų;</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kultūros ir kūrybos sektorius tarptautinėje veikloje kuruojančius tinklus, kurie didina šio sektoriaus konkurencingumą;</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literatūros vertimą į užsienio kalbas;</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lastRenderedPageBreak/>
        <w:t>institucijas, kurios remia menininkus, pradėjusius veiklą;</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specialistus, kurie dirba vaizdo ir garso sektoriuose, jų veiklą, paruošimą darbui ir darbų platinimą;</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filmų festivalius;</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tarptautinių filmų kūrimo fondus;</w:t>
      </w:r>
    </w:p>
    <w:p w:rsidR="00313760" w:rsidRPr="001F2A25" w:rsidRDefault="00313760" w:rsidP="00313760">
      <w:pPr>
        <w:pStyle w:val="ListParagraph"/>
        <w:numPr>
          <w:ilvl w:val="0"/>
          <w:numId w:val="10"/>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įvairius renginius, kurie skatina visuomenės integraciją į meno ir kultūros sektorių.</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Programoje dalyvauja visos ES šalys narės, Europos laisvos prekybos asociacijos (ELPA) šalys – Lichtenšteinas, Islandija, Norvegija, Šveicarija, šalys kandidatės ir potencialios kandidatės stojimui į ES Turkija, FYROM, Serbija, Islandija, Bosnia ir Herzegovina, Juodkalnija, Albanija ir naujos programos šalys dalyvės, dalyvaujančios Europos kaiminystės politikos (ENP) veiksmuose  – Armėnija, Azerbaidžanas, Baltarusija, Gruzija, Moldova, Ukraina, Alžyras, Egiptas, Izarelis, Jordanija, Libanas, Libija, Marokas, okupuota Palestinos teritorija, Sirija ir Tunisas.</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Programa „Erasmus+“. </w:t>
      </w:r>
      <w:r w:rsidRPr="001F2A25">
        <w:rPr>
          <w:rFonts w:ascii="Times New Roman" w:eastAsia="Times New Roman" w:hAnsi="Times New Roman" w:cs="Times New Roman"/>
          <w:sz w:val="24"/>
          <w:szCs w:val="24"/>
          <w:lang w:val="lt-LT"/>
        </w:rPr>
        <w:t>Remia žmonių (daugiausia studijų amžiaus) mokslus, studijas, darbo patirtį ar savanorystę užsienio šalyse, taip pat organizacijas, kurios derasi su užsienio partneriais, tiekia naujoves mokslo srityje ir skatina jaunimo darbą. Nuo 2014 metų šiai programai skiriama net 40 procentų daugiau lėšų, nei buvo skiriama iki šiol.</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Programa „COSME“. </w:t>
      </w:r>
      <w:r w:rsidRPr="001F2A25">
        <w:rPr>
          <w:rFonts w:ascii="Times New Roman" w:eastAsia="Times New Roman" w:hAnsi="Times New Roman" w:cs="Times New Roman"/>
          <w:sz w:val="24"/>
          <w:szCs w:val="24"/>
          <w:lang w:val="lt-LT"/>
        </w:rPr>
        <w:t>Mažų ir vidutinių įmonių veiklos parama, taip skatinant jų verslumą ir veržlumą. Siekiama padėti tokioms įmonėms įsilieti į rinką.</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Programa „Horizontas 2020“. </w:t>
      </w:r>
      <w:r w:rsidRPr="001F2A25">
        <w:rPr>
          <w:rFonts w:ascii="Times New Roman" w:eastAsia="Times New Roman" w:hAnsi="Times New Roman" w:cs="Times New Roman"/>
          <w:sz w:val="24"/>
          <w:szCs w:val="24"/>
          <w:lang w:val="lt-LT"/>
        </w:rPr>
        <w:t>Ši programa remia įvairius projektus, darbus, mokslinius tyrimus ir inovacijas kultūros ir meno sektoriuje.</w:t>
      </w: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Apibendrinus galima teigti, kad Europos Sąjungoje yra daug kultūros iniciatyvų ir programų, kurių finansavimas nuo 2014 metų ženkliai padidėjo. Galima daryti prielaidą, kad ES perspektyvose yra meno ir kultūros sektoriaus plėtra ir integracija, kadangi meno ir kultūros projektų skaičius auga, finansavimas didėja, o visuomenės susidomėjimas kultūros sektoriumi įgauna vis didesnę reikšmę.</w:t>
      </w: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p>
    <w:p w:rsidR="00313760" w:rsidRPr="00B8490A" w:rsidRDefault="00313760" w:rsidP="00B8490A">
      <w:pPr>
        <w:pStyle w:val="ListParagraph"/>
        <w:numPr>
          <w:ilvl w:val="0"/>
          <w:numId w:val="23"/>
        </w:numPr>
        <w:shd w:val="clear" w:color="auto" w:fill="FFFFFF"/>
        <w:tabs>
          <w:tab w:val="left" w:pos="360"/>
        </w:tabs>
        <w:spacing w:after="0" w:line="360" w:lineRule="auto"/>
        <w:jc w:val="center"/>
        <w:rPr>
          <w:rFonts w:ascii="Times New Roman" w:eastAsia="Times New Roman" w:hAnsi="Times New Roman" w:cs="Times New Roman"/>
          <w:sz w:val="24"/>
          <w:szCs w:val="24"/>
          <w:lang w:val="lt-LT"/>
        </w:rPr>
      </w:pPr>
      <w:r w:rsidRPr="00313760">
        <w:rPr>
          <w:rFonts w:ascii="Times New Roman" w:hAnsi="Times New Roman" w:cs="Times New Roman"/>
          <w:sz w:val="24"/>
          <w:szCs w:val="24"/>
          <w:lang w:val="lt-LT"/>
        </w:rPr>
        <w:lastRenderedPageBreak/>
        <w:t>EMPIRINIAI TYRIMAI, SKIRTI KULTŪROS IR MENO PLĖTOJIMUI ES SOCIALINĖJE EKONOMINĖJE ERDVĖJE</w:t>
      </w:r>
    </w:p>
    <w:p w:rsidR="00B8490A" w:rsidRPr="00B8490A" w:rsidRDefault="00B8490A" w:rsidP="00B8490A">
      <w:pPr>
        <w:pStyle w:val="ListParagraph"/>
        <w:shd w:val="clear" w:color="auto" w:fill="FFFFFF"/>
        <w:tabs>
          <w:tab w:val="left" w:pos="360"/>
        </w:tabs>
        <w:spacing w:after="0" w:line="360" w:lineRule="auto"/>
        <w:ind w:left="360"/>
        <w:rPr>
          <w:rFonts w:ascii="Times New Roman" w:eastAsia="Times New Roman" w:hAnsi="Times New Roman" w:cs="Times New Roman"/>
          <w:sz w:val="24"/>
          <w:szCs w:val="24"/>
          <w:lang w:val="lt-LT"/>
        </w:rPr>
      </w:pPr>
    </w:p>
    <w:p w:rsidR="00B8490A" w:rsidRDefault="00B8490A" w:rsidP="00B8490A">
      <w:pPr>
        <w:shd w:val="clear" w:color="auto" w:fill="FFFFFF"/>
        <w:tabs>
          <w:tab w:val="left" w:pos="360"/>
        </w:tabs>
        <w:spacing w:after="0" w:line="360" w:lineRule="auto"/>
        <w:jc w:val="center"/>
        <w:rPr>
          <w:rFonts w:ascii="Times New Roman" w:hAnsi="Times New Roman" w:cs="Times New Roman"/>
          <w:b/>
          <w:sz w:val="24"/>
          <w:szCs w:val="24"/>
          <w:lang w:val="lt-LT"/>
        </w:rPr>
      </w:pPr>
      <w:r w:rsidRPr="00B8490A">
        <w:rPr>
          <w:rFonts w:ascii="Times New Roman" w:hAnsi="Times New Roman" w:cs="Times New Roman"/>
          <w:b/>
          <w:sz w:val="24"/>
          <w:szCs w:val="24"/>
          <w:lang w:val="lt-LT"/>
        </w:rPr>
        <w:t>2.1. Ekonominių – statistinių duomenų analizė, skirta bendrosioms kultūros ir meno raidos ES socialinėje ekonominėje erdvėje tendencijoms</w:t>
      </w:r>
    </w:p>
    <w:p w:rsidR="00B8490A" w:rsidRPr="00B8490A" w:rsidRDefault="00B8490A" w:rsidP="00B8490A">
      <w:pPr>
        <w:shd w:val="clear" w:color="auto" w:fill="FFFFFF"/>
        <w:tabs>
          <w:tab w:val="left" w:pos="360"/>
        </w:tabs>
        <w:spacing w:after="0" w:line="360" w:lineRule="auto"/>
        <w:jc w:val="center"/>
        <w:rPr>
          <w:rFonts w:ascii="Times New Roman" w:hAnsi="Times New Roman" w:cs="Times New Roman"/>
          <w:b/>
          <w:sz w:val="24"/>
          <w:szCs w:val="24"/>
          <w:lang w:val="lt-LT"/>
        </w:rPr>
      </w:pP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Pr="001F2A25">
        <w:rPr>
          <w:rFonts w:ascii="Times New Roman" w:eastAsia="Times New Roman" w:hAnsi="Times New Roman" w:cs="Times New Roman"/>
          <w:sz w:val="24"/>
          <w:szCs w:val="24"/>
          <w:lang w:val="lt-LT"/>
        </w:rPr>
        <w:t>Europos Sąjunga nuo 2014 metų pradėjo vykdyti naują struktūrinės paramos programą kultūros ir meno sektoriuje „Kūrybiška Europa“ 2014  – 2020 metams. Ši programa turi dvi paprogrames  – MEDIA ir „Kultūra“. Šia programa remiama Europos kultūra, literatūra, scenos menas, kinas, televizija, šalių paveldas ir su juo susijusios sritys. 2014  – 2020 metams ES skyrė 1,46 mlrd. eurų programos tikslams įgyvendinti, tai net 9% daugiau, nei iki tol buvo skiriama, iš jų:</w:t>
      </w:r>
    </w:p>
    <w:p w:rsidR="00313760" w:rsidRPr="001F2A25" w:rsidRDefault="00313760" w:rsidP="00313760">
      <w:pPr>
        <w:pStyle w:val="ListParagraph"/>
        <w:numPr>
          <w:ilvl w:val="0"/>
          <w:numId w:val="11"/>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15%  skirta įvairiems kultūros ir kūrybos pasektoriams;</w:t>
      </w:r>
    </w:p>
    <w:p w:rsidR="00313760" w:rsidRPr="001F2A25" w:rsidRDefault="00313760" w:rsidP="00313760">
      <w:pPr>
        <w:pStyle w:val="ListParagraph"/>
        <w:numPr>
          <w:ilvl w:val="0"/>
          <w:numId w:val="11"/>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30% paprogramei „Kultūra“, skirtai kultūros ir meno sektoriams;</w:t>
      </w:r>
    </w:p>
    <w:p w:rsidR="00313760" w:rsidRPr="001F2A25" w:rsidRDefault="00313760" w:rsidP="00313760">
      <w:pPr>
        <w:pStyle w:val="ListParagraph"/>
        <w:numPr>
          <w:ilvl w:val="0"/>
          <w:numId w:val="11"/>
        </w:num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55% paprogramei MEDIA, skirtai audiovizualiniam sektoriui.</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Pagal šią programą bus paremta:</w:t>
      </w:r>
    </w:p>
    <w:p w:rsidR="00313760" w:rsidRPr="001F2A25" w:rsidRDefault="00313760" w:rsidP="00313760">
      <w:pPr>
        <w:pStyle w:val="ListParagraph"/>
        <w:numPr>
          <w:ilvl w:val="0"/>
          <w:numId w:val="14"/>
        </w:numPr>
        <w:shd w:val="clear" w:color="auto" w:fill="FFFFFF"/>
        <w:tabs>
          <w:tab w:val="left" w:pos="360"/>
        </w:tabs>
        <w:spacing w:after="0" w:line="360" w:lineRule="auto"/>
        <w:ind w:left="81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250 000 menininkų ir kultūros srities specialistų, jų veikla;</w:t>
      </w:r>
    </w:p>
    <w:p w:rsidR="00313760" w:rsidRPr="001F2A25" w:rsidRDefault="00313760" w:rsidP="00313760">
      <w:pPr>
        <w:pStyle w:val="ListParagraph"/>
        <w:numPr>
          <w:ilvl w:val="0"/>
          <w:numId w:val="14"/>
        </w:numPr>
        <w:shd w:val="clear" w:color="auto" w:fill="FFFFFF"/>
        <w:tabs>
          <w:tab w:val="left" w:pos="360"/>
        </w:tabs>
        <w:spacing w:after="0" w:line="360" w:lineRule="auto"/>
        <w:ind w:left="81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virš 800 Europos filmų, kad juos pamatytų visos Europos žiūrovai;</w:t>
      </w:r>
    </w:p>
    <w:p w:rsidR="00313760" w:rsidRPr="001F2A25" w:rsidRDefault="00313760" w:rsidP="00313760">
      <w:pPr>
        <w:pStyle w:val="ListParagraph"/>
        <w:numPr>
          <w:ilvl w:val="0"/>
          <w:numId w:val="14"/>
        </w:numPr>
        <w:shd w:val="clear" w:color="auto" w:fill="FFFFFF"/>
        <w:tabs>
          <w:tab w:val="left" w:pos="360"/>
        </w:tabs>
        <w:spacing w:after="0" w:line="360" w:lineRule="auto"/>
        <w:ind w:left="81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2000 Europos kino teatrų, bet mažiausiai 50 % repertuaro privalės sudaryti europietiški filmai;</w:t>
      </w:r>
    </w:p>
    <w:p w:rsidR="00313760" w:rsidRPr="001F2A25" w:rsidRDefault="00313760" w:rsidP="00313760">
      <w:pPr>
        <w:pStyle w:val="ListParagraph"/>
        <w:numPr>
          <w:ilvl w:val="0"/>
          <w:numId w:val="14"/>
        </w:numPr>
        <w:shd w:val="clear" w:color="auto" w:fill="FFFFFF"/>
        <w:tabs>
          <w:tab w:val="left" w:pos="360"/>
        </w:tabs>
        <w:spacing w:after="0" w:line="360" w:lineRule="auto"/>
        <w:ind w:left="81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virš 4500 knygų ir kitų literatūros kūrinių išvertimų;</w:t>
      </w:r>
    </w:p>
    <w:p w:rsidR="00313760" w:rsidRPr="00313760" w:rsidRDefault="00313760" w:rsidP="00313760">
      <w:pPr>
        <w:pStyle w:val="ListParagraph"/>
        <w:numPr>
          <w:ilvl w:val="0"/>
          <w:numId w:val="14"/>
        </w:numPr>
        <w:shd w:val="clear" w:color="auto" w:fill="FFFFFF"/>
        <w:tabs>
          <w:tab w:val="left" w:pos="360"/>
        </w:tabs>
        <w:spacing w:after="0" w:line="360" w:lineRule="auto"/>
        <w:ind w:left="81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tūkstančiai kultūros ir audiovizualinio sektorių organizacijų bei specialistų.</w:t>
      </w:r>
    </w:p>
    <w:p w:rsidR="00313760" w:rsidRDefault="00313760" w:rsidP="00313760">
      <w:pPr>
        <w:shd w:val="clear" w:color="auto" w:fill="FFFFFF"/>
        <w:spacing w:line="360" w:lineRule="auto"/>
        <w:ind w:firstLine="360"/>
        <w:rPr>
          <w:rFonts w:ascii="Times New Roman" w:eastAsia="Times New Roman" w:hAnsi="Times New Roman" w:cs="Times New Roman"/>
          <w:b/>
          <w:sz w:val="24"/>
          <w:szCs w:val="24"/>
          <w:lang w:val="lt-LT"/>
        </w:rPr>
      </w:pPr>
    </w:p>
    <w:p w:rsidR="00313760" w:rsidRPr="001F2A25" w:rsidRDefault="00313760" w:rsidP="00313760">
      <w:pPr>
        <w:shd w:val="clear" w:color="auto" w:fill="FFFFFF"/>
        <w:spacing w:line="360" w:lineRule="auto"/>
        <w:ind w:firstLine="360"/>
        <w:rPr>
          <w:rFonts w:ascii="Times New Roman" w:eastAsia="Times New Roman" w:hAnsi="Times New Roman" w:cs="Times New Roman"/>
          <w:sz w:val="24"/>
          <w:szCs w:val="24"/>
          <w:lang w:val="lt-LT"/>
        </w:rPr>
      </w:pPr>
      <w:r w:rsidRPr="001F2A25">
        <w:rPr>
          <w:rFonts w:ascii="Times New Roman" w:eastAsia="Times New Roman" w:hAnsi="Times New Roman" w:cs="Times New Roman"/>
          <w:b/>
          <w:sz w:val="24"/>
          <w:szCs w:val="24"/>
          <w:lang w:val="lt-LT"/>
        </w:rPr>
        <w:t xml:space="preserve">Lietuva. </w:t>
      </w:r>
      <w:r w:rsidRPr="001F2A25">
        <w:rPr>
          <w:rFonts w:ascii="Times New Roman" w:eastAsia="Times New Roman" w:hAnsi="Times New Roman" w:cs="Times New Roman"/>
          <w:sz w:val="24"/>
          <w:szCs w:val="24"/>
          <w:lang w:val="lt-LT"/>
        </w:rPr>
        <w:t>ES kultūros programos „Kūrybiška Europa“ 2014  – 2020 metų struktūrinės paramos lėšas administruoja LR Kultūros ministerija. Lėšos bus investuojamos į 6 priemones: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„Aktualizuoti kultūros paveldo objektus“ (valstybės projektų planavimas);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„Modernizuoti kultūros infrastruktūrą“ (valstybės projektų planavimas);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„Aktualizuoti savivaldybių kultūros paveldo objektus“ (regionų projektų planavimas);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„Modernizuoti savivaldybių kultūros infrastruktūrą“ (regionų projektų planavimas);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„Aktualizuoti viešąjį ir privatų kultūros paveldą (konkursas);</w:t>
      </w:r>
    </w:p>
    <w:p w:rsidR="00313760" w:rsidRPr="001F2A25" w:rsidRDefault="00313760" w:rsidP="00313760">
      <w:pPr>
        <w:pStyle w:val="ListParagraph"/>
        <w:numPr>
          <w:ilvl w:val="0"/>
          <w:numId w:val="12"/>
        </w:numPr>
        <w:shd w:val="clear" w:color="auto" w:fill="FFFFFF"/>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„Modernizuoti viešąją ir privačią kultūros infrastruktūrą“ (konkursas).</w:t>
      </w:r>
    </w:p>
    <w:p w:rsidR="00313760" w:rsidRPr="001F2A25" w:rsidRDefault="00313760" w:rsidP="00313760">
      <w:pPr>
        <w:shd w:val="clear" w:color="auto" w:fill="FFFFFF"/>
        <w:spacing w:line="360" w:lineRule="auto"/>
        <w:jc w:val="both"/>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lastRenderedPageBreak/>
        <w:t>Viso Lietuvai skirta struktūrinės paramos lėšų suma yra 189 mln. Eurų. Detalesnis lėšų paskirstymas pavaizduotas 2 lentelėje.</w:t>
      </w:r>
    </w:p>
    <w:p w:rsidR="00313760" w:rsidRPr="001F2A25" w:rsidRDefault="00313760" w:rsidP="00313760">
      <w:pPr>
        <w:shd w:val="clear" w:color="auto" w:fill="FFFFFF"/>
        <w:spacing w:line="360" w:lineRule="auto"/>
        <w:jc w:val="center"/>
        <w:rPr>
          <w:rFonts w:ascii="Times New Roman" w:eastAsia="Times New Roman" w:hAnsi="Times New Roman" w:cs="Times New Roman"/>
          <w:sz w:val="24"/>
          <w:szCs w:val="24"/>
          <w:lang w:val="lt-LT"/>
        </w:rPr>
      </w:pPr>
      <w:r w:rsidRPr="001F2A25">
        <w:rPr>
          <w:rFonts w:ascii="Times New Roman" w:hAnsi="Times New Roman" w:cs="Times New Roman"/>
          <w:color w:val="222222"/>
          <w:sz w:val="24"/>
          <w:szCs w:val="24"/>
          <w:lang w:val="lt-LT"/>
        </w:rPr>
        <w:t xml:space="preserve">2 lentelė. </w:t>
      </w:r>
      <w:r w:rsidRPr="001F2A25">
        <w:rPr>
          <w:rFonts w:ascii="Times New Roman" w:eastAsia="Times New Roman" w:hAnsi="Times New Roman" w:cs="Times New Roman"/>
          <w:b/>
          <w:sz w:val="24"/>
          <w:szCs w:val="24"/>
          <w:lang w:val="lt-LT"/>
        </w:rPr>
        <w:t>2014  – 2020 metų ES struktūrinės paramos lėšų paskirstymas Lietuvoje</w:t>
      </w:r>
    </w:p>
    <w:tbl>
      <w:tblPr>
        <w:tblStyle w:val="TableGrid"/>
        <w:tblW w:w="0" w:type="auto"/>
        <w:tblLook w:val="04A0"/>
      </w:tblPr>
      <w:tblGrid>
        <w:gridCol w:w="2448"/>
        <w:gridCol w:w="1980"/>
        <w:gridCol w:w="1440"/>
        <w:gridCol w:w="2610"/>
        <w:gridCol w:w="1709"/>
      </w:tblGrid>
      <w:tr w:rsidR="00313760" w:rsidRPr="001F2A25" w:rsidTr="00BC1D09">
        <w:tc>
          <w:tcPr>
            <w:tcW w:w="2448"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Planavimo būdas</w:t>
            </w:r>
          </w:p>
        </w:tc>
        <w:tc>
          <w:tcPr>
            <w:tcW w:w="198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 xml:space="preserve">Kultūros </w:t>
            </w:r>
            <w:r w:rsidRPr="001F2A25">
              <w:rPr>
                <w:rFonts w:ascii="Times New Roman" w:hAnsi="Times New Roman" w:cs="Times New Roman"/>
                <w:color w:val="222222"/>
                <w:sz w:val="24"/>
                <w:szCs w:val="24"/>
                <w:u w:val="single"/>
                <w:lang w:val="lt-LT"/>
              </w:rPr>
              <w:t xml:space="preserve">paveldo </w:t>
            </w:r>
            <w:r w:rsidRPr="001F2A25">
              <w:rPr>
                <w:rFonts w:ascii="Times New Roman" w:hAnsi="Times New Roman" w:cs="Times New Roman"/>
                <w:color w:val="222222"/>
                <w:sz w:val="24"/>
                <w:szCs w:val="24"/>
                <w:lang w:val="lt-LT"/>
              </w:rPr>
              <w:t>lėšos mln. Eur</w:t>
            </w:r>
          </w:p>
        </w:tc>
        <w:tc>
          <w:tcPr>
            <w:tcW w:w="144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Proc. dalis</w:t>
            </w:r>
          </w:p>
        </w:tc>
        <w:tc>
          <w:tcPr>
            <w:tcW w:w="261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 xml:space="preserve">Kultūros </w:t>
            </w:r>
            <w:r w:rsidRPr="001F2A25">
              <w:rPr>
                <w:rFonts w:ascii="Times New Roman" w:hAnsi="Times New Roman" w:cs="Times New Roman"/>
                <w:color w:val="222222"/>
                <w:sz w:val="24"/>
                <w:szCs w:val="24"/>
                <w:u w:val="single"/>
                <w:lang w:val="lt-LT"/>
              </w:rPr>
              <w:t xml:space="preserve">infrastruktūros </w:t>
            </w:r>
            <w:r w:rsidRPr="001F2A25">
              <w:rPr>
                <w:rFonts w:ascii="Times New Roman" w:hAnsi="Times New Roman" w:cs="Times New Roman"/>
                <w:color w:val="222222"/>
                <w:sz w:val="24"/>
                <w:szCs w:val="24"/>
                <w:lang w:val="lt-LT"/>
              </w:rPr>
              <w:t>lėšos mln. Eur</w:t>
            </w:r>
          </w:p>
        </w:tc>
        <w:tc>
          <w:tcPr>
            <w:tcW w:w="1709"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Proc. dalis</w:t>
            </w:r>
          </w:p>
        </w:tc>
      </w:tr>
      <w:tr w:rsidR="00313760" w:rsidRPr="001F2A25" w:rsidTr="00BC1D09">
        <w:tc>
          <w:tcPr>
            <w:tcW w:w="2448" w:type="dxa"/>
            <w:vAlign w:val="center"/>
          </w:tcPr>
          <w:p w:rsidR="00313760" w:rsidRPr="001F2A25" w:rsidRDefault="00313760" w:rsidP="00BC1D09">
            <w:pPr>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Valstybės planavimas</w:t>
            </w:r>
          </w:p>
        </w:tc>
        <w:tc>
          <w:tcPr>
            <w:tcW w:w="198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41</w:t>
            </w:r>
          </w:p>
        </w:tc>
        <w:tc>
          <w:tcPr>
            <w:tcW w:w="144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47 %</w:t>
            </w:r>
          </w:p>
        </w:tc>
        <w:tc>
          <w:tcPr>
            <w:tcW w:w="261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62</w:t>
            </w:r>
          </w:p>
        </w:tc>
        <w:tc>
          <w:tcPr>
            <w:tcW w:w="1709"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60 %</w:t>
            </w:r>
          </w:p>
        </w:tc>
      </w:tr>
      <w:tr w:rsidR="00313760" w:rsidRPr="001F2A25" w:rsidTr="00BC1D09">
        <w:tc>
          <w:tcPr>
            <w:tcW w:w="2448" w:type="dxa"/>
            <w:vAlign w:val="center"/>
          </w:tcPr>
          <w:p w:rsidR="00313760" w:rsidRPr="001F2A25" w:rsidRDefault="00313760" w:rsidP="00BC1D09">
            <w:pPr>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Regioninis planavimas</w:t>
            </w:r>
          </w:p>
        </w:tc>
        <w:tc>
          <w:tcPr>
            <w:tcW w:w="198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17</w:t>
            </w:r>
          </w:p>
        </w:tc>
        <w:tc>
          <w:tcPr>
            <w:tcW w:w="144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20 %</w:t>
            </w:r>
          </w:p>
        </w:tc>
        <w:tc>
          <w:tcPr>
            <w:tcW w:w="261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20</w:t>
            </w:r>
          </w:p>
        </w:tc>
        <w:tc>
          <w:tcPr>
            <w:tcW w:w="1709"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20 %</w:t>
            </w:r>
          </w:p>
        </w:tc>
      </w:tr>
      <w:tr w:rsidR="00313760" w:rsidRPr="001F2A25" w:rsidTr="00BC1D09">
        <w:tc>
          <w:tcPr>
            <w:tcW w:w="2448" w:type="dxa"/>
            <w:vAlign w:val="center"/>
          </w:tcPr>
          <w:p w:rsidR="00313760" w:rsidRPr="001F2A25" w:rsidRDefault="00313760" w:rsidP="00BC1D09">
            <w:pPr>
              <w:spacing w:line="360" w:lineRule="auto"/>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Konkursas</w:t>
            </w:r>
          </w:p>
        </w:tc>
        <w:tc>
          <w:tcPr>
            <w:tcW w:w="198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29</w:t>
            </w:r>
          </w:p>
        </w:tc>
        <w:tc>
          <w:tcPr>
            <w:tcW w:w="144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33 %</w:t>
            </w:r>
          </w:p>
        </w:tc>
        <w:tc>
          <w:tcPr>
            <w:tcW w:w="261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20</w:t>
            </w:r>
          </w:p>
        </w:tc>
        <w:tc>
          <w:tcPr>
            <w:tcW w:w="1709"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20 %</w:t>
            </w:r>
          </w:p>
        </w:tc>
      </w:tr>
      <w:tr w:rsidR="00313760" w:rsidRPr="001F2A25" w:rsidTr="00BC1D09">
        <w:tc>
          <w:tcPr>
            <w:tcW w:w="2448"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Viso:</w:t>
            </w:r>
          </w:p>
        </w:tc>
        <w:tc>
          <w:tcPr>
            <w:tcW w:w="198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87</w:t>
            </w:r>
          </w:p>
        </w:tc>
        <w:tc>
          <w:tcPr>
            <w:tcW w:w="144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100 %</w:t>
            </w:r>
          </w:p>
        </w:tc>
        <w:tc>
          <w:tcPr>
            <w:tcW w:w="2610"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102</w:t>
            </w:r>
          </w:p>
        </w:tc>
        <w:tc>
          <w:tcPr>
            <w:tcW w:w="1709" w:type="dxa"/>
            <w:vAlign w:val="center"/>
          </w:tcPr>
          <w:p w:rsidR="00313760" w:rsidRPr="001F2A25" w:rsidRDefault="00313760" w:rsidP="00BC1D09">
            <w:pPr>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100 %</w:t>
            </w:r>
          </w:p>
        </w:tc>
      </w:tr>
    </w:tbl>
    <w:p w:rsidR="00313760" w:rsidRPr="001F2A25" w:rsidRDefault="00313760" w:rsidP="00313760">
      <w:pPr>
        <w:shd w:val="clear" w:color="auto" w:fill="FFFFFF"/>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 xml:space="preserve">(šaltinis: </w:t>
      </w:r>
      <w:r w:rsidRPr="001F2A25">
        <w:rPr>
          <w:rFonts w:ascii="Times New Roman" w:eastAsia="Times New Roman" w:hAnsi="Times New Roman" w:cs="Times New Roman"/>
          <w:sz w:val="24"/>
          <w:szCs w:val="24"/>
          <w:lang w:val="lt-LT"/>
        </w:rPr>
        <w:t>2014  – 2020 metų Europos Sąjungos</w:t>
      </w:r>
      <w:r w:rsidRPr="001F2A25">
        <w:rPr>
          <w:rFonts w:ascii="Times New Roman" w:hAnsi="Times New Roman" w:cs="Times New Roman"/>
          <w:color w:val="222222"/>
          <w:sz w:val="24"/>
          <w:szCs w:val="24"/>
          <w:lang w:val="lt-LT"/>
        </w:rPr>
        <w:t xml:space="preserve"> ... 2015)</w:t>
      </w:r>
    </w:p>
    <w:p w:rsidR="00313760" w:rsidRPr="001F2A25" w:rsidRDefault="00313760" w:rsidP="00313760">
      <w:pPr>
        <w:shd w:val="clear" w:color="auto" w:fill="FFFFFF"/>
        <w:spacing w:line="360" w:lineRule="auto"/>
        <w:jc w:val="both"/>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ab/>
        <w:t>LR Finansų ministerijos užsakymu atliktų vertinimų duomenimis, ES investicijos teigiamai veikia Lietuvos ekonomikos augimą ir užimtumą:</w:t>
      </w:r>
    </w:p>
    <w:p w:rsidR="00313760" w:rsidRPr="001F2A25" w:rsidRDefault="00313760" w:rsidP="00313760">
      <w:pPr>
        <w:pStyle w:val="ListParagraph"/>
        <w:numPr>
          <w:ilvl w:val="0"/>
          <w:numId w:val="13"/>
        </w:numPr>
        <w:shd w:val="clear" w:color="auto" w:fill="FFFFFF"/>
        <w:spacing w:line="360" w:lineRule="auto"/>
        <w:jc w:val="both"/>
        <w:rPr>
          <w:rFonts w:ascii="Times New Roman" w:hAnsi="Times New Roman" w:cs="Times New Roman"/>
          <w:color w:val="222222"/>
          <w:sz w:val="24"/>
          <w:szCs w:val="24"/>
          <w:lang w:val="lt-LT"/>
        </w:rPr>
      </w:pPr>
      <w:r w:rsidRPr="001F2A25">
        <w:rPr>
          <w:rFonts w:ascii="Times New Roman" w:eastAsia="Times New Roman" w:hAnsi="Times New Roman" w:cs="Times New Roman"/>
          <w:sz w:val="24"/>
          <w:szCs w:val="24"/>
          <w:lang w:val="lt-LT"/>
        </w:rPr>
        <w:t>2004 – 2013 metų laikotarpiu ES struktūrinių fondų investicijos lėmė 1,57 procentinio punkto didesnį realaus BVP (palyginamosiomis 2005 m. kainomis) vidutinį metinį augimą nei jis būtų Lietuvoje be ES investicijų;</w:t>
      </w:r>
    </w:p>
    <w:p w:rsidR="00313760" w:rsidRPr="001F2A25" w:rsidRDefault="00313760" w:rsidP="00313760">
      <w:pPr>
        <w:pStyle w:val="ListParagraph"/>
        <w:numPr>
          <w:ilvl w:val="0"/>
          <w:numId w:val="13"/>
        </w:numPr>
        <w:shd w:val="clear" w:color="auto" w:fill="FFFFFF"/>
        <w:spacing w:line="360" w:lineRule="auto"/>
        <w:jc w:val="both"/>
        <w:rPr>
          <w:rFonts w:ascii="Times New Roman" w:hAnsi="Times New Roman" w:cs="Times New Roman"/>
          <w:color w:val="222222"/>
          <w:sz w:val="24"/>
          <w:szCs w:val="24"/>
          <w:lang w:val="lt-LT"/>
        </w:rPr>
      </w:pPr>
      <w:r w:rsidRPr="001F2A25">
        <w:rPr>
          <w:rFonts w:ascii="Times New Roman" w:eastAsia="Times New Roman" w:hAnsi="Times New Roman" w:cs="Times New Roman"/>
          <w:sz w:val="24"/>
          <w:szCs w:val="24"/>
          <w:lang w:val="lt-LT"/>
        </w:rPr>
        <w:t>2004 – 2015 metais nedarbo lygis buvo 4,6 procentinio punkto mažesnis, nei būtų be ES investicijų Lietuvoje;</w:t>
      </w:r>
    </w:p>
    <w:p w:rsidR="00313760" w:rsidRPr="001F2A25" w:rsidRDefault="00313760" w:rsidP="00313760">
      <w:pPr>
        <w:pStyle w:val="ListParagraph"/>
        <w:numPr>
          <w:ilvl w:val="0"/>
          <w:numId w:val="13"/>
        </w:numPr>
        <w:shd w:val="clear" w:color="auto" w:fill="FFFFFF"/>
        <w:spacing w:line="360" w:lineRule="auto"/>
        <w:jc w:val="both"/>
        <w:rPr>
          <w:rFonts w:ascii="Times New Roman" w:hAnsi="Times New Roman" w:cs="Times New Roman"/>
          <w:color w:val="222222"/>
          <w:sz w:val="24"/>
          <w:szCs w:val="24"/>
          <w:lang w:val="lt-LT"/>
        </w:rPr>
      </w:pPr>
      <w:r w:rsidRPr="001F2A25">
        <w:rPr>
          <w:rFonts w:ascii="Times New Roman" w:eastAsia="Times New Roman" w:hAnsi="Times New Roman" w:cs="Times New Roman"/>
          <w:sz w:val="24"/>
          <w:szCs w:val="24"/>
          <w:lang w:val="lt-LT"/>
        </w:rPr>
        <w:t>2007 – 2013 metais dėl investicijų konkurencingumui bendrasis kapitalas buvo 1,8 mlrd. eurų didesnis, BVP vienam gyventojui 3% didesnis, TUI net 16 procentinių punktų didesnės, nei būtų be ES investicijų.</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b/>
          <w:sz w:val="24"/>
          <w:szCs w:val="24"/>
          <w:lang w:val="lt-LT"/>
        </w:rPr>
        <w:t xml:space="preserve">Parama Europos bendradarbiavimo projektams. </w:t>
      </w:r>
      <w:r w:rsidRPr="001F2A25">
        <w:rPr>
          <w:rFonts w:ascii="Times New Roman" w:eastAsia="Times New Roman" w:hAnsi="Times New Roman" w:cs="Times New Roman"/>
          <w:sz w:val="24"/>
          <w:szCs w:val="24"/>
          <w:lang w:val="lt-LT"/>
        </w:rPr>
        <w:t>Didelio masto bendradarbiavimo projektai – tokių projektų 2016 metais ES buvo pateikta 125, tačiau iš jų atrinko tik 15, taigi įgyvendinta 12 % pateiktų projektų. Daugiausiai projektų buvo parengusi Italija, net 24, bet atrinkti buvo tik 2, todėl Italijos pasisekimo keoficientas tik 8,33 %. Didelio masto bendradarbiavimo projektų įgyvendinimo lyderė yra Austrija, pateikusi tik vieną projektą už 2 mln. eurų, bet sėkmingai jį igyvendinusi.</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Mažesnio masto bendradarbiavimo projektai – tokių 2016-taisiais ES pateikta 404, o įvykdyta 51, kas sudaro 12,62 %. Daugiausiai tokių projektų parašė Italija (79), o sėkmingiausiai projektus rašė Portugalija, kurios 3 iš 5 pateiktų projektų (60 %) sulaukė finansavimo. Įvertinus duomenis, galima teigti, kad Italija yra aktyviausia ES šalis, teikiant didelio ir mažesnio masto bendradarbiavimo projektus.</w:t>
      </w:r>
    </w:p>
    <w:p w:rsidR="00313760" w:rsidRPr="001F2A25" w:rsidRDefault="00313760" w:rsidP="00313760">
      <w:pPr>
        <w:shd w:val="clear" w:color="auto" w:fill="FFFFFF"/>
        <w:tabs>
          <w:tab w:val="left" w:pos="36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lastRenderedPageBreak/>
        <w:tab/>
      </w:r>
      <w:r w:rsidRPr="001F2A25">
        <w:rPr>
          <w:rFonts w:ascii="Times New Roman" w:eastAsia="Times New Roman" w:hAnsi="Times New Roman" w:cs="Times New Roman"/>
          <w:b/>
          <w:sz w:val="24"/>
          <w:szCs w:val="24"/>
          <w:lang w:val="lt-LT"/>
        </w:rPr>
        <w:t xml:space="preserve">Bendra Europos platforma. </w:t>
      </w:r>
      <w:r w:rsidRPr="001F2A25">
        <w:rPr>
          <w:rFonts w:ascii="Times New Roman" w:eastAsia="Times New Roman" w:hAnsi="Times New Roman" w:cs="Times New Roman"/>
          <w:sz w:val="24"/>
          <w:szCs w:val="24"/>
          <w:lang w:val="lt-LT"/>
        </w:rPr>
        <w:t>Platforma skirta remti Europos kūrėjus ir atlikėjus, išreikšti bendrą meninę viziją ir plėsti auditorijas ES mastu. 2015 metais pateikti 47 projektai iš 16 šalių. Įgyvendinti 3 projektai:</w:t>
      </w:r>
    </w:p>
    <w:p w:rsidR="00313760" w:rsidRPr="001F2A25" w:rsidRDefault="00313760" w:rsidP="00313760">
      <w:pPr>
        <w:pStyle w:val="ListParagraph"/>
        <w:numPr>
          <w:ilvl w:val="0"/>
          <w:numId w:val="15"/>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Slovėnija, Architektūros ir dizaino muziejus – projektas „Ateities architektūra“ už 0,5 mln. eurų;</w:t>
      </w:r>
    </w:p>
    <w:p w:rsidR="00313760" w:rsidRPr="001F2A25" w:rsidRDefault="00313760" w:rsidP="00313760">
      <w:pPr>
        <w:pStyle w:val="ListParagraph"/>
        <w:numPr>
          <w:ilvl w:val="0"/>
          <w:numId w:val="15"/>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Jungtinė Karalystė, Aberystwyth universitetas – projektas „Literatūrinė Europa gyvai“ už 0,45 mln. eurų;</w:t>
      </w:r>
    </w:p>
    <w:p w:rsidR="00313760" w:rsidRPr="001F2A25" w:rsidRDefault="00313760" w:rsidP="00313760">
      <w:pPr>
        <w:pStyle w:val="ListParagraph"/>
        <w:numPr>
          <w:ilvl w:val="0"/>
          <w:numId w:val="15"/>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Olandija, Stichting Noorderslag organizacija – projektas „Europos talentų mainų programa 3.0“ už 0,5 mln. eurų.</w:t>
      </w:r>
    </w:p>
    <w:p w:rsidR="00313760"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Literatūros vertimas. </w:t>
      </w:r>
      <w:r w:rsidRPr="001F2A25">
        <w:rPr>
          <w:rFonts w:ascii="Times New Roman" w:eastAsia="Times New Roman" w:hAnsi="Times New Roman" w:cs="Times New Roman"/>
          <w:sz w:val="24"/>
          <w:szCs w:val="24"/>
          <w:lang w:val="lt-LT"/>
        </w:rPr>
        <w:t>Paramą literatūros vertimui gali gauti tik juridiniai asmenys, šį statusą turintys bent 2 metus. 2015 metais ES buvo parašyti 248 projektai, iš kurių 58 įgyvendinti. Daugiausiai projektų parašė Ispanija (26), bet ES įgyvendino tik 4 jų. Sėkmingiausiai projektus rašė Slovėnijoje, kur net 8 projektai iš 11 buvo įgyvendinti.</w:t>
      </w:r>
    </w:p>
    <w:p w:rsidR="00B8490A" w:rsidRPr="00B8490A" w:rsidRDefault="00B8490A" w:rsidP="00B8490A">
      <w:pPr>
        <w:pStyle w:val="NormalWeb"/>
        <w:numPr>
          <w:ilvl w:val="1"/>
          <w:numId w:val="23"/>
        </w:numPr>
        <w:shd w:val="clear" w:color="auto" w:fill="FFFFFF"/>
        <w:tabs>
          <w:tab w:val="left" w:pos="450"/>
        </w:tabs>
        <w:spacing w:line="360" w:lineRule="auto"/>
        <w:jc w:val="center"/>
        <w:rPr>
          <w:b/>
          <w:lang w:val="lt-LT"/>
        </w:rPr>
      </w:pPr>
      <w:r>
        <w:rPr>
          <w:b/>
          <w:lang w:val="lt-LT"/>
        </w:rPr>
        <w:t xml:space="preserve"> </w:t>
      </w:r>
      <w:r w:rsidRPr="00B8490A">
        <w:rPr>
          <w:b/>
          <w:lang w:val="lt-LT"/>
        </w:rPr>
        <w:t>ES struktūrinių fondų panaudojimui plėtojant kultūrą ir meną skirtas tyrimas</w:t>
      </w:r>
    </w:p>
    <w:p w:rsidR="00313760" w:rsidRPr="001F2A25" w:rsidRDefault="00313760" w:rsidP="00313760">
      <w:pPr>
        <w:pStyle w:val="NormalWeb"/>
        <w:shd w:val="clear" w:color="auto" w:fill="FFFFFF"/>
        <w:tabs>
          <w:tab w:val="left" w:pos="450"/>
        </w:tabs>
        <w:spacing w:line="360" w:lineRule="auto"/>
        <w:jc w:val="both"/>
        <w:rPr>
          <w:lang w:val="lt-LT"/>
        </w:rPr>
      </w:pPr>
      <w:r w:rsidRPr="001F2A25">
        <w:rPr>
          <w:lang w:val="lt-LT"/>
        </w:rPr>
        <w:tab/>
        <w:t xml:space="preserve">Kultūros sektoriaus plėtra būtų neįsivaizduojama be finansinės paramos iš valstybės, Europos Sąjungos ar kito rėmėjo. Lietuvos Respublikos Kultūros ministras Šarūnas Birutis 2015 m. rugpjūčio 31 d. patvirtino Kultūros rėmimo fondo lėšomis finansuojamų projektų teikimo gaires, kurios yra parengtos vadovaujantis 2013 m. gruodžio 18d.  Europos Komisijos reglamentu. Gairėse nurodoma, kad: „Paraiškas gali teikti juridiniai asmenys, registruoti vienoje iš ES ar Europos ekonominės erdvės valstybių narių, išskyrus Lietuvos Respublikos ministerijas ir savivaldybių administracijas bei išskyrus atvejus, kai Gairėse nustatyti kitokie reikalavimai sričių ar programų projektų pareiškėjams. Finansavimo gavimo metu jo gavėjas privalo turėti įsisteigimo ar įregistravimo vietą Lietuvos Respublikoje. Paraiškas dėl valstybės stipendijų kultūros ir (ar) meno kūrėjams gali teikti tik fiziniai asmenys“. Viso projekto sąmata turi būti ne mažesnė nei 2500 eurų, iš Fondo turi būti prašoma ne mažiau nei 2000 eurų, muzikos ir literatūros leidybos, įskaitant vertimą, rašymą, redagavimą, gamybą, platinimą, projektų atveju 1750 eurų, išskyrus atvejus, kai finansavimo sąlygose nustatyta kitaip. Savų lėšų indėlis turi būti nemažesnis kaip 20 proc. visos projekto poreikio sumos (veiklų išlaidų), muzikų ir literatūros kūrinių leidybos, įskaitant vertimą, rašymą, redagavimą, gamybą, platinimą ir skaitmeninimą, projektų atveju, savos lėšos turi sudaryti ne mažiau nei 30 proc. viso projekto lėšų, išskyrus, kai finansavimo sąlygose nustatyta kitaip. Projektą reikia pradėti įgyvendinti ankščiau nei sutarties sudarymo dieną, bet kokiu atveju finansuojamos išlaidos, patirtos ne ankščiau, nei sutarties </w:t>
      </w:r>
      <w:r w:rsidRPr="001F2A25">
        <w:rPr>
          <w:lang w:val="lt-LT"/>
        </w:rPr>
        <w:lastRenderedPageBreak/>
        <w:t xml:space="preserve">sudarymo metais. Kvietimai projektų teikimui gali būti skelbiami Lietuvos Respublikos kultūros ministerijos interneto svetainėje </w:t>
      </w:r>
      <w:hyperlink r:id="rId8" w:history="1">
        <w:r w:rsidRPr="001F2A25">
          <w:rPr>
            <w:rStyle w:val="Hyperlink"/>
            <w:lang w:val="lt-LT"/>
          </w:rPr>
          <w:t>www.lrkm.lt</w:t>
        </w:r>
      </w:hyperlink>
      <w:r w:rsidRPr="001F2A25">
        <w:rPr>
          <w:lang w:val="lt-LT"/>
        </w:rPr>
        <w:t xml:space="preserve"> ir (ar) Lietuvos Respublikoje platinamuose periodiniuose leidiniuose.</w:t>
      </w:r>
    </w:p>
    <w:p w:rsidR="00313760" w:rsidRPr="001F2A25" w:rsidRDefault="00313760" w:rsidP="00313760">
      <w:pPr>
        <w:pStyle w:val="NormalWeb"/>
        <w:shd w:val="clear" w:color="auto" w:fill="FFFFFF"/>
        <w:tabs>
          <w:tab w:val="left" w:pos="450"/>
        </w:tabs>
        <w:spacing w:line="360" w:lineRule="auto"/>
        <w:jc w:val="both"/>
        <w:rPr>
          <w:lang w:val="lt-LT"/>
        </w:rPr>
      </w:pPr>
      <w:r w:rsidRPr="001F2A25">
        <w:rPr>
          <w:lang w:val="lt-LT"/>
        </w:rPr>
        <w:tab/>
        <w:t>2014 – 2016 metais pateikta net 15320 paraiškų, iš kurių net 5717 buvo finansuota. Daugiausiai projektų finansuota Vilniaus apskrityje, net 3228, Kauno apskrityje 687 projektai, trečioje vietoje Klaipėdos apskritis, kurioje finansuoti 398 projektai. Visiems projektams finansuoti išleista apie 3,87 mln. eurų. Finansavimas pagal kultū</w:t>
      </w:r>
      <w:r w:rsidR="00277CCC">
        <w:rPr>
          <w:lang w:val="lt-LT"/>
        </w:rPr>
        <w:t>ros ir meno sritis pateikiamas 3</w:t>
      </w:r>
      <w:r w:rsidRPr="001F2A25">
        <w:rPr>
          <w:lang w:val="lt-LT"/>
        </w:rPr>
        <w:t xml:space="preserve"> lentelėje, skirstant nuo daugiausiai parašytų paraiškų kultūros ar meno srityje, iki mažiausiai parašytų paraiškų.</w:t>
      </w:r>
    </w:p>
    <w:p w:rsidR="00313760" w:rsidRPr="001F2A25" w:rsidRDefault="00277CCC" w:rsidP="00313760">
      <w:pPr>
        <w:pStyle w:val="NormalWeb"/>
        <w:shd w:val="clear" w:color="auto" w:fill="FFFFFF"/>
        <w:tabs>
          <w:tab w:val="left" w:pos="450"/>
        </w:tabs>
        <w:spacing w:line="360" w:lineRule="auto"/>
        <w:jc w:val="center"/>
        <w:rPr>
          <w:b/>
          <w:lang w:val="lt-LT"/>
        </w:rPr>
      </w:pPr>
      <w:r>
        <w:rPr>
          <w:lang w:val="lt-LT"/>
        </w:rPr>
        <w:t>3</w:t>
      </w:r>
      <w:r w:rsidR="00313760" w:rsidRPr="001F2A25">
        <w:rPr>
          <w:lang w:val="lt-LT"/>
        </w:rPr>
        <w:t xml:space="preserve"> lentelė. </w:t>
      </w:r>
      <w:r w:rsidR="00313760" w:rsidRPr="001F2A25">
        <w:rPr>
          <w:b/>
          <w:lang w:val="lt-LT"/>
        </w:rPr>
        <w:t>Finansavimas pagal kultūros ir meno sritis</w:t>
      </w:r>
    </w:p>
    <w:tbl>
      <w:tblPr>
        <w:tblStyle w:val="TableGrid"/>
        <w:tblW w:w="0" w:type="auto"/>
        <w:tblLook w:val="04A0"/>
      </w:tblPr>
      <w:tblGrid>
        <w:gridCol w:w="3978"/>
        <w:gridCol w:w="2970"/>
        <w:gridCol w:w="3239"/>
      </w:tblGrid>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b/>
                <w:lang w:val="lt-LT"/>
              </w:rPr>
            </w:pPr>
            <w:r w:rsidRPr="001F2A25">
              <w:rPr>
                <w:b/>
                <w:lang w:val="lt-LT"/>
              </w:rPr>
              <w:t>Kultūros ar meno sritis</w:t>
            </w:r>
          </w:p>
        </w:tc>
        <w:tc>
          <w:tcPr>
            <w:tcW w:w="2970" w:type="dxa"/>
            <w:vAlign w:val="center"/>
          </w:tcPr>
          <w:p w:rsidR="00313760" w:rsidRPr="001F2A25" w:rsidRDefault="00313760" w:rsidP="00BC1D09">
            <w:pPr>
              <w:pStyle w:val="NormalWeb"/>
              <w:tabs>
                <w:tab w:val="left" w:pos="450"/>
              </w:tabs>
              <w:spacing w:line="360" w:lineRule="auto"/>
              <w:jc w:val="center"/>
              <w:rPr>
                <w:b/>
                <w:lang w:val="lt-LT"/>
              </w:rPr>
            </w:pPr>
            <w:r w:rsidRPr="001F2A25">
              <w:rPr>
                <w:b/>
                <w:lang w:val="lt-LT"/>
              </w:rPr>
              <w:t>Pateiktų paraiškų skaičius</w:t>
            </w:r>
          </w:p>
        </w:tc>
        <w:tc>
          <w:tcPr>
            <w:tcW w:w="3239" w:type="dxa"/>
            <w:vAlign w:val="center"/>
          </w:tcPr>
          <w:p w:rsidR="00313760" w:rsidRPr="001F2A25" w:rsidRDefault="00313760" w:rsidP="00BC1D09">
            <w:pPr>
              <w:pStyle w:val="NormalWeb"/>
              <w:tabs>
                <w:tab w:val="left" w:pos="450"/>
              </w:tabs>
              <w:spacing w:line="360" w:lineRule="auto"/>
              <w:jc w:val="center"/>
              <w:rPr>
                <w:b/>
                <w:lang w:val="lt-LT"/>
              </w:rPr>
            </w:pPr>
            <w:r w:rsidRPr="001F2A25">
              <w:rPr>
                <w:b/>
                <w:lang w:val="lt-LT"/>
              </w:rPr>
              <w:t>Finansuotų paraiškų skaičius</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Muzika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1882</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745</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Tarpsritiniai projektai</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1433</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426</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Etninė kultūra ir tautodailė</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1400</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479</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Literatūra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1346</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461</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Mėgėjų menas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1264</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485</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Dailė</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1173</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487</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Teatras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1025</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405</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Muziejai</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1018</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434</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Kultūros paveldas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819</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309</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Bibliotekos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756</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348</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Tarpdisciplininis menas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593</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178</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Literatūra ir leidyba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474</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147</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Fotografija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412</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144</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Kinas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384</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144</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Dizainas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311</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117</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Šokis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289</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124</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Architektūra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253</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102</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Nenurodyta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193</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50</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Kino sklaida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100</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53</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lastRenderedPageBreak/>
              <w:t>Cirkas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58</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30</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Opera</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56</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18</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Muzikinis teatras</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49</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15</w:t>
            </w:r>
          </w:p>
        </w:tc>
      </w:tr>
      <w:tr w:rsidR="00313760" w:rsidRPr="001F2A25" w:rsidTr="00BC1D09">
        <w:tc>
          <w:tcPr>
            <w:tcW w:w="3978" w:type="dxa"/>
            <w:vAlign w:val="center"/>
          </w:tcPr>
          <w:p w:rsidR="00313760" w:rsidRPr="001F2A25" w:rsidRDefault="00313760" w:rsidP="00BC1D09">
            <w:pPr>
              <w:pStyle w:val="NormalWeb"/>
              <w:tabs>
                <w:tab w:val="left" w:pos="450"/>
              </w:tabs>
              <w:spacing w:line="360" w:lineRule="auto"/>
              <w:jc w:val="center"/>
              <w:rPr>
                <w:lang w:val="lt-LT"/>
              </w:rPr>
            </w:pPr>
            <w:r>
              <w:rPr>
                <w:lang w:val="lt-LT"/>
              </w:rPr>
              <w:t>Arch</w:t>
            </w:r>
            <w:r w:rsidRPr="001F2A25">
              <w:rPr>
                <w:lang w:val="lt-LT"/>
              </w:rPr>
              <w:t>yvai</w:t>
            </w:r>
          </w:p>
        </w:tc>
        <w:tc>
          <w:tcPr>
            <w:tcW w:w="2970"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32</w:t>
            </w:r>
          </w:p>
        </w:tc>
        <w:tc>
          <w:tcPr>
            <w:tcW w:w="3239" w:type="dxa"/>
            <w:vAlign w:val="center"/>
          </w:tcPr>
          <w:p w:rsidR="00313760" w:rsidRPr="001F2A25" w:rsidRDefault="00313760" w:rsidP="00BC1D09">
            <w:pPr>
              <w:pStyle w:val="NormalWeb"/>
              <w:tabs>
                <w:tab w:val="left" w:pos="450"/>
              </w:tabs>
              <w:spacing w:line="360" w:lineRule="auto"/>
              <w:jc w:val="center"/>
              <w:rPr>
                <w:lang w:val="lt-LT"/>
              </w:rPr>
            </w:pPr>
            <w:r w:rsidRPr="001F2A25">
              <w:rPr>
                <w:lang w:val="lt-LT"/>
              </w:rPr>
              <w:t>16</w:t>
            </w:r>
          </w:p>
        </w:tc>
      </w:tr>
    </w:tbl>
    <w:p w:rsidR="00313760" w:rsidRPr="001F2A25" w:rsidRDefault="00313760" w:rsidP="00313760">
      <w:pPr>
        <w:shd w:val="clear" w:color="auto" w:fill="FFFFFF"/>
        <w:spacing w:line="360" w:lineRule="auto"/>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(šaltinis: Projektų finansavimas. Prieiga per internetą http://www.ltkt.lt/projektu-finansavimas/statistika)</w:t>
      </w:r>
    </w:p>
    <w:p w:rsidR="00313760" w:rsidRPr="001F2A25" w:rsidRDefault="00313760" w:rsidP="00313760">
      <w:pPr>
        <w:pStyle w:val="NormalWeb"/>
        <w:shd w:val="clear" w:color="auto" w:fill="FFFFFF"/>
        <w:tabs>
          <w:tab w:val="left" w:pos="450"/>
        </w:tabs>
        <w:spacing w:line="360" w:lineRule="auto"/>
        <w:jc w:val="both"/>
        <w:rPr>
          <w:lang w:val="lt-LT"/>
        </w:rPr>
      </w:pPr>
      <w:r w:rsidRPr="001F2A25">
        <w:rPr>
          <w:b/>
          <w:lang w:val="lt-LT"/>
        </w:rPr>
        <w:tab/>
      </w:r>
      <w:r w:rsidRPr="001F2A25">
        <w:rPr>
          <w:lang w:val="lt-LT"/>
        </w:rPr>
        <w:t>Įvertinus duomenis, galima teigti, kad daugiausia projektų parašoma Vilniaus apskrityje, todėl joje įvykdyta daugiausiai projektų kultūros ir meno srityse. Galima daryti prielaidą, kad taip yra todėl, kad Vilniaus apskrityje yra didžiausias gyventojų tankis ir yra labai daug meno kultūros organizacijų, o į Vilniaus apskritį atvykę menininkai tikisi sulaukti greitesnio pripažinimo, kadangi didesni žmonių srautai reiškia didesnę reklamą.</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2014 metais iš valstybės ir savivaldybių biudžeto kultūros paslaugoms skirta 221,8 mln. EUR, arba 29,5 mln. EUR daugiau negu 2013 metais. Palyginti su visa biudžeto išlaidų socialinei sričiai suma, tai sudarė 6 % ir išaugo 0,6 procentiniais punktais. (Lietuvos statistikos departamentas, 2015).</w:t>
      </w:r>
    </w:p>
    <w:p w:rsidR="00313760"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 xml:space="preserve">Eurostat duomenimis, BVP, tenkantis vienam žmogui Lietuvoje, 2003 – 2008 metais kasmet kilo, o 2008 metais BVP vienam gyventojui pasiekus ribą 63 PGG (perkamosios galios standartai), staigiai krito, dėl ekonominės krizės pasekmių. Nuo 2009 metų BVP vienam gyventojui kasmet kilo ir 2014 metais siekė 75 PGS ribą. 2003 – 2014 metų BVP, tenkantis vienam gyventojui Lietuvoje, pavaizduotas 1 paveiksle. 100 PGS atitinka Europos Sąjungos vidurkį, jei rodikliai nesiekia 100 PGS, reiškia šalies rodiklis yra žemiau ES vidurkio ribos, jei PGS reikšmė didesnė už 100 – šalies rodiklis yra aukščiau už ES vidurkį. PGS yra bendra valiuta, ji panaikina kainų lygių skirtumus tarp šalių ir leidžia tikslingai atlikti tyrimus ir palyginimus skirtingų ES šalių. </w:t>
      </w:r>
    </w:p>
    <w:p w:rsidR="00313760" w:rsidRPr="001F2A25" w:rsidRDefault="00313760" w:rsidP="00313760">
      <w:pPr>
        <w:shd w:val="clear" w:color="auto" w:fill="FFFFFF"/>
        <w:spacing w:after="0"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Lietuva ES kultūros programų veikloje pradėjo dalyvauti dar neįstojus į ES, 2001 metais. Programose Lietuva dalyvavo tiek šalies gavėjos teisėmis, tiek organizatorių teisėmis. Toliau pateikti svarbiausi, aktualiausi akademinei bendruomenei arba daugiausiai dėmesio susilaukę projektai.</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„Kultūra 2007 –</w:t>
      </w:r>
      <w:r w:rsidRPr="001F2A25">
        <w:rPr>
          <w:rFonts w:ascii="Times New Roman" w:eastAsia="Times New Roman" w:hAnsi="Times New Roman" w:cs="Times New Roman"/>
          <w:sz w:val="24"/>
          <w:szCs w:val="24"/>
          <w:lang w:val="lt-LT"/>
        </w:rPr>
        <w:t xml:space="preserve"> </w:t>
      </w:r>
      <w:r w:rsidRPr="001F2A25">
        <w:rPr>
          <w:rFonts w:ascii="Times New Roman" w:eastAsia="Times New Roman" w:hAnsi="Times New Roman" w:cs="Times New Roman"/>
          <w:b/>
          <w:sz w:val="24"/>
          <w:szCs w:val="24"/>
          <w:lang w:val="lt-LT"/>
        </w:rPr>
        <w:t xml:space="preserve">2013“. </w:t>
      </w:r>
      <w:r w:rsidRPr="001F2A25">
        <w:rPr>
          <w:rFonts w:ascii="Times New Roman" w:eastAsia="Times New Roman" w:hAnsi="Times New Roman" w:cs="Times New Roman"/>
          <w:sz w:val="24"/>
          <w:szCs w:val="24"/>
          <w:lang w:val="lt-LT"/>
        </w:rPr>
        <w:t xml:space="preserve">Šios programos bendradarbiavimo projektuose Lietuvos kultūros specialistai dalyvavo 37 kartus, gavo paramą Europos kultūros festivaliui, leidykloms, rengusioms grožinių kūrinių vertimus į lietuvių kalbą, projektams įvertintiems daugiamečio bendradarbiavimo srityje. Daugiausia dėmesio skirta scenos menui – šiuolaikianiui šokiui, muzikai, teatro kūrybinei veiklai plėtoti. Iš viso Lietuvos kultūros organizacijoms buvo skirta 18 674 538 eurų parama. </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hAnsi="Times New Roman" w:cs="Times New Roman"/>
          <w:b/>
          <w:sz w:val="24"/>
          <w:szCs w:val="24"/>
          <w:lang w:val="lt-LT"/>
        </w:rPr>
        <w:lastRenderedPageBreak/>
        <w:t xml:space="preserve">Europos kultūros sostinė. </w:t>
      </w:r>
      <w:r w:rsidRPr="001F2A25">
        <w:rPr>
          <w:rFonts w:ascii="Times New Roman" w:hAnsi="Times New Roman" w:cs="Times New Roman"/>
          <w:sz w:val="24"/>
          <w:szCs w:val="24"/>
          <w:lang w:val="lt-LT"/>
        </w:rPr>
        <w:t xml:space="preserve">2009 metais Vilnius buvo ketvirtasis iš Rytų Europos miestų, kuriam buvo paskirtas Europos kultūros sostinės titulas. VEKS‘o (taip pavadintas projektas „Vilnius </w:t>
      </w:r>
      <w:r w:rsidRPr="001F2A25">
        <w:rPr>
          <w:rFonts w:ascii="Times New Roman" w:eastAsia="Times New Roman" w:hAnsi="Times New Roman" w:cs="Times New Roman"/>
          <w:sz w:val="24"/>
          <w:szCs w:val="24"/>
          <w:lang w:val="lt-LT"/>
        </w:rPr>
        <w:t>– Europos kultūros sostinė“) įgyvendinimui valstybė išleido 86,89 milijonų eurų, o kokia galutinė įsisavintų pinigų suma, tiksliai žinoma nėra.</w:t>
      </w:r>
    </w:p>
    <w:p w:rsidR="00313760" w:rsidRPr="001F2A25" w:rsidRDefault="00313760" w:rsidP="00313760">
      <w:pPr>
        <w:shd w:val="clear" w:color="auto" w:fill="FFFFFF"/>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Saulėtekio slėnis. </w:t>
      </w:r>
      <w:r w:rsidRPr="001F2A25">
        <w:rPr>
          <w:rFonts w:ascii="Times New Roman" w:eastAsia="Times New Roman" w:hAnsi="Times New Roman" w:cs="Times New Roman"/>
          <w:sz w:val="24"/>
          <w:szCs w:val="24"/>
          <w:lang w:val="lt-LT"/>
        </w:rPr>
        <w:t>Tai didžiausias Lietuvoje mokslo, informacijos studijoms ir verslo centras. Šiam projektui panaudota 86 mln. eurų ES struktūrinės paramos lėšų. Projektas organizuotas skiriant didelį dėmesį mokslininkams ir verslininkams, kurie dirba su lazeriais ir šviesos technologijomis, medžiagotyra ir nanotechnologijomis, puslaidininkiais, elektronika. Pasak Fizinių ir technologijos mokslų centro (FTMC) direktoriaus prof. Gintaro Valušio: „Kuriant šį slėnį daugiausiai orientuotasi į sritis, kuriose Lietuva jau turi tam tikrą pranašumą. Sukurti tokį gyvybingą projektą tuščioje vietoje būtų neįmanoma“. Saulėtekio slėnio mokslo centru naudojasi ne tik Lietuvos studentija, bet ir užsienio šalių studentai, atvykę mokytis į Lietuvą per „Erasmus+“ programą, taigi šis projektas įgyja tarptautinę reikšmę.</w:t>
      </w:r>
    </w:p>
    <w:p w:rsidR="00313760" w:rsidRPr="001F2A25" w:rsidRDefault="00313760" w:rsidP="00313760">
      <w:pPr>
        <w:shd w:val="clear" w:color="auto" w:fill="FFFFFF"/>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w:t>
      </w:r>
      <w:r w:rsidRPr="001F2A25">
        <w:rPr>
          <w:rFonts w:ascii="Times New Roman" w:eastAsia="Times New Roman" w:hAnsi="Times New Roman" w:cs="Times New Roman"/>
          <w:b/>
          <w:sz w:val="24"/>
          <w:szCs w:val="24"/>
          <w:lang w:val="lt-LT"/>
        </w:rPr>
        <w:t xml:space="preserve">Erasmus+“. </w:t>
      </w:r>
      <w:r w:rsidRPr="001F2A25">
        <w:rPr>
          <w:rFonts w:ascii="Times New Roman" w:eastAsia="Times New Roman" w:hAnsi="Times New Roman" w:cs="Times New Roman"/>
          <w:sz w:val="24"/>
          <w:szCs w:val="24"/>
          <w:lang w:val="lt-LT"/>
        </w:rPr>
        <w:t>2014 metais Europos Komisija sujungė sporto, jaunimo ir švietimo programas ir taip sukūrė Erasmus+, kas pastūmėjo visas Europos švietimo sistemas tobulėti ir skleistis jaunimo potencialui. 2015 metais apie 8 mln. eurų Europos Komisija skyrė programos įgyvendinimui Lietuvoje ir 80 proc. šios sumos numatyta skirti studentų praktikoms ir studijoms užsienyje. Daugiau nei 4000 studentų galės pasinaudoti šiuo pasiūlymu.</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1164590</wp:posOffset>
            </wp:positionH>
            <wp:positionV relativeFrom="paragraph">
              <wp:posOffset>34925</wp:posOffset>
            </wp:positionV>
            <wp:extent cx="4001770" cy="2696845"/>
            <wp:effectExtent l="19050" t="0" r="0" b="0"/>
            <wp:wrapSquare wrapText="bothSides"/>
            <wp:docPr id="1" name="Picture 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9"/>
                    <a:stretch>
                      <a:fillRect/>
                    </a:stretch>
                  </pic:blipFill>
                  <pic:spPr>
                    <a:xfrm>
                      <a:off x="0" y="0"/>
                      <a:ext cx="4001770" cy="2696845"/>
                    </a:xfrm>
                    <a:prstGeom prst="rect">
                      <a:avLst/>
                    </a:prstGeom>
                  </pic:spPr>
                </pic:pic>
              </a:graphicData>
            </a:graphic>
          </wp:anchor>
        </w:drawing>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Default="00313760" w:rsidP="00313760">
      <w:pPr>
        <w:shd w:val="clear" w:color="auto" w:fill="FFFFFF"/>
        <w:spacing w:after="0" w:line="360" w:lineRule="auto"/>
        <w:jc w:val="center"/>
        <w:rPr>
          <w:rFonts w:ascii="Times New Roman" w:eastAsia="Times New Roman" w:hAnsi="Times New Roman" w:cs="Times New Roman"/>
          <w:sz w:val="24"/>
          <w:szCs w:val="24"/>
          <w:lang w:val="lt-LT"/>
        </w:rPr>
      </w:pPr>
    </w:p>
    <w:p w:rsidR="00313760" w:rsidRDefault="00313760" w:rsidP="00313760">
      <w:pPr>
        <w:shd w:val="clear" w:color="auto" w:fill="FFFFFF"/>
        <w:spacing w:after="0" w:line="360" w:lineRule="auto"/>
        <w:jc w:val="center"/>
        <w:rPr>
          <w:rFonts w:ascii="Times New Roman" w:eastAsia="Times New Roman" w:hAnsi="Times New Roman" w:cs="Times New Roman"/>
          <w:sz w:val="24"/>
          <w:szCs w:val="24"/>
          <w:lang w:val="lt-LT"/>
        </w:rPr>
      </w:pPr>
    </w:p>
    <w:p w:rsidR="00313760" w:rsidRDefault="00313760" w:rsidP="00313760">
      <w:pPr>
        <w:shd w:val="clear" w:color="auto" w:fill="FFFFFF"/>
        <w:spacing w:after="0" w:line="360" w:lineRule="auto"/>
        <w:jc w:val="center"/>
        <w:rPr>
          <w:rFonts w:ascii="Times New Roman" w:eastAsia="Times New Roman" w:hAnsi="Times New Roman" w:cs="Times New Roman"/>
          <w:sz w:val="24"/>
          <w:szCs w:val="24"/>
          <w:lang w:val="lt-LT"/>
        </w:rPr>
      </w:pPr>
    </w:p>
    <w:p w:rsidR="00313760" w:rsidRPr="001F2A25" w:rsidRDefault="00313760" w:rsidP="00313760">
      <w:pPr>
        <w:shd w:val="clear" w:color="auto" w:fill="FFFFFF"/>
        <w:spacing w:after="0"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sz w:val="24"/>
          <w:szCs w:val="24"/>
          <w:lang w:val="lt-LT"/>
        </w:rPr>
        <w:t xml:space="preserve">1 pav. </w:t>
      </w:r>
      <w:r w:rsidRPr="001F2A25">
        <w:rPr>
          <w:rFonts w:ascii="Times New Roman" w:eastAsia="Times New Roman" w:hAnsi="Times New Roman" w:cs="Times New Roman"/>
          <w:b/>
          <w:sz w:val="24"/>
          <w:szCs w:val="24"/>
          <w:lang w:val="lt-LT"/>
        </w:rPr>
        <w:t>BVP, tenkantis vienam gyventojui Lietuvoje, 2003 – 2014 metais</w:t>
      </w:r>
    </w:p>
    <w:p w:rsidR="00313760" w:rsidRPr="001F2A25" w:rsidRDefault="00313760" w:rsidP="00313760">
      <w:pPr>
        <w:shd w:val="clear" w:color="auto" w:fill="FFFFFF"/>
        <w:spacing w:after="0" w:line="360" w:lineRule="auto"/>
        <w:ind w:firstLine="720"/>
        <w:jc w:val="center"/>
        <w:rPr>
          <w:rFonts w:ascii="Times New Roman" w:eastAsia="Times New Roman" w:hAnsi="Times New Roman" w:cs="Times New Roman"/>
          <w:b/>
          <w:sz w:val="24"/>
          <w:szCs w:val="24"/>
          <w:lang w:val="lt-LT"/>
        </w:rPr>
      </w:pPr>
      <w:r w:rsidRPr="001F2A25">
        <w:rPr>
          <w:rFonts w:ascii="Times New Roman" w:hAnsi="Times New Roman" w:cs="Times New Roman"/>
          <w:color w:val="222222"/>
          <w:sz w:val="24"/>
          <w:szCs w:val="24"/>
          <w:lang w:val="lt-LT"/>
        </w:rPr>
        <w:t xml:space="preserve">(šaltinis: „GDP per capita in PPS“ </w:t>
      </w:r>
      <w:r w:rsidRPr="001F2A25">
        <w:rPr>
          <w:rFonts w:ascii="Times New Roman" w:hAnsi="Times New Roman" w:cs="Times New Roman"/>
          <w:color w:val="222222"/>
          <w:sz w:val="20"/>
          <w:szCs w:val="20"/>
          <w:lang w:val="lt-LT"/>
        </w:rPr>
        <w:t>http://ec.europa.eu/eurostat/tgm/graph.do?tab=graph&amp;plugin=1&amp;language=en&amp;pcode=tec00114&amp;toolbox=type</w:t>
      </w:r>
      <w:r w:rsidRPr="001F2A25">
        <w:rPr>
          <w:rFonts w:ascii="Times New Roman" w:hAnsi="Times New Roman" w:cs="Times New Roman"/>
          <w:color w:val="222222"/>
          <w:sz w:val="24"/>
          <w:szCs w:val="24"/>
          <w:lang w:val="lt-LT"/>
        </w:rPr>
        <w:t>)</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lastRenderedPageBreak/>
        <w:t>Lietuvoje kultūros srityje dirbančių asmenų skaičius 2010 – 2014 augo nuo 21,2 tūkstančių iki 25 tūkstančių asmenų, kas sudaro 1,9 % visų dirbančių asmenų skaičiumi. Iš 25 tūkstančių asmenų, dirbančių kultūros srityje 2014 metais, 16,8 tūkstančio sudarė moterys.</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Statistinio ūkio subjektų registro duomenimis, 2015 metų pradžioje buvo užfiksuoti kultūros srities ūkio su</w:t>
      </w:r>
      <w:r w:rsidR="00277CCC">
        <w:rPr>
          <w:rFonts w:ascii="Times New Roman" w:eastAsia="Times New Roman" w:hAnsi="Times New Roman" w:cs="Times New Roman"/>
          <w:sz w:val="24"/>
          <w:szCs w:val="24"/>
          <w:lang w:val="lt-LT"/>
        </w:rPr>
        <w:t>bjektų kiekiai, kurie pateikti 4</w:t>
      </w:r>
      <w:r w:rsidRPr="001F2A25">
        <w:rPr>
          <w:rFonts w:ascii="Times New Roman" w:eastAsia="Times New Roman" w:hAnsi="Times New Roman" w:cs="Times New Roman"/>
          <w:sz w:val="24"/>
          <w:szCs w:val="24"/>
          <w:lang w:val="lt-LT"/>
        </w:rPr>
        <w:t xml:space="preserve"> lentelėje.</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313760" w:rsidRPr="001F2A25" w:rsidRDefault="00277CCC" w:rsidP="00313760">
      <w:pPr>
        <w:shd w:val="clear" w:color="auto" w:fill="FFFFFF"/>
        <w:spacing w:after="0" w:line="360" w:lineRule="auto"/>
        <w:ind w:firstLine="720"/>
        <w:jc w:val="center"/>
        <w:rPr>
          <w:rFonts w:ascii="Times New Roman" w:eastAsia="Times New Roman" w:hAnsi="Times New Roman" w:cs="Times New Roman"/>
          <w:b/>
          <w:sz w:val="24"/>
          <w:szCs w:val="24"/>
          <w:lang w:val="lt-LT"/>
        </w:rPr>
      </w:pPr>
      <w:r>
        <w:rPr>
          <w:rFonts w:ascii="Times New Roman" w:eastAsia="Times New Roman" w:hAnsi="Times New Roman" w:cs="Times New Roman"/>
          <w:sz w:val="24"/>
          <w:szCs w:val="24"/>
          <w:lang w:val="lt-LT"/>
        </w:rPr>
        <w:t>4</w:t>
      </w:r>
      <w:r w:rsidR="00313760" w:rsidRPr="001F2A25">
        <w:rPr>
          <w:rFonts w:ascii="Times New Roman" w:eastAsia="Times New Roman" w:hAnsi="Times New Roman" w:cs="Times New Roman"/>
          <w:sz w:val="24"/>
          <w:szCs w:val="24"/>
          <w:lang w:val="lt-LT"/>
        </w:rPr>
        <w:t xml:space="preserve"> lentelė. </w:t>
      </w:r>
      <w:r w:rsidR="00313760" w:rsidRPr="001F2A25">
        <w:rPr>
          <w:rFonts w:ascii="Times New Roman" w:eastAsia="Times New Roman" w:hAnsi="Times New Roman" w:cs="Times New Roman"/>
          <w:b/>
          <w:sz w:val="24"/>
          <w:szCs w:val="24"/>
          <w:lang w:val="lt-LT"/>
        </w:rPr>
        <w:t>Kultūros srities ūkio subjektų skaičius 2015 metų pradžioje</w:t>
      </w:r>
    </w:p>
    <w:tbl>
      <w:tblPr>
        <w:tblStyle w:val="TableGrid"/>
        <w:tblW w:w="0" w:type="auto"/>
        <w:tblLook w:val="04A0"/>
      </w:tblPr>
      <w:tblGrid>
        <w:gridCol w:w="7398"/>
        <w:gridCol w:w="2789"/>
      </w:tblGrid>
      <w:tr w:rsidR="00313760" w:rsidRPr="001F2A25" w:rsidTr="00BC1D09">
        <w:tc>
          <w:tcPr>
            <w:tcW w:w="7398" w:type="dxa"/>
            <w:vAlign w:val="center"/>
          </w:tcPr>
          <w:p w:rsidR="00313760" w:rsidRPr="001F2A25" w:rsidRDefault="00313760" w:rsidP="00BC1D09">
            <w:pPr>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Kultūros sritis</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Subjektų skaičius, vnt</w:t>
            </w:r>
          </w:p>
        </w:tc>
      </w:tr>
      <w:tr w:rsidR="00313760" w:rsidRPr="001F2A25" w:rsidTr="00BC1D09">
        <w:tc>
          <w:tcPr>
            <w:tcW w:w="7398" w:type="dxa"/>
            <w:vAlign w:val="center"/>
          </w:tcPr>
          <w:p w:rsidR="00313760" w:rsidRPr="001F2A25" w:rsidRDefault="00313760" w:rsidP="00BC1D09">
            <w:pPr>
              <w:spacing w:line="360" w:lineRule="auto"/>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Programų rengimas ir transliavimas.</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81</w:t>
            </w:r>
          </w:p>
        </w:tc>
      </w:tr>
      <w:tr w:rsidR="00313760" w:rsidRPr="001F2A25" w:rsidTr="00BC1D09">
        <w:tc>
          <w:tcPr>
            <w:tcW w:w="7398" w:type="dxa"/>
            <w:vAlign w:val="center"/>
          </w:tcPr>
          <w:p w:rsidR="00313760" w:rsidRPr="001F2A25" w:rsidRDefault="00313760" w:rsidP="00BC1D09">
            <w:pPr>
              <w:spacing w:line="360" w:lineRule="auto"/>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Kino filmų, vaizdo filmų ir televizijos programų gamyba, garso įrašymo ir muzikos įrašų leidybos veikla.</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234</w:t>
            </w:r>
          </w:p>
        </w:tc>
      </w:tr>
      <w:tr w:rsidR="00313760" w:rsidRPr="001F2A25" w:rsidTr="00BC1D09">
        <w:tc>
          <w:tcPr>
            <w:tcW w:w="7398" w:type="dxa"/>
            <w:vAlign w:val="center"/>
          </w:tcPr>
          <w:p w:rsidR="00313760" w:rsidRPr="001F2A25" w:rsidRDefault="00313760" w:rsidP="00BC1D09">
            <w:pPr>
              <w:spacing w:line="360" w:lineRule="auto"/>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Bibliotekų, archyvų, muziejų ir kita kultūrinė veikla.</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267</w:t>
            </w:r>
          </w:p>
        </w:tc>
      </w:tr>
      <w:tr w:rsidR="00313760" w:rsidRPr="001F2A25" w:rsidTr="00BC1D09">
        <w:tc>
          <w:tcPr>
            <w:tcW w:w="7398" w:type="dxa"/>
            <w:vAlign w:val="center"/>
          </w:tcPr>
          <w:p w:rsidR="00313760" w:rsidRPr="001F2A25" w:rsidRDefault="00313760" w:rsidP="00BC1D09">
            <w:pPr>
              <w:spacing w:line="360" w:lineRule="auto"/>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Leidybinė veikla.</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644</w:t>
            </w:r>
          </w:p>
        </w:tc>
      </w:tr>
      <w:tr w:rsidR="00313760" w:rsidRPr="001F2A25" w:rsidTr="00BC1D09">
        <w:tc>
          <w:tcPr>
            <w:tcW w:w="7398" w:type="dxa"/>
            <w:vAlign w:val="center"/>
          </w:tcPr>
          <w:p w:rsidR="00313760" w:rsidRPr="001F2A25" w:rsidRDefault="00313760" w:rsidP="00BC1D09">
            <w:pPr>
              <w:spacing w:line="360" w:lineRule="auto"/>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Kūrybinė, meninė ir pramogų organizavimo veikla.</w:t>
            </w:r>
          </w:p>
        </w:tc>
        <w:tc>
          <w:tcPr>
            <w:tcW w:w="2789"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654</w:t>
            </w:r>
          </w:p>
        </w:tc>
      </w:tr>
    </w:tbl>
    <w:p w:rsidR="00313760" w:rsidRPr="001F2A25" w:rsidRDefault="00313760" w:rsidP="00313760">
      <w:pPr>
        <w:shd w:val="clear" w:color="auto" w:fill="FFFFFF"/>
        <w:spacing w:after="0" w:line="360" w:lineRule="auto"/>
        <w:ind w:firstLine="720"/>
        <w:jc w:val="center"/>
        <w:rPr>
          <w:rFonts w:ascii="Times New Roman" w:eastAsia="Times New Roman" w:hAnsi="Times New Roman" w:cs="Times New Roman"/>
          <w:b/>
          <w:sz w:val="24"/>
          <w:szCs w:val="24"/>
          <w:lang w:val="lt-LT"/>
        </w:rPr>
      </w:pPr>
      <w:r w:rsidRPr="001F2A25">
        <w:rPr>
          <w:rFonts w:ascii="Times New Roman" w:hAnsi="Times New Roman" w:cs="Times New Roman"/>
          <w:color w:val="222222"/>
          <w:sz w:val="24"/>
          <w:szCs w:val="24"/>
          <w:lang w:val="lt-LT"/>
        </w:rPr>
        <w:t>(šaltinis: sudaryta autoriaus, remiantis Lietuvos statistikos departamento duomenimis, 2015)</w:t>
      </w:r>
    </w:p>
    <w:p w:rsidR="00313760" w:rsidRPr="001F2A25" w:rsidRDefault="00313760" w:rsidP="00313760">
      <w:pPr>
        <w:shd w:val="clear" w:color="auto" w:fill="FFFFFF"/>
        <w:spacing w:after="0" w:line="360" w:lineRule="auto"/>
        <w:jc w:val="both"/>
        <w:rPr>
          <w:rFonts w:ascii="Times New Roman" w:hAnsi="Times New Roman" w:cs="Times New Roman"/>
          <w:sz w:val="24"/>
          <w:szCs w:val="24"/>
          <w:lang w:val="lt-LT"/>
        </w:rPr>
      </w:pPr>
    </w:p>
    <w:p w:rsidR="00313760" w:rsidRPr="001F2A25" w:rsidRDefault="00313760" w:rsidP="00313760">
      <w:pPr>
        <w:shd w:val="clear" w:color="auto" w:fill="FFFFFF"/>
        <w:spacing w:after="0"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Kultūros prekių eksportas, lyginant su visu šalies eksportu, 2014 m. sudarė 0,4 %. Tokių prekių eksporto dalis nuo 2010 m. iki 2014 m. sumažėjo 0,3 procentinio punkto, kas sudarė 5874 tūkstančius eurų. Didžiausią kultūros prekių ekosporto dalį sudaro spausdintos knygos, laikraščiai ir kiti poligrafijos pramonės gaminiai. 2014 metais Lietuvoje išleista 3292 knygų, iš kurių 1340 buvo grožinės. </w:t>
      </w:r>
      <w:r w:rsidR="00277CCC">
        <w:rPr>
          <w:rFonts w:ascii="Times New Roman" w:hAnsi="Times New Roman" w:cs="Times New Roman"/>
          <w:sz w:val="24"/>
          <w:szCs w:val="24"/>
          <w:lang w:val="lt-LT"/>
        </w:rPr>
        <w:t>Tikslesni duomenys pateikiami 5 ir 6</w:t>
      </w:r>
      <w:r w:rsidRPr="001F2A25">
        <w:rPr>
          <w:rFonts w:ascii="Times New Roman" w:hAnsi="Times New Roman" w:cs="Times New Roman"/>
          <w:sz w:val="24"/>
          <w:szCs w:val="24"/>
          <w:lang w:val="lt-LT"/>
        </w:rPr>
        <w:t xml:space="preserve"> lentelėse. </w:t>
      </w:r>
    </w:p>
    <w:p w:rsidR="00313760" w:rsidRPr="001F2A25" w:rsidRDefault="00313760" w:rsidP="00313760">
      <w:pPr>
        <w:shd w:val="clear" w:color="auto" w:fill="FFFFFF"/>
        <w:spacing w:after="0" w:line="360" w:lineRule="auto"/>
        <w:ind w:firstLine="720"/>
        <w:jc w:val="both"/>
        <w:rPr>
          <w:rFonts w:ascii="Times New Roman" w:hAnsi="Times New Roman" w:cs="Times New Roman"/>
          <w:sz w:val="24"/>
          <w:szCs w:val="24"/>
          <w:lang w:val="lt-LT"/>
        </w:rPr>
      </w:pPr>
    </w:p>
    <w:p w:rsidR="00313760" w:rsidRPr="001F2A25" w:rsidRDefault="00277CCC" w:rsidP="00313760">
      <w:pPr>
        <w:shd w:val="clear" w:color="auto" w:fill="FFFFFF"/>
        <w:spacing w:after="0" w:line="360" w:lineRule="auto"/>
        <w:ind w:firstLine="720"/>
        <w:jc w:val="center"/>
        <w:rPr>
          <w:rFonts w:ascii="Times New Roman" w:eastAsia="Times New Roman" w:hAnsi="Times New Roman" w:cs="Times New Roman"/>
          <w:b/>
          <w:sz w:val="24"/>
          <w:szCs w:val="24"/>
          <w:lang w:val="lt-LT"/>
        </w:rPr>
      </w:pPr>
      <w:r>
        <w:rPr>
          <w:rFonts w:ascii="Times New Roman" w:hAnsi="Times New Roman" w:cs="Times New Roman"/>
          <w:sz w:val="24"/>
          <w:szCs w:val="24"/>
          <w:lang w:val="lt-LT"/>
        </w:rPr>
        <w:t>5</w:t>
      </w:r>
      <w:r w:rsidR="00313760" w:rsidRPr="001F2A25">
        <w:rPr>
          <w:rFonts w:ascii="Times New Roman" w:hAnsi="Times New Roman" w:cs="Times New Roman"/>
          <w:sz w:val="24"/>
          <w:szCs w:val="24"/>
          <w:lang w:val="lt-LT"/>
        </w:rPr>
        <w:t xml:space="preserve"> lentelė. </w:t>
      </w:r>
      <w:r w:rsidR="00313760" w:rsidRPr="001F2A25">
        <w:rPr>
          <w:rFonts w:ascii="Times New Roman" w:hAnsi="Times New Roman" w:cs="Times New Roman"/>
          <w:b/>
          <w:sz w:val="24"/>
          <w:szCs w:val="24"/>
          <w:lang w:val="lt-LT"/>
        </w:rPr>
        <w:t>Pagrindinių kultūros prekių eksportas ir importas tūkstančiais eurų</w:t>
      </w:r>
    </w:p>
    <w:tbl>
      <w:tblPr>
        <w:tblStyle w:val="TableGrid"/>
        <w:tblW w:w="0" w:type="auto"/>
        <w:tblLook w:val="04A0"/>
      </w:tblPr>
      <w:tblGrid>
        <w:gridCol w:w="1455"/>
        <w:gridCol w:w="1455"/>
        <w:gridCol w:w="1455"/>
        <w:gridCol w:w="1455"/>
        <w:gridCol w:w="1455"/>
        <w:gridCol w:w="1456"/>
        <w:gridCol w:w="1456"/>
      </w:tblGrid>
      <w:tr w:rsidR="00313760" w:rsidRPr="001F2A25" w:rsidTr="00BC1D09">
        <w:tc>
          <w:tcPr>
            <w:tcW w:w="1455" w:type="dxa"/>
            <w:vMerge w:val="restart"/>
          </w:tcPr>
          <w:p w:rsidR="00313760" w:rsidRPr="001F2A25" w:rsidRDefault="00313760" w:rsidP="00BC1D09">
            <w:pPr>
              <w:spacing w:line="360" w:lineRule="auto"/>
              <w:jc w:val="both"/>
              <w:rPr>
                <w:rFonts w:ascii="Times New Roman" w:hAnsi="Times New Roman" w:cs="Times New Roman"/>
                <w:sz w:val="24"/>
                <w:szCs w:val="24"/>
                <w:lang w:val="lt-LT"/>
              </w:rPr>
            </w:pPr>
          </w:p>
        </w:tc>
        <w:tc>
          <w:tcPr>
            <w:tcW w:w="2910" w:type="dxa"/>
            <w:gridSpan w:val="2"/>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2010</w:t>
            </w:r>
          </w:p>
        </w:tc>
        <w:tc>
          <w:tcPr>
            <w:tcW w:w="2910" w:type="dxa"/>
            <w:gridSpan w:val="2"/>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2013</w:t>
            </w:r>
          </w:p>
        </w:tc>
        <w:tc>
          <w:tcPr>
            <w:tcW w:w="2912" w:type="dxa"/>
            <w:gridSpan w:val="2"/>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2014</w:t>
            </w:r>
          </w:p>
        </w:tc>
      </w:tr>
      <w:tr w:rsidR="00313760" w:rsidRPr="001F2A25" w:rsidTr="00BC1D09">
        <w:tc>
          <w:tcPr>
            <w:tcW w:w="1455" w:type="dxa"/>
            <w:vMerge/>
          </w:tcPr>
          <w:p w:rsidR="00313760" w:rsidRPr="001F2A25" w:rsidRDefault="00313760" w:rsidP="00BC1D09">
            <w:pPr>
              <w:spacing w:line="360" w:lineRule="auto"/>
              <w:jc w:val="both"/>
              <w:rPr>
                <w:rFonts w:ascii="Times New Roman" w:hAnsi="Times New Roman" w:cs="Times New Roman"/>
                <w:sz w:val="24"/>
                <w:szCs w:val="24"/>
                <w:lang w:val="lt-LT"/>
              </w:rPr>
            </w:pP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Importas</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Eksportas</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Importas</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Eksportas</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Importas</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Eksportas</w:t>
            </w:r>
          </w:p>
        </w:tc>
      </w:tr>
      <w:tr w:rsidR="00313760" w:rsidRPr="001F2A25" w:rsidTr="00BC1D09">
        <w:tc>
          <w:tcPr>
            <w:tcW w:w="1455" w:type="dxa"/>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Knygos</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22770,0</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56135,7</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22813,3</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76248,3</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22114,4</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74177,3</w:t>
            </w:r>
          </w:p>
        </w:tc>
      </w:tr>
      <w:tr w:rsidR="00313760" w:rsidRPr="001F2A25" w:rsidTr="00BC1D09">
        <w:tc>
          <w:tcPr>
            <w:tcW w:w="1455" w:type="dxa"/>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Muzikos instrumentai</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1767,4</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287,2</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3705,8</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1137,5</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3644,5</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1710,3</w:t>
            </w:r>
          </w:p>
        </w:tc>
      </w:tr>
      <w:tr w:rsidR="00313760" w:rsidRPr="001F2A25" w:rsidTr="00BC1D09">
        <w:tc>
          <w:tcPr>
            <w:tcW w:w="1455" w:type="dxa"/>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Dailės kūriniai</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1940,5</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496,4</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923,8</w:t>
            </w:r>
          </w:p>
        </w:tc>
        <w:tc>
          <w:tcPr>
            <w:tcW w:w="1455"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251,8</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883,9</w:t>
            </w:r>
          </w:p>
        </w:tc>
        <w:tc>
          <w:tcPr>
            <w:tcW w:w="1456" w:type="dxa"/>
            <w:vAlign w:val="center"/>
          </w:tcPr>
          <w:p w:rsidR="00313760" w:rsidRPr="001F2A25" w:rsidRDefault="00313760" w:rsidP="00BC1D09">
            <w:pPr>
              <w:spacing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t>293,5</w:t>
            </w:r>
          </w:p>
        </w:tc>
      </w:tr>
    </w:tbl>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(šaltinis: Lietuvos statistikos departamentas, 2015)</w:t>
      </w:r>
    </w:p>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p>
    <w:p w:rsidR="00313760" w:rsidRPr="001F2A25" w:rsidRDefault="00277CCC" w:rsidP="00313760">
      <w:pPr>
        <w:shd w:val="clear" w:color="auto" w:fill="FFFFFF"/>
        <w:spacing w:after="0" w:line="360" w:lineRule="auto"/>
        <w:jc w:val="center"/>
        <w:rPr>
          <w:rFonts w:ascii="Times New Roman" w:hAnsi="Times New Roman" w:cs="Times New Roman"/>
          <w:b/>
          <w:color w:val="222222"/>
          <w:sz w:val="24"/>
          <w:szCs w:val="24"/>
          <w:lang w:val="lt-LT"/>
        </w:rPr>
      </w:pPr>
      <w:r>
        <w:rPr>
          <w:rFonts w:ascii="Times New Roman" w:hAnsi="Times New Roman" w:cs="Times New Roman"/>
          <w:color w:val="222222"/>
          <w:sz w:val="24"/>
          <w:szCs w:val="24"/>
          <w:lang w:val="lt-LT"/>
        </w:rPr>
        <w:lastRenderedPageBreak/>
        <w:t>6</w:t>
      </w:r>
      <w:r w:rsidR="00313760" w:rsidRPr="001F2A25">
        <w:rPr>
          <w:rFonts w:ascii="Times New Roman" w:hAnsi="Times New Roman" w:cs="Times New Roman"/>
          <w:color w:val="222222"/>
          <w:sz w:val="24"/>
          <w:szCs w:val="24"/>
          <w:lang w:val="lt-LT"/>
        </w:rPr>
        <w:t xml:space="preserve"> lentelė. </w:t>
      </w:r>
      <w:r w:rsidR="00313760" w:rsidRPr="001F2A25">
        <w:rPr>
          <w:rFonts w:ascii="Times New Roman" w:hAnsi="Times New Roman" w:cs="Times New Roman"/>
          <w:b/>
          <w:color w:val="222222"/>
          <w:sz w:val="24"/>
          <w:szCs w:val="24"/>
          <w:lang w:val="lt-LT"/>
        </w:rPr>
        <w:t>Kultūros prekių eksporto dalis, nuo viso šalies eksporto</w:t>
      </w:r>
    </w:p>
    <w:tbl>
      <w:tblPr>
        <w:tblStyle w:val="TableGrid"/>
        <w:tblW w:w="0" w:type="auto"/>
        <w:tblLook w:val="04A0"/>
      </w:tblPr>
      <w:tblGrid>
        <w:gridCol w:w="2037"/>
        <w:gridCol w:w="2037"/>
        <w:gridCol w:w="2037"/>
        <w:gridCol w:w="2038"/>
        <w:gridCol w:w="2038"/>
      </w:tblGrid>
      <w:tr w:rsidR="00313760" w:rsidRPr="001F2A25" w:rsidTr="00BC1D09">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2010</w:t>
            </w: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2012</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2013</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2014</w:t>
            </w:r>
          </w:p>
        </w:tc>
      </w:tr>
      <w:tr w:rsidR="00313760" w:rsidRPr="001F2A25" w:rsidTr="00BC1D09">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Kultūros prekių eksporto vertė, tūkst. EUR</w:t>
            </w: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108605,7</w:t>
            </w: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133011,7</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147115,2</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102731,7</w:t>
            </w:r>
          </w:p>
        </w:tc>
      </w:tr>
      <w:tr w:rsidR="00313760" w:rsidRPr="001F2A25" w:rsidTr="00BC1D09">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b/>
                <w:sz w:val="20"/>
                <w:szCs w:val="20"/>
                <w:lang w:val="lt-LT"/>
              </w:rPr>
            </w:pPr>
            <w:r w:rsidRPr="001F2A25">
              <w:rPr>
                <w:rFonts w:ascii="Times New Roman" w:eastAsia="Times New Roman" w:hAnsi="Times New Roman" w:cs="Times New Roman"/>
                <w:b/>
                <w:sz w:val="20"/>
                <w:szCs w:val="20"/>
                <w:lang w:val="lt-LT"/>
              </w:rPr>
              <w:t>Kultūros prekių eksporto dalis, lyginant su visu šalies eksportu, %</w:t>
            </w: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0,7</w:t>
            </w:r>
          </w:p>
        </w:tc>
        <w:tc>
          <w:tcPr>
            <w:tcW w:w="2037"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0,6</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0,6</w:t>
            </w:r>
          </w:p>
        </w:tc>
        <w:tc>
          <w:tcPr>
            <w:tcW w:w="2038" w:type="dxa"/>
            <w:vAlign w:val="center"/>
          </w:tcPr>
          <w:p w:rsidR="00313760" w:rsidRPr="001F2A25" w:rsidRDefault="00313760" w:rsidP="00BC1D09">
            <w:pPr>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0,4</w:t>
            </w:r>
          </w:p>
        </w:tc>
      </w:tr>
    </w:tbl>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(šaltinis: Lietuvos statistikos departamentas, 2015)</w:t>
      </w:r>
    </w:p>
    <w:p w:rsidR="00313760" w:rsidRPr="001F2A25" w:rsidRDefault="00313760" w:rsidP="00313760">
      <w:pPr>
        <w:shd w:val="clear" w:color="auto" w:fill="FFFFFF"/>
        <w:spacing w:after="0" w:line="360" w:lineRule="auto"/>
        <w:ind w:firstLine="720"/>
        <w:jc w:val="center"/>
        <w:rPr>
          <w:rFonts w:ascii="Times New Roman" w:eastAsia="Times New Roman" w:hAnsi="Times New Roman" w:cs="Times New Roman"/>
          <w:sz w:val="24"/>
          <w:szCs w:val="24"/>
          <w:lang w:val="lt-LT"/>
        </w:rPr>
      </w:pPr>
    </w:p>
    <w:p w:rsidR="00313760"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Lietuvos Respublikos kultūros vertybių registre 2014 metais buvo įregistruota 19,3 tūkst. kultūros paveldo vertybių. Jungtinių tautų švietimo, mokslo ir kultūros organizacijos (UNESCO) Pasaulio kultūros paveldo sąraše yra įrašytos 4 Lietuvos veitovės, tai Kernavės archeologinė vietovė (nuo 2004 m.), Vilniaus istorinis centras (nuo 1994 m.), Kuršių nerija (nuo 2000 m.) ir Struvės geodezinis lankas (nuo 2005 m.).</w:t>
      </w:r>
    </w:p>
    <w:p w:rsidR="00313760" w:rsidRPr="001F2A25" w:rsidRDefault="00313760" w:rsidP="00313760">
      <w:pPr>
        <w:shd w:val="clear" w:color="auto" w:fill="FFFFFF"/>
        <w:spacing w:after="0" w:line="360" w:lineRule="auto"/>
        <w:ind w:firstLine="720"/>
        <w:jc w:val="both"/>
        <w:rPr>
          <w:rFonts w:ascii="Times New Roman" w:eastAsia="Times New Roman" w:hAnsi="Times New Roman" w:cs="Times New Roman"/>
          <w:sz w:val="24"/>
          <w:szCs w:val="24"/>
          <w:lang w:val="lt-LT"/>
        </w:rPr>
      </w:pPr>
    </w:p>
    <w:p w:rsidR="00B8490A" w:rsidRPr="00B8490A" w:rsidRDefault="00B8490A" w:rsidP="00B8490A">
      <w:pPr>
        <w:pStyle w:val="ListParagraph"/>
        <w:numPr>
          <w:ilvl w:val="1"/>
          <w:numId w:val="23"/>
        </w:numPr>
        <w:shd w:val="clear" w:color="auto" w:fill="FFFFFF"/>
        <w:tabs>
          <w:tab w:val="left" w:pos="360"/>
          <w:tab w:val="left" w:pos="720"/>
        </w:tabs>
        <w:spacing w:after="0" w:line="360" w:lineRule="auto"/>
        <w:jc w:val="center"/>
        <w:rPr>
          <w:rFonts w:ascii="Times New Roman" w:eastAsia="Times New Roman" w:hAnsi="Times New Roman" w:cs="Times New Roman"/>
          <w:b/>
          <w:sz w:val="24"/>
          <w:szCs w:val="24"/>
          <w:lang w:val="lt-LT"/>
        </w:rPr>
      </w:pPr>
      <w:r w:rsidRPr="00B8490A">
        <w:rPr>
          <w:rFonts w:ascii="Times New Roman" w:hAnsi="Times New Roman" w:cs="Times New Roman"/>
          <w:b/>
          <w:sz w:val="24"/>
          <w:szCs w:val="24"/>
          <w:lang w:val="lt-LT"/>
        </w:rPr>
        <w:t>Kultūros ir meno plėtrai Baltijos šalyse skirtas tyrimas</w:t>
      </w:r>
    </w:p>
    <w:p w:rsidR="00B8490A" w:rsidRPr="00B8490A" w:rsidRDefault="00B8490A" w:rsidP="00B8490A">
      <w:pPr>
        <w:pStyle w:val="ListParagraph"/>
        <w:shd w:val="clear" w:color="auto" w:fill="FFFFFF"/>
        <w:tabs>
          <w:tab w:val="left" w:pos="360"/>
          <w:tab w:val="left" w:pos="720"/>
        </w:tabs>
        <w:spacing w:after="0" w:line="360" w:lineRule="auto"/>
        <w:ind w:left="1080"/>
        <w:jc w:val="both"/>
        <w:rPr>
          <w:rFonts w:ascii="Times New Roman" w:eastAsia="Times New Roman" w:hAnsi="Times New Roman" w:cs="Times New Roman"/>
          <w:sz w:val="24"/>
          <w:szCs w:val="24"/>
          <w:lang w:val="lt-LT"/>
        </w:rPr>
      </w:pPr>
    </w:p>
    <w:p w:rsidR="00313760" w:rsidRPr="00B8490A" w:rsidRDefault="00313760" w:rsidP="00B8490A">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B8490A">
        <w:rPr>
          <w:rFonts w:ascii="Times New Roman" w:eastAsia="Times New Roman" w:hAnsi="Times New Roman" w:cs="Times New Roman"/>
          <w:b/>
          <w:sz w:val="24"/>
          <w:szCs w:val="24"/>
          <w:lang w:val="lt-LT"/>
        </w:rPr>
        <w:t xml:space="preserve">Lietuvos, Latvijos ir Estijos makroekonominiai rodikliai. </w:t>
      </w:r>
      <w:r w:rsidRPr="00B8490A">
        <w:rPr>
          <w:rFonts w:ascii="Times New Roman" w:eastAsia="Times New Roman" w:hAnsi="Times New Roman" w:cs="Times New Roman"/>
          <w:sz w:val="24"/>
          <w:szCs w:val="24"/>
          <w:lang w:val="lt-LT"/>
        </w:rPr>
        <w:t>Būtų tikslinga įvertinti šalių makroekonominius rodiklius, prieš studijuojan</w:t>
      </w:r>
      <w:r w:rsidR="00277CCC" w:rsidRPr="00B8490A">
        <w:rPr>
          <w:rFonts w:ascii="Times New Roman" w:eastAsia="Times New Roman" w:hAnsi="Times New Roman" w:cs="Times New Roman"/>
          <w:sz w:val="24"/>
          <w:szCs w:val="24"/>
          <w:lang w:val="lt-LT"/>
        </w:rPr>
        <w:t>t kultūros ir meno reiškinius. 7</w:t>
      </w:r>
      <w:r w:rsidRPr="00B8490A">
        <w:rPr>
          <w:rFonts w:ascii="Times New Roman" w:eastAsia="Times New Roman" w:hAnsi="Times New Roman" w:cs="Times New Roman"/>
          <w:sz w:val="24"/>
          <w:szCs w:val="24"/>
          <w:lang w:val="lt-LT"/>
        </w:rPr>
        <w:t xml:space="preserve"> lentelėje parodyti 2010 – 2013 metų Lietuvos, Latvijos ir Estijos pagrindiniai makroekonominiai rodikliai ryšium su tuo, kad vėliau galima būtų išanalizuoti makroekonominės aplinkos poveikį meno ir kultūros rodikliams.</w:t>
      </w:r>
    </w:p>
    <w:p w:rsidR="00313760" w:rsidRPr="001F0AB1"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color w:val="C0504D" w:themeColor="accent2"/>
          <w:sz w:val="24"/>
          <w:szCs w:val="24"/>
          <w:lang w:val="lt-LT"/>
        </w:rPr>
      </w:pPr>
    </w:p>
    <w:p w:rsidR="00313760" w:rsidRPr="00004FB3" w:rsidRDefault="00277CCC" w:rsidP="00313760">
      <w:pPr>
        <w:shd w:val="clear" w:color="auto" w:fill="FFFFFF"/>
        <w:tabs>
          <w:tab w:val="left" w:pos="360"/>
          <w:tab w:val="left" w:pos="720"/>
        </w:tabs>
        <w:spacing w:after="0"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sz w:val="24"/>
          <w:szCs w:val="24"/>
          <w:lang w:val="lt-LT"/>
        </w:rPr>
        <w:t>7</w:t>
      </w:r>
      <w:r w:rsidR="00313760">
        <w:rPr>
          <w:rFonts w:ascii="Times New Roman" w:eastAsia="Times New Roman" w:hAnsi="Times New Roman" w:cs="Times New Roman"/>
          <w:sz w:val="24"/>
          <w:szCs w:val="24"/>
          <w:lang w:val="lt-LT"/>
        </w:rPr>
        <w:t xml:space="preserve"> lentelė. </w:t>
      </w:r>
      <w:r w:rsidR="00313760">
        <w:rPr>
          <w:rFonts w:ascii="Times New Roman" w:eastAsia="Times New Roman" w:hAnsi="Times New Roman" w:cs="Times New Roman"/>
          <w:b/>
          <w:sz w:val="24"/>
          <w:szCs w:val="24"/>
          <w:lang w:val="lt-LT"/>
        </w:rPr>
        <w:t>Pagrindiniai Lietuvos, Latvijos ir Estijos makroekonominiai rodikliai</w:t>
      </w:r>
    </w:p>
    <w:tbl>
      <w:tblPr>
        <w:tblStyle w:val="TableGrid"/>
        <w:tblW w:w="0" w:type="auto"/>
        <w:tblLook w:val="04A0"/>
      </w:tblPr>
      <w:tblGrid>
        <w:gridCol w:w="2037"/>
        <w:gridCol w:w="2037"/>
        <w:gridCol w:w="2037"/>
        <w:gridCol w:w="2038"/>
        <w:gridCol w:w="2038"/>
      </w:tblGrid>
      <w:tr w:rsidR="00313760" w:rsidTr="00BC1D09">
        <w:tc>
          <w:tcPr>
            <w:tcW w:w="2037" w:type="dxa"/>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Šalis</w:t>
            </w:r>
          </w:p>
        </w:tc>
        <w:tc>
          <w:tcPr>
            <w:tcW w:w="2037" w:type="dxa"/>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2010</w:t>
            </w:r>
          </w:p>
        </w:tc>
        <w:tc>
          <w:tcPr>
            <w:tcW w:w="2037" w:type="dxa"/>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2011</w:t>
            </w:r>
          </w:p>
        </w:tc>
        <w:tc>
          <w:tcPr>
            <w:tcW w:w="2038" w:type="dxa"/>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2012</w:t>
            </w:r>
          </w:p>
        </w:tc>
        <w:tc>
          <w:tcPr>
            <w:tcW w:w="2038" w:type="dxa"/>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2013</w:t>
            </w:r>
          </w:p>
        </w:tc>
      </w:tr>
      <w:tr w:rsidR="00313760" w:rsidTr="00BC1D09">
        <w:tc>
          <w:tcPr>
            <w:tcW w:w="10187" w:type="dxa"/>
            <w:gridSpan w:val="5"/>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BVP, tenkantis vienam gyventojui, eurais (to meto kainomis)</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9,0</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10,3</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11,8</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Latvija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8,5</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9,8</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10,8</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11,3</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Estija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11,0</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12,5</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13,6</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14,4</w:t>
            </w:r>
          </w:p>
        </w:tc>
      </w:tr>
      <w:tr w:rsidR="00313760" w:rsidTr="00BC1D09">
        <w:tc>
          <w:tcPr>
            <w:tcW w:w="10187" w:type="dxa"/>
            <w:gridSpan w:val="5"/>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Metinė infliacija, proc.</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4,1</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Latvija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-1,2</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2,3</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0</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Estija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2,7</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5,1</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w:t>
            </w:r>
          </w:p>
        </w:tc>
      </w:tr>
      <w:tr w:rsidR="00313760" w:rsidTr="00BC1D09">
        <w:tc>
          <w:tcPr>
            <w:tcW w:w="10187" w:type="dxa"/>
            <w:gridSpan w:val="5"/>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Užimtumo lygis (vyrų ir moterų, 20-64 metų grupės), proc.</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64,3</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66,9</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68,5</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69,9</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Latvija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64,3</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66,3</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68,1</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69,7</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Estija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66,8</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70,6</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72,2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73,4</w:t>
            </w:r>
          </w:p>
        </w:tc>
      </w:tr>
      <w:tr w:rsidR="00313760" w:rsidTr="00BC1D09">
        <w:tc>
          <w:tcPr>
            <w:tcW w:w="10187" w:type="dxa"/>
            <w:gridSpan w:val="5"/>
            <w:vAlign w:val="center"/>
          </w:tcPr>
          <w:p w:rsidR="00313760" w:rsidRPr="00004FB3"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Gyventojų skaičius</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3 141 976</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3 052 588</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3 003 641</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2 971 905</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Latvija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2 120 504</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2 074 605</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2 044 813</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2 023 825</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Estija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1 333 290</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1 329 660</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1 325 217</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1 320 174</w:t>
            </w:r>
          </w:p>
        </w:tc>
      </w:tr>
      <w:tr w:rsidR="00313760" w:rsidTr="00BC1D09">
        <w:tc>
          <w:tcPr>
            <w:tcW w:w="10187" w:type="dxa"/>
            <w:gridSpan w:val="5"/>
            <w:vAlign w:val="center"/>
          </w:tcPr>
          <w:p w:rsidR="00313760" w:rsidRPr="00C35F3C"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Minimalus darbo užmokestis, Eur per mėnesį</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231,70</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231,70</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231,70</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289,62</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Latvija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253,77</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281,93</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285,92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286,66</w:t>
            </w:r>
          </w:p>
        </w:tc>
      </w:tr>
      <w:tr w:rsidR="00313760" w:rsidTr="00BC1D09">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Estija</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278,02</w:t>
            </w:r>
          </w:p>
        </w:tc>
        <w:tc>
          <w:tcPr>
            <w:tcW w:w="2037"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278,02</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290,00</w:t>
            </w:r>
          </w:p>
        </w:tc>
        <w:tc>
          <w:tcPr>
            <w:tcW w:w="2038" w:type="dxa"/>
            <w:vAlign w:val="center"/>
          </w:tcPr>
          <w:p w:rsidR="00313760"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320,00</w:t>
            </w:r>
          </w:p>
        </w:tc>
      </w:tr>
    </w:tbl>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(šaltinis:</w:t>
      </w:r>
      <w:r>
        <w:rPr>
          <w:rFonts w:ascii="Times New Roman" w:hAnsi="Times New Roman" w:cs="Times New Roman"/>
          <w:color w:val="222222"/>
          <w:sz w:val="24"/>
          <w:szCs w:val="24"/>
          <w:lang w:val="lt-LT"/>
        </w:rPr>
        <w:t xml:space="preserve"> sudaryta autoriaus, remiantis Eurostat duomenimis.</w:t>
      </w:r>
      <w:r w:rsidRPr="001F2A25">
        <w:rPr>
          <w:rFonts w:ascii="Times New Roman" w:hAnsi="Times New Roman" w:cs="Times New Roman"/>
          <w:color w:val="222222"/>
          <w:sz w:val="24"/>
          <w:szCs w:val="24"/>
          <w:lang w:val="lt-LT"/>
        </w:rPr>
        <w:t>)</w:t>
      </w:r>
    </w:p>
    <w:p w:rsidR="00313760" w:rsidRPr="001F2A25"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313760" w:rsidRPr="001F2A25"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r>
      <w:r w:rsidRPr="001F2A25">
        <w:rPr>
          <w:rFonts w:ascii="Times New Roman" w:eastAsia="Times New Roman" w:hAnsi="Times New Roman" w:cs="Times New Roman"/>
          <w:b/>
          <w:sz w:val="24"/>
          <w:szCs w:val="24"/>
          <w:lang w:val="lt-LT"/>
        </w:rPr>
        <w:t xml:space="preserve">Lietuvos, Latvijos ir Estijos kultūros rodikliai. </w:t>
      </w:r>
      <w:r w:rsidRPr="001F2A25">
        <w:rPr>
          <w:rFonts w:ascii="Times New Roman" w:eastAsia="Times New Roman" w:hAnsi="Times New Roman" w:cs="Times New Roman"/>
          <w:sz w:val="24"/>
          <w:szCs w:val="24"/>
          <w:lang w:val="lt-LT"/>
        </w:rPr>
        <w:t xml:space="preserve">Remiantis Estijos, Lietuvos ir Latvijos duomenų bazėmis, galima palyginti Baltijos šalių kultūros rodiklius, šiuo atveju 2010 ir </w:t>
      </w:r>
      <w:r>
        <w:rPr>
          <w:rFonts w:ascii="Times New Roman" w:eastAsia="Times New Roman" w:hAnsi="Times New Roman" w:cs="Times New Roman"/>
          <w:sz w:val="24"/>
          <w:szCs w:val="24"/>
          <w:lang w:val="lt-LT"/>
        </w:rPr>
        <w:t xml:space="preserve">2013 metų. Duomenys pateikiami </w:t>
      </w:r>
      <w:r w:rsidR="00277CCC">
        <w:rPr>
          <w:rFonts w:ascii="Times New Roman" w:eastAsia="Times New Roman" w:hAnsi="Times New Roman" w:cs="Times New Roman"/>
          <w:sz w:val="24"/>
          <w:szCs w:val="24"/>
          <w:lang w:val="lt-LT"/>
        </w:rPr>
        <w:t>8</w:t>
      </w:r>
      <w:r w:rsidRPr="001F2A25">
        <w:rPr>
          <w:rFonts w:ascii="Times New Roman" w:eastAsia="Times New Roman" w:hAnsi="Times New Roman" w:cs="Times New Roman"/>
          <w:sz w:val="24"/>
          <w:szCs w:val="24"/>
          <w:lang w:val="lt-LT"/>
        </w:rPr>
        <w:t xml:space="preserve"> lentelėje.</w:t>
      </w:r>
    </w:p>
    <w:p w:rsidR="00313760" w:rsidRPr="001F2A25"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313760" w:rsidRPr="001F2A25" w:rsidRDefault="00277CCC" w:rsidP="00313760">
      <w:pPr>
        <w:shd w:val="clear" w:color="auto" w:fill="FFFFFF"/>
        <w:tabs>
          <w:tab w:val="left" w:pos="360"/>
          <w:tab w:val="left" w:pos="720"/>
        </w:tabs>
        <w:spacing w:after="0"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8</w:t>
      </w:r>
      <w:r w:rsidR="00313760" w:rsidRPr="001F2A25">
        <w:rPr>
          <w:rFonts w:ascii="Times New Roman" w:eastAsia="Times New Roman" w:hAnsi="Times New Roman" w:cs="Times New Roman"/>
          <w:sz w:val="24"/>
          <w:szCs w:val="24"/>
          <w:lang w:val="lt-LT"/>
        </w:rPr>
        <w:t xml:space="preserve"> lentelė. </w:t>
      </w:r>
      <w:r w:rsidR="00313760" w:rsidRPr="001F2A25">
        <w:rPr>
          <w:rFonts w:ascii="Times New Roman" w:eastAsia="Times New Roman" w:hAnsi="Times New Roman" w:cs="Times New Roman"/>
          <w:b/>
          <w:sz w:val="24"/>
          <w:szCs w:val="24"/>
          <w:lang w:val="lt-LT"/>
        </w:rPr>
        <w:t>Lietuvos, Latvijos ir Estijos kultūros</w:t>
      </w:r>
      <w:r w:rsidR="00B8490A">
        <w:rPr>
          <w:rFonts w:ascii="Times New Roman" w:eastAsia="Times New Roman" w:hAnsi="Times New Roman" w:cs="Times New Roman"/>
          <w:b/>
          <w:sz w:val="24"/>
          <w:szCs w:val="24"/>
          <w:lang w:val="lt-LT"/>
        </w:rPr>
        <w:t xml:space="preserve">  ir meno plėtojimo</w:t>
      </w:r>
      <w:r w:rsidR="00313760" w:rsidRPr="001F2A25">
        <w:rPr>
          <w:rFonts w:ascii="Times New Roman" w:eastAsia="Times New Roman" w:hAnsi="Times New Roman" w:cs="Times New Roman"/>
          <w:b/>
          <w:sz w:val="24"/>
          <w:szCs w:val="24"/>
          <w:lang w:val="lt-LT"/>
        </w:rPr>
        <w:t xml:space="preserve"> rodikliai</w:t>
      </w:r>
    </w:p>
    <w:tbl>
      <w:tblPr>
        <w:tblStyle w:val="TableGrid"/>
        <w:tblW w:w="0" w:type="auto"/>
        <w:tblInd w:w="108" w:type="dxa"/>
        <w:tblLook w:val="04A0"/>
      </w:tblPr>
      <w:tblGrid>
        <w:gridCol w:w="2970"/>
        <w:gridCol w:w="1260"/>
        <w:gridCol w:w="1170"/>
        <w:gridCol w:w="1260"/>
        <w:gridCol w:w="1080"/>
        <w:gridCol w:w="90"/>
        <w:gridCol w:w="1170"/>
        <w:gridCol w:w="1079"/>
      </w:tblGrid>
      <w:tr w:rsidR="00313760" w:rsidRPr="001F2A25" w:rsidTr="00BC1D09">
        <w:tc>
          <w:tcPr>
            <w:tcW w:w="2970" w:type="dxa"/>
            <w:vMerge w:val="restart"/>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243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Estija</w:t>
            </w:r>
          </w:p>
        </w:tc>
        <w:tc>
          <w:tcPr>
            <w:tcW w:w="234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Latvija</w:t>
            </w:r>
          </w:p>
        </w:tc>
        <w:tc>
          <w:tcPr>
            <w:tcW w:w="2339" w:type="dxa"/>
            <w:gridSpan w:val="3"/>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Lietuva</w:t>
            </w:r>
          </w:p>
        </w:tc>
      </w:tr>
      <w:tr w:rsidR="00313760" w:rsidRPr="001F2A25" w:rsidTr="00BC1D09">
        <w:tc>
          <w:tcPr>
            <w:tcW w:w="2970" w:type="dxa"/>
            <w:vMerge/>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2010</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2013</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2010</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2013</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2010</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2013</w:t>
            </w:r>
          </w:p>
        </w:tc>
      </w:tr>
      <w:tr w:rsidR="00313760" w:rsidRPr="001F2A25" w:rsidTr="00BC1D09">
        <w:tc>
          <w:tcPr>
            <w:tcW w:w="29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Bibliotekos</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562</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556</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829</w:t>
            </w:r>
          </w:p>
        </w:tc>
        <w:tc>
          <w:tcPr>
            <w:tcW w:w="1170" w:type="dxa"/>
            <w:gridSpan w:val="2"/>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811</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1328</w:t>
            </w:r>
          </w:p>
        </w:tc>
        <w:tc>
          <w:tcPr>
            <w:tcW w:w="1079"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1306</w:t>
            </w: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Skaitytojų skaičius, tenkantis tūkst. gyventojų</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294</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287</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218</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216</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244</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231</w:t>
            </w:r>
          </w:p>
        </w:tc>
      </w:tr>
      <w:tr w:rsidR="00313760" w:rsidRPr="001F2A25" w:rsidTr="00BC1D09">
        <w:tc>
          <w:tcPr>
            <w:tcW w:w="29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Spauda</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170" w:type="dxa"/>
            <w:gridSpan w:val="2"/>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c>
          <w:tcPr>
            <w:tcW w:w="1079"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Knygų skaičius</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3760</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3887</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2035</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2223</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3176</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3356</w:t>
            </w: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Laikraščių skaičius</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131</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127</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197</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242</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276</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243</w:t>
            </w: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Žurnalų ir kitų periodinių leidinių skaičius</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1153</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1130</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368</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308</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561</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585</w:t>
            </w:r>
          </w:p>
        </w:tc>
      </w:tr>
      <w:tr w:rsidR="00313760" w:rsidRPr="001F2A25" w:rsidTr="00BC1D09">
        <w:tc>
          <w:tcPr>
            <w:tcW w:w="29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Teatrai (valstybiniai)</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12</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12</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9</w:t>
            </w:r>
          </w:p>
        </w:tc>
        <w:tc>
          <w:tcPr>
            <w:tcW w:w="1170" w:type="dxa"/>
            <w:gridSpan w:val="2"/>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9</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13</w:t>
            </w:r>
          </w:p>
        </w:tc>
        <w:tc>
          <w:tcPr>
            <w:tcW w:w="1079"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13</w:t>
            </w: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lastRenderedPageBreak/>
              <w:t>Žiūrovų skaičius, tenkantis tūkst. gyventojų</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563</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633</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402</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494</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192</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231</w:t>
            </w:r>
          </w:p>
        </w:tc>
      </w:tr>
      <w:tr w:rsidR="00313760" w:rsidRPr="001F2A25" w:rsidTr="00BC1D09">
        <w:tc>
          <w:tcPr>
            <w:tcW w:w="29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Muziejai</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245</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256</w:t>
            </w:r>
          </w:p>
        </w:tc>
        <w:tc>
          <w:tcPr>
            <w:tcW w:w="126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120</w:t>
            </w:r>
          </w:p>
        </w:tc>
        <w:tc>
          <w:tcPr>
            <w:tcW w:w="1170" w:type="dxa"/>
            <w:gridSpan w:val="2"/>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111</w:t>
            </w:r>
          </w:p>
        </w:tc>
        <w:tc>
          <w:tcPr>
            <w:tcW w:w="1170"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106</w:t>
            </w:r>
          </w:p>
        </w:tc>
        <w:tc>
          <w:tcPr>
            <w:tcW w:w="1079" w:type="dxa"/>
            <w:shd w:val="clear" w:color="auto" w:fill="D9D9D9" w:themeFill="background1" w:themeFillShade="D9"/>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b/>
                <w:sz w:val="24"/>
                <w:szCs w:val="24"/>
                <w:lang w:val="lt-LT"/>
              </w:rPr>
            </w:pPr>
            <w:r w:rsidRPr="001F2A25">
              <w:rPr>
                <w:rFonts w:ascii="Times New Roman" w:eastAsia="Times New Roman" w:hAnsi="Times New Roman" w:cs="Times New Roman"/>
                <w:b/>
                <w:sz w:val="24"/>
                <w:szCs w:val="24"/>
                <w:lang w:val="lt-LT"/>
              </w:rPr>
              <w:t>105</w:t>
            </w:r>
          </w:p>
        </w:tc>
      </w:tr>
      <w:tr w:rsidR="00313760" w:rsidRPr="001F2A25" w:rsidTr="00BC1D09">
        <w:tc>
          <w:tcPr>
            <w:tcW w:w="29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Lankytojų skaičius, tenkantis tūkst. gyventojų</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1680</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2522</w:t>
            </w:r>
          </w:p>
        </w:tc>
        <w:tc>
          <w:tcPr>
            <w:tcW w:w="126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1153</w:t>
            </w:r>
          </w:p>
        </w:tc>
        <w:tc>
          <w:tcPr>
            <w:tcW w:w="1170" w:type="dxa"/>
            <w:gridSpan w:val="2"/>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1321</w:t>
            </w:r>
          </w:p>
        </w:tc>
        <w:tc>
          <w:tcPr>
            <w:tcW w:w="1170"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893</w:t>
            </w:r>
          </w:p>
        </w:tc>
        <w:tc>
          <w:tcPr>
            <w:tcW w:w="1079" w:type="dxa"/>
            <w:vAlign w:val="center"/>
          </w:tcPr>
          <w:p w:rsidR="00313760" w:rsidRPr="001F2A25" w:rsidRDefault="00313760" w:rsidP="00BC1D09">
            <w:pPr>
              <w:tabs>
                <w:tab w:val="left" w:pos="360"/>
                <w:tab w:val="left" w:pos="720"/>
              </w:tabs>
              <w:spacing w:line="360" w:lineRule="auto"/>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1110</w:t>
            </w:r>
          </w:p>
        </w:tc>
      </w:tr>
    </w:tbl>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r w:rsidRPr="001F2A25">
        <w:rPr>
          <w:rFonts w:ascii="Times New Roman" w:hAnsi="Times New Roman" w:cs="Times New Roman"/>
          <w:color w:val="222222"/>
          <w:sz w:val="24"/>
          <w:szCs w:val="24"/>
          <w:lang w:val="lt-LT"/>
        </w:rPr>
        <w:t>(šaltinis: Lietuvos statistikos departamentas, 2015)</w:t>
      </w:r>
    </w:p>
    <w:p w:rsidR="00313760" w:rsidRPr="001F2A25" w:rsidRDefault="00313760" w:rsidP="00313760">
      <w:pPr>
        <w:shd w:val="clear" w:color="auto" w:fill="FFFFFF"/>
        <w:spacing w:after="0" w:line="360" w:lineRule="auto"/>
        <w:ind w:firstLine="720"/>
        <w:jc w:val="center"/>
        <w:rPr>
          <w:rFonts w:ascii="Times New Roman" w:hAnsi="Times New Roman" w:cs="Times New Roman"/>
          <w:color w:val="222222"/>
          <w:sz w:val="24"/>
          <w:szCs w:val="24"/>
          <w:lang w:val="lt-LT"/>
        </w:rPr>
      </w:pPr>
    </w:p>
    <w:p w:rsidR="00313760" w:rsidRPr="001F2A25"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Įvertinus duomenis, pateiktus 3 lentelėje, galima daryti išvadas, kad:</w:t>
      </w:r>
    </w:p>
    <w:p w:rsidR="00313760" w:rsidRPr="001F2A25" w:rsidRDefault="00313760" w:rsidP="00313760">
      <w:pPr>
        <w:pStyle w:val="ListParagraph"/>
        <w:numPr>
          <w:ilvl w:val="0"/>
          <w:numId w:val="17"/>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bibliotekų skaičius nuo 2010 iki 2013 metų sumažėjo visose Baltijos šalyse, Lietuvoje bibliotekų daugiausia;</w:t>
      </w:r>
    </w:p>
    <w:p w:rsidR="00313760" w:rsidRPr="001F2A25" w:rsidRDefault="00313760" w:rsidP="00313760">
      <w:pPr>
        <w:pStyle w:val="ListParagraph"/>
        <w:numPr>
          <w:ilvl w:val="0"/>
          <w:numId w:val="17"/>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leidžiamų knygų skaičius išaugo visose šalyse, daugiausia jų išleista Estijoje, tačiau knygų skaičius, tenkantis tūkstančiui gyventojų, didesnis Lietuvoje ir Latvijoje;</w:t>
      </w:r>
    </w:p>
    <w:p w:rsidR="00313760" w:rsidRPr="001F2A25" w:rsidRDefault="00313760" w:rsidP="00313760">
      <w:pPr>
        <w:pStyle w:val="ListParagraph"/>
        <w:numPr>
          <w:ilvl w:val="0"/>
          <w:numId w:val="17"/>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vienintelėje Latvijoje išaugo leidžiamų laikraščių skaičius, Lietuvoje ir Estijoje 2013 metais buvo išleista mažiau laikraščių, nei 2010 metais;</w:t>
      </w:r>
    </w:p>
    <w:p w:rsidR="00313760" w:rsidRPr="001F2A25" w:rsidRDefault="00313760" w:rsidP="00313760">
      <w:pPr>
        <w:pStyle w:val="ListParagraph"/>
        <w:numPr>
          <w:ilvl w:val="0"/>
          <w:numId w:val="17"/>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valstybinių teatrų skaičius Baltijos šalyse nesikeitė, tačiau dėl sumažėjusio gyventojų skaičiaus, padidėjo rodiklis, rodantis žiūrovų skaičių, tenkantį tūkst. gyventojų;</w:t>
      </w:r>
    </w:p>
    <w:p w:rsidR="00313760" w:rsidRPr="001F2A25" w:rsidRDefault="00313760" w:rsidP="00313760">
      <w:pPr>
        <w:pStyle w:val="ListParagraph"/>
        <w:numPr>
          <w:ilvl w:val="0"/>
          <w:numId w:val="17"/>
        </w:num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Estijoje yra daugiausia muziejų ir jų skaičius nuo 2010 iki 2013 metų dar išaugo. Lietuvoje ir Latvijoje muziejų skaičius nežymiai sumažėjo.</w:t>
      </w:r>
    </w:p>
    <w:p w:rsidR="00313760" w:rsidRDefault="00313760"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ab/>
        <w:t>Įvertinus duomenis galima teigti, kad ES erdvėje šalys narės aktyviai rašo projektus struktūrinei paramai gauti, taip pat renka ir analizuoja duomenis apie meno ir kultūros plėtrą, kad sekti informaciją apie situaciją šalyse, daryti išvadas ir tikslingai naudoti struktūrinę ES paramą.</w:t>
      </w:r>
      <w:r w:rsidR="00B8490A">
        <w:rPr>
          <w:rFonts w:ascii="Times New Roman" w:eastAsia="Times New Roman" w:hAnsi="Times New Roman" w:cs="Times New Roman"/>
          <w:sz w:val="24"/>
          <w:szCs w:val="24"/>
          <w:lang w:val="lt-LT"/>
        </w:rPr>
        <w:t xml:space="preserve"> Kuo geresni šalies makroekonominiai rodikliai, pavyzdžiui, BVP vienam gyventojui, užimtumo lygis, minimalus darbo užmokestis, tuo meno ir kultūros raida yra efektyvesnė, piliečiai aktyviau dalyvauja kultūrinėje veikloje, t.y. lanko muziejus, eina į koncertus, skiato knygas bibliotekose.</w:t>
      </w: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B8490A" w:rsidRDefault="00B8490A"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Default="00277CCC" w:rsidP="00313760">
      <w:pPr>
        <w:shd w:val="clear" w:color="auto" w:fill="FFFFFF"/>
        <w:tabs>
          <w:tab w:val="left" w:pos="360"/>
          <w:tab w:val="left" w:pos="720"/>
        </w:tabs>
        <w:spacing w:after="0" w:line="360" w:lineRule="auto"/>
        <w:jc w:val="both"/>
        <w:rPr>
          <w:rFonts w:ascii="Times New Roman" w:eastAsia="Times New Roman" w:hAnsi="Times New Roman" w:cs="Times New Roman"/>
          <w:sz w:val="24"/>
          <w:szCs w:val="24"/>
          <w:lang w:val="lt-LT"/>
        </w:rPr>
      </w:pPr>
    </w:p>
    <w:p w:rsidR="00277CCC" w:rsidRPr="00277CCC" w:rsidRDefault="00277CCC" w:rsidP="00B8490A">
      <w:pPr>
        <w:pStyle w:val="ListParagraph"/>
        <w:numPr>
          <w:ilvl w:val="0"/>
          <w:numId w:val="23"/>
        </w:numPr>
        <w:shd w:val="clear" w:color="auto" w:fill="FFFFFF"/>
        <w:tabs>
          <w:tab w:val="left" w:pos="360"/>
          <w:tab w:val="left" w:pos="720"/>
        </w:tabs>
        <w:spacing w:after="0" w:line="360" w:lineRule="auto"/>
        <w:jc w:val="center"/>
        <w:rPr>
          <w:rFonts w:ascii="Times New Roman" w:eastAsia="Times New Roman" w:hAnsi="Times New Roman" w:cs="Times New Roman"/>
          <w:sz w:val="24"/>
          <w:szCs w:val="24"/>
          <w:lang w:val="lt-LT"/>
        </w:rPr>
      </w:pPr>
      <w:r w:rsidRPr="00277CCC">
        <w:rPr>
          <w:rFonts w:ascii="Times New Roman" w:hAnsi="Times New Roman" w:cs="Times New Roman"/>
          <w:sz w:val="24"/>
          <w:szCs w:val="24"/>
          <w:lang w:val="lt-LT"/>
        </w:rPr>
        <w:lastRenderedPageBreak/>
        <w:t>EKONOMINIAI SPRENDIMAI, SKIRTI KULTŪROS IR MENO PLĖTOJIMUI ES SOCIALINĖJE EKONOMINĖJE ERDVĖJE</w:t>
      </w:r>
    </w:p>
    <w:p w:rsidR="00313760" w:rsidRDefault="00313760" w:rsidP="00313760">
      <w:pPr>
        <w:spacing w:line="360" w:lineRule="auto"/>
        <w:jc w:val="center"/>
        <w:rPr>
          <w:rFonts w:ascii="Times New Roman" w:hAnsi="Times New Roman" w:cs="Times New Roman"/>
          <w:b/>
          <w:sz w:val="24"/>
          <w:szCs w:val="24"/>
          <w:lang w:val="lt-LT"/>
        </w:rPr>
      </w:pPr>
    </w:p>
    <w:p w:rsidR="009902D9" w:rsidRDefault="009902D9" w:rsidP="00A128AA">
      <w:pPr>
        <w:spacing w:line="360" w:lineRule="auto"/>
        <w:ind w:firstLine="630"/>
        <w:jc w:val="both"/>
        <w:rPr>
          <w:rFonts w:ascii="Times New Roman" w:hAnsi="Times New Roman" w:cs="Times New Roman"/>
          <w:sz w:val="24"/>
          <w:szCs w:val="24"/>
          <w:lang w:val="lt-LT"/>
        </w:rPr>
      </w:pPr>
      <w:r>
        <w:rPr>
          <w:rFonts w:ascii="Times New Roman" w:hAnsi="Times New Roman" w:cs="Times New Roman"/>
          <w:sz w:val="24"/>
          <w:szCs w:val="24"/>
          <w:lang w:val="lt-LT"/>
        </w:rPr>
        <w:t>Kultūros politikos svarba šiuolaikėje visuomenėje yra labai didelė. Didelę reikšmę turi kultūros savivalda, kuri yra dedamoji šalies  ir savivaldos institucijų veiklos dalis ir yra tapatinama su nepriklausomais</w:t>
      </w:r>
      <w:r w:rsidR="004D26C8">
        <w:rPr>
          <w:rFonts w:ascii="Times New Roman" w:hAnsi="Times New Roman" w:cs="Times New Roman"/>
          <w:sz w:val="24"/>
          <w:szCs w:val="24"/>
          <w:lang w:val="lt-LT"/>
        </w:rPr>
        <w:t xml:space="preserve"> nuo administracijos</w:t>
      </w:r>
      <w:r>
        <w:rPr>
          <w:rFonts w:ascii="Times New Roman" w:hAnsi="Times New Roman" w:cs="Times New Roman"/>
          <w:sz w:val="24"/>
          <w:szCs w:val="24"/>
          <w:lang w:val="lt-LT"/>
        </w:rPr>
        <w:t xml:space="preserve"> sprendimais</w:t>
      </w:r>
      <w:r w:rsidR="004D26C8">
        <w:rPr>
          <w:rFonts w:ascii="Times New Roman" w:hAnsi="Times New Roman" w:cs="Times New Roman"/>
          <w:sz w:val="24"/>
          <w:szCs w:val="24"/>
          <w:lang w:val="lt-LT"/>
        </w:rPr>
        <w:t>, teisėmis, užduočių ir tikslų įgyvendinimu. Kultūros savivalda taip pat yra kultūros tarybos, meno ir kultūros ekspertų grupės, konsultantų grupės ir panašios institucijos. Tam, kad būtų užtikrintas tinkamas šių kultūros organų funkcionavimas, būtinas specializuotos darbo jėgos ruošimas. Tą užtikrinti galėtų klasterių skatinimas (įmonių ir mokslo organizacijų, aukštųjų mokymo įstaigų, kitų mokslo objektų bendradarbiavimas, pagrįstas partneryste).  Klasteriai veikia tarpusavyje jungdamiesi įvairiose ekonominėse, socialinėse srityse, didina ekonominį veiklų pranašumą. Nauda būtų abipusė – privatus sektorius būtų aprūpintas darbo jėga, o būsimieji kultūros ir meno specialistai</w:t>
      </w:r>
      <w:r w:rsidR="00BB0E83">
        <w:rPr>
          <w:rFonts w:ascii="Times New Roman" w:hAnsi="Times New Roman" w:cs="Times New Roman"/>
          <w:sz w:val="24"/>
          <w:szCs w:val="24"/>
          <w:lang w:val="lt-LT"/>
        </w:rPr>
        <w:t>, kūrybinių industrijų studentai</w:t>
      </w:r>
      <w:r w:rsidR="004D26C8">
        <w:rPr>
          <w:rFonts w:ascii="Times New Roman" w:hAnsi="Times New Roman" w:cs="Times New Roman"/>
          <w:sz w:val="24"/>
          <w:szCs w:val="24"/>
          <w:lang w:val="lt-LT"/>
        </w:rPr>
        <w:t xml:space="preserve"> </w:t>
      </w:r>
      <w:r w:rsidR="00BB0E83">
        <w:rPr>
          <w:rFonts w:ascii="Times New Roman" w:hAnsi="Times New Roman" w:cs="Times New Roman"/>
          <w:sz w:val="24"/>
          <w:szCs w:val="24"/>
          <w:lang w:val="lt-LT"/>
        </w:rPr>
        <w:t>turėtų perspektyvų ateičiai, dingtų stereotipai, kad kultūros ir meno studijos neužtikrina karjeros ateityje. Remiantis 2010m. Europos Komisijos užimtumo ataskaitos duomenimis, kūrybinės industrijos sudarė 3,3 proc. ES BVP. Kūrybinių industrijų studijos svarbios ne tik įmonėse, kuriose jos taikomos, bet ir kitoms institucijoms, miestų augimui, vietinėms bendruomenėms. Taigi reikia siekti kuo didesnio kurybinio sektoriaus užimtumo.</w:t>
      </w:r>
    </w:p>
    <w:p w:rsidR="00BB0E83" w:rsidRDefault="00BB0E83" w:rsidP="00A128AA">
      <w:pPr>
        <w:spacing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Kultūra daro didelė įtaką miestų augimui, pripažinimui, žinomumui. Kuo daugiau </w:t>
      </w:r>
      <w:r w:rsidR="00536323">
        <w:rPr>
          <w:rFonts w:ascii="Times New Roman" w:hAnsi="Times New Roman" w:cs="Times New Roman"/>
          <w:sz w:val="24"/>
          <w:szCs w:val="24"/>
          <w:lang w:val="lt-LT"/>
        </w:rPr>
        <w:t>ir kuo modernesnių koncertų salių turi miestas (ar išvis jų turi), tuo didėja vietinių gyventojų ir turistų srautai tame mieste, ekonomika auga. Tačiau dažname Lietuvos miestelyje ne tik nėra koncertų salės, tačiau ir kultūros namai yra pasenę, netgi avarinės būklės, pavyzdžiui Vievio miesto kultūnos centro pastatas yra 1945 metų statybos, atrodo nepatraukliai net vietiniams gyventojams, todėl sunkų pritraukti daug gyventojų į organizuojamus renginius, kultūros užsiėmimus, chorą, tautinių šokių pamokas. Valstybei skyrus pinigų mažesnių miestelių kultūros namų ir kultūros centrų renovacijai ar statybai, padaugėtų darbo vietų minėtose įstaigose, didėtų gyventojų domėjimasis kultūra, būtų skatinamas žmonių bendruomeniškumas.</w:t>
      </w:r>
      <w:r w:rsidR="005722F8">
        <w:rPr>
          <w:rFonts w:ascii="Times New Roman" w:hAnsi="Times New Roman" w:cs="Times New Roman"/>
          <w:sz w:val="24"/>
          <w:szCs w:val="24"/>
          <w:lang w:val="lt-LT"/>
        </w:rPr>
        <w:t xml:space="preserve"> Susibūrę įvairių meno sričių atstovai galėtų dalintis patirtimi, perduoti ją kitiems, telktis į verslo grupes ir net pradėti verslą, susijusį su kultūra.</w:t>
      </w:r>
    </w:p>
    <w:p w:rsidR="00D54D22" w:rsidRDefault="00D54D22" w:rsidP="00A128AA">
      <w:pPr>
        <w:spacing w:line="360" w:lineRule="auto"/>
        <w:ind w:left="270" w:firstLine="45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Siekiant didinti kultūros ir meno sektoriaus aktyvumą, kultūros, švietimo ir mokslo, ūkio ministerijos turėtų vienytis ir skirti lėšų įvairaus amžiaus gyventojų motyvacijos skatinimo iniciatyvoms, konkursams, švietimui. Garbės raštai, piniginės motyvacinės priemonės, visuotinis </w:t>
      </w:r>
      <w:r>
        <w:rPr>
          <w:rFonts w:ascii="Times New Roman" w:hAnsi="Times New Roman" w:cs="Times New Roman"/>
          <w:sz w:val="24"/>
          <w:szCs w:val="24"/>
          <w:lang w:val="lt-LT"/>
        </w:rPr>
        <w:lastRenderedPageBreak/>
        <w:t>darbų pripažinimas tikrai paskatintų šiuolaikinę visuomėnę dalyvauti kultūrinėje veikloje ir reikšti savo idėjas kultūrinėje aplinkoje. Neformalaus švietimo užsiėmimai įvairaus amžiaus grupių atstovams taptų daug įdomesni, jei ataskaitiniu laikotarpiu</w:t>
      </w:r>
      <w:r w:rsidR="005722F8">
        <w:rPr>
          <w:rFonts w:ascii="Times New Roman" w:hAnsi="Times New Roman" w:cs="Times New Roman"/>
          <w:sz w:val="24"/>
          <w:szCs w:val="24"/>
          <w:lang w:val="lt-LT"/>
        </w:rPr>
        <w:t xml:space="preserve"> geriausių pasiekimų pasiekusieji būtų apdovanoti ar pagerbti.</w:t>
      </w:r>
    </w:p>
    <w:p w:rsidR="005722F8" w:rsidRDefault="005722F8" w:rsidP="00A128AA">
      <w:pPr>
        <w:spacing w:line="360" w:lineRule="auto"/>
        <w:ind w:firstLine="720"/>
        <w:jc w:val="both"/>
        <w:rPr>
          <w:rFonts w:ascii="Times New Roman" w:hAnsi="Times New Roman" w:cs="Times New Roman"/>
          <w:color w:val="000000"/>
          <w:sz w:val="24"/>
          <w:szCs w:val="24"/>
          <w:shd w:val="clear" w:color="auto" w:fill="FFFFFF"/>
          <w:lang w:val="lt-LT"/>
        </w:rPr>
      </w:pPr>
      <w:r>
        <w:rPr>
          <w:rFonts w:ascii="Times New Roman" w:hAnsi="Times New Roman" w:cs="Times New Roman"/>
          <w:sz w:val="24"/>
          <w:szCs w:val="24"/>
          <w:lang w:val="lt-LT"/>
        </w:rPr>
        <w:t>2015 metų gegužės mėnesį Algirdas Butkevičius pranešime spaudai pranešė, kad</w:t>
      </w:r>
      <w:r w:rsidR="009E7409">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9E7409">
        <w:rPr>
          <w:rFonts w:ascii="Times New Roman" w:hAnsi="Times New Roman" w:cs="Times New Roman"/>
          <w:sz w:val="24"/>
          <w:szCs w:val="24"/>
          <w:lang w:val="lt-LT"/>
        </w:rPr>
        <w:t xml:space="preserve">„Nuo </w:t>
      </w:r>
      <w:r>
        <w:rPr>
          <w:rFonts w:ascii="Times New Roman" w:hAnsi="Times New Roman" w:cs="Times New Roman"/>
          <w:sz w:val="24"/>
          <w:szCs w:val="24"/>
          <w:lang w:val="lt-LT"/>
        </w:rPr>
        <w:t>liepos 1 dienos</w:t>
      </w:r>
      <w:r w:rsidR="009E7409">
        <w:rPr>
          <w:rFonts w:ascii="Times New Roman" w:hAnsi="Times New Roman" w:cs="Times New Roman"/>
          <w:sz w:val="24"/>
          <w:szCs w:val="24"/>
          <w:lang w:val="lt-LT"/>
        </w:rPr>
        <w:t xml:space="preserve"> mažiausiai uždirbančių kultūros ir meno darbuotojų atlyginimus didiname vidutiniškai daugiau kaip 40 eurų. Taip įgyvendiname duotą pažadą etapais kelti atlyginimus mažiausiai uždirbantiems kultūrininkams ir meno srities </w:t>
      </w:r>
      <w:r w:rsidR="00A9634E">
        <w:rPr>
          <w:rFonts w:ascii="Times New Roman" w:hAnsi="Times New Roman" w:cs="Times New Roman"/>
          <w:sz w:val="24"/>
          <w:szCs w:val="24"/>
          <w:lang w:val="lt-LT"/>
        </w:rPr>
        <w:t>darbuotojams“. Pasak ministro, n</w:t>
      </w:r>
      <w:r w:rsidR="009E7409">
        <w:rPr>
          <w:rFonts w:ascii="Times New Roman" w:hAnsi="Times New Roman" w:cs="Times New Roman"/>
          <w:sz w:val="24"/>
          <w:szCs w:val="24"/>
          <w:lang w:val="lt-LT"/>
        </w:rPr>
        <w:t>ekonkurencingi kultūros darbuotojų darbo užmokesčiai lemia jų perėjimą į kitus sektorius</w:t>
      </w:r>
      <w:r w:rsidR="00A9634E">
        <w:rPr>
          <w:rFonts w:ascii="Times New Roman" w:hAnsi="Times New Roman" w:cs="Times New Roman"/>
          <w:sz w:val="24"/>
          <w:szCs w:val="24"/>
          <w:lang w:val="lt-LT"/>
        </w:rPr>
        <w:t xml:space="preserve">. Darbo jėgos nepakankamumas lemia muziejų, ir kitų kultūros institucijų paslaugų teikimo kokybės blogėjimą, todėl būtina užtikrinti konkurencingą kultūros ir meno sektoriaus darbuotojų atlygį už darbą. </w:t>
      </w:r>
      <w:r w:rsidR="00A9634E" w:rsidRPr="00A9634E">
        <w:rPr>
          <w:rFonts w:ascii="Times New Roman" w:hAnsi="Times New Roman" w:cs="Times New Roman"/>
          <w:sz w:val="24"/>
          <w:szCs w:val="24"/>
          <w:lang w:val="lt-LT"/>
        </w:rPr>
        <w:t>„</w:t>
      </w:r>
      <w:r w:rsidR="00A9634E" w:rsidRPr="00A9634E">
        <w:rPr>
          <w:rFonts w:ascii="Times New Roman" w:hAnsi="Times New Roman" w:cs="Times New Roman"/>
          <w:color w:val="000000"/>
          <w:sz w:val="24"/>
          <w:szCs w:val="24"/>
          <w:shd w:val="clear" w:color="auto" w:fill="FFFFFF"/>
          <w:lang w:val="lt-LT"/>
        </w:rPr>
        <w:t>Lietuvoje kultūros ir meno darbuotojų atlyginimas sudaro 59 proc. viešojo sektoriaus vidutinio atlyginimo, Latvijoje – 89 proc., o Estijoje kultūros ir meno darbuotojų atlyginimas</w:t>
      </w:r>
      <w:r w:rsidR="00A9634E" w:rsidRPr="00A9634E">
        <w:rPr>
          <w:rStyle w:val="apple-converted-space"/>
          <w:rFonts w:ascii="Times New Roman" w:hAnsi="Times New Roman" w:cs="Times New Roman"/>
          <w:color w:val="000000"/>
          <w:sz w:val="24"/>
          <w:szCs w:val="24"/>
          <w:shd w:val="clear" w:color="auto" w:fill="FFFFFF"/>
          <w:lang w:val="lt-LT"/>
        </w:rPr>
        <w:t> </w:t>
      </w:r>
      <w:r w:rsidR="00A9634E" w:rsidRPr="00A9634E">
        <w:rPr>
          <w:rFonts w:ascii="Times New Roman" w:hAnsi="Times New Roman" w:cs="Times New Roman"/>
          <w:color w:val="000000"/>
          <w:sz w:val="24"/>
          <w:szCs w:val="24"/>
          <w:shd w:val="clear" w:color="auto" w:fill="FFFFFF"/>
          <w:lang w:val="lt-LT"/>
        </w:rPr>
        <w:t>lenkia viešojo sektoriaus vidurkį ir sudaro 102 procentus.</w:t>
      </w:r>
      <w:r w:rsidR="00A9634E">
        <w:rPr>
          <w:rFonts w:ascii="Times New Roman" w:hAnsi="Times New Roman" w:cs="Times New Roman"/>
          <w:color w:val="000000"/>
          <w:sz w:val="24"/>
          <w:szCs w:val="24"/>
          <w:shd w:val="clear" w:color="auto" w:fill="FFFFFF"/>
          <w:lang w:val="lt-LT"/>
        </w:rPr>
        <w:t>“ (Kultūros ministerijos informacija).</w:t>
      </w:r>
    </w:p>
    <w:p w:rsidR="00FF1001" w:rsidRDefault="00FF1001" w:rsidP="00A128AA">
      <w:pPr>
        <w:spacing w:line="360" w:lineRule="auto"/>
        <w:ind w:firstLine="720"/>
        <w:jc w:val="both"/>
        <w:rPr>
          <w:rFonts w:ascii="Times New Roman" w:hAnsi="Times New Roman" w:cs="Times New Roman"/>
          <w:color w:val="000000"/>
          <w:sz w:val="24"/>
          <w:szCs w:val="24"/>
          <w:shd w:val="clear" w:color="auto" w:fill="FFFFFF"/>
          <w:lang w:val="lt-LT"/>
        </w:rPr>
      </w:pPr>
      <w:r>
        <w:rPr>
          <w:rFonts w:ascii="Times New Roman" w:hAnsi="Times New Roman" w:cs="Times New Roman"/>
          <w:color w:val="000000"/>
          <w:sz w:val="24"/>
          <w:szCs w:val="24"/>
          <w:shd w:val="clear" w:color="auto" w:fill="FFFFFF"/>
          <w:lang w:val="lt-LT"/>
        </w:rPr>
        <w:t>Vykdant visas vardintas priemones, turėtų būti skatinamas turiningesnis informacijos pateikimas dėl įvairių kultūros ir menų projektų rengimo ir pateikimo informacijos, organizuojama kuo aktyvesnė kultūros projektų reklama, kultūros namuose ir centruose rengiami seminarai apie kultūros ir meno sektoriaus plėtros galimybes ir tendencijas, vietiniai verslininkai turėtų dalintis patirtimi, o savivaldos skatinti verslininkus sieti savo veiklą su kultūra, įrodant, kad tai gali sukurti pridėtinės vertės ir didinti įmonės žinomumą bei gerą vardą.</w:t>
      </w:r>
    </w:p>
    <w:p w:rsidR="00FF1001" w:rsidRDefault="00FF1001" w:rsidP="00FF1001">
      <w:pPr>
        <w:spacing w:line="360" w:lineRule="auto"/>
        <w:jc w:val="both"/>
        <w:rPr>
          <w:rFonts w:ascii="Times New Roman" w:hAnsi="Times New Roman" w:cs="Times New Roman"/>
          <w:sz w:val="24"/>
          <w:szCs w:val="24"/>
          <w:lang w:val="lt-LT"/>
        </w:rPr>
      </w:pPr>
      <w:r>
        <w:rPr>
          <w:rFonts w:ascii="Times New Roman" w:hAnsi="Times New Roman" w:cs="Times New Roman"/>
          <w:color w:val="000000"/>
          <w:sz w:val="24"/>
          <w:szCs w:val="24"/>
          <w:shd w:val="clear" w:color="auto" w:fill="FFFFFF"/>
          <w:lang w:val="lt-LT"/>
        </w:rPr>
        <w:tab/>
      </w:r>
    </w:p>
    <w:p w:rsidR="00BB0E83" w:rsidRPr="009902D9" w:rsidRDefault="00BB0E83" w:rsidP="009902D9">
      <w:pPr>
        <w:spacing w:line="360" w:lineRule="auto"/>
        <w:ind w:firstLine="270"/>
        <w:jc w:val="both"/>
        <w:rPr>
          <w:rFonts w:ascii="Times New Roman" w:hAnsi="Times New Roman" w:cs="Times New Roman"/>
          <w:sz w:val="24"/>
          <w:szCs w:val="24"/>
          <w:lang w:val="lt-LT"/>
        </w:rPr>
      </w:pPr>
    </w:p>
    <w:p w:rsidR="00277CCC" w:rsidRDefault="00277CCC" w:rsidP="00A9634E">
      <w:pPr>
        <w:spacing w:line="360" w:lineRule="auto"/>
        <w:rPr>
          <w:rFonts w:ascii="Times New Roman" w:hAnsi="Times New Roman" w:cs="Times New Roman"/>
          <w:b/>
          <w:sz w:val="24"/>
          <w:szCs w:val="24"/>
          <w:lang w:val="lt-LT"/>
        </w:rPr>
      </w:pPr>
    </w:p>
    <w:p w:rsidR="00277CCC" w:rsidRDefault="00277CCC" w:rsidP="00313760">
      <w:pPr>
        <w:spacing w:line="360" w:lineRule="auto"/>
        <w:jc w:val="center"/>
        <w:rPr>
          <w:rFonts w:ascii="Times New Roman" w:hAnsi="Times New Roman" w:cs="Times New Roman"/>
          <w:b/>
          <w:sz w:val="24"/>
          <w:szCs w:val="24"/>
          <w:lang w:val="lt-LT"/>
        </w:rPr>
      </w:pPr>
    </w:p>
    <w:p w:rsidR="00FF1001" w:rsidRDefault="00FF1001" w:rsidP="00FF1001">
      <w:pPr>
        <w:spacing w:line="360" w:lineRule="auto"/>
        <w:rPr>
          <w:rFonts w:ascii="Times New Roman" w:hAnsi="Times New Roman" w:cs="Times New Roman"/>
          <w:b/>
          <w:sz w:val="24"/>
          <w:szCs w:val="24"/>
          <w:lang w:val="lt-LT"/>
        </w:rPr>
      </w:pPr>
    </w:p>
    <w:p w:rsidR="00A128AA" w:rsidRDefault="00A128AA" w:rsidP="00FF1001">
      <w:pPr>
        <w:spacing w:line="360" w:lineRule="auto"/>
        <w:rPr>
          <w:rFonts w:ascii="Times New Roman" w:hAnsi="Times New Roman" w:cs="Times New Roman"/>
          <w:b/>
          <w:sz w:val="24"/>
          <w:szCs w:val="24"/>
          <w:lang w:val="lt-LT"/>
        </w:rPr>
      </w:pPr>
    </w:p>
    <w:p w:rsidR="00277CCC" w:rsidRDefault="00277CCC" w:rsidP="00313760">
      <w:pPr>
        <w:spacing w:line="360" w:lineRule="auto"/>
        <w:jc w:val="center"/>
        <w:rPr>
          <w:rFonts w:ascii="Times New Roman" w:hAnsi="Times New Roman" w:cs="Times New Roman"/>
          <w:b/>
          <w:sz w:val="24"/>
          <w:szCs w:val="24"/>
          <w:lang w:val="lt-LT"/>
        </w:rPr>
      </w:pPr>
    </w:p>
    <w:p w:rsidR="00277CCC" w:rsidRPr="001F2A25" w:rsidRDefault="00277CCC" w:rsidP="00277CCC">
      <w:pPr>
        <w:shd w:val="clear" w:color="auto" w:fill="FFFFFF"/>
        <w:spacing w:after="0"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lastRenderedPageBreak/>
        <w:t>IŠVADOS</w:t>
      </w:r>
      <w:r>
        <w:rPr>
          <w:rFonts w:ascii="Times New Roman" w:hAnsi="Times New Roman" w:cs="Times New Roman"/>
          <w:sz w:val="24"/>
          <w:szCs w:val="24"/>
          <w:lang w:val="lt-LT"/>
        </w:rPr>
        <w:t xml:space="preserve"> IR PASIŪLYMAI</w:t>
      </w:r>
    </w:p>
    <w:p w:rsidR="00277CCC" w:rsidRPr="001F2A25" w:rsidRDefault="00277CCC" w:rsidP="00277CCC">
      <w:pPr>
        <w:shd w:val="clear" w:color="auto" w:fill="FFFFFF"/>
        <w:spacing w:after="0" w:line="360" w:lineRule="auto"/>
        <w:jc w:val="center"/>
        <w:rPr>
          <w:rFonts w:ascii="Times New Roman" w:hAnsi="Times New Roman" w:cs="Times New Roman"/>
          <w:sz w:val="24"/>
          <w:szCs w:val="24"/>
          <w:lang w:val="lt-LT"/>
        </w:rPr>
      </w:pPr>
    </w:p>
    <w:p w:rsidR="00277CCC" w:rsidRPr="001F2A25" w:rsidRDefault="00277CCC" w:rsidP="00277CCC">
      <w:pPr>
        <w:pStyle w:val="ListParagraph"/>
        <w:numPr>
          <w:ilvl w:val="0"/>
          <w:numId w:val="18"/>
        </w:numPr>
        <w:shd w:val="clear" w:color="auto" w:fill="FFFFFF"/>
        <w:spacing w:after="0" w:line="360" w:lineRule="auto"/>
        <w:ind w:left="0" w:firstLine="36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Kultūros sektoriaus raida daro įtaką visuomenės kultūros lygio augimui ir kilimui, bendrai visuomenės modernizacijai, idėjų ir vertybių kėlimui kultūros sektoriuje, produktų, sukurtų kultūros sektoriuje prieinamumui, kultūros sektoriuje sukauptų žmogiškųjų išteklių kokybės gerinimui. Šiuolaikinė visuomenė įvairių institucijų ir organizacijų pagalba yra integruojama į kultūros pažinimo procesą, o įvairių kultūros programų pagalba tiek bendru atveju valstybėms, tiek atskirai, menininkams, jų veiklai yra skiriama parama, siekiant , bendro tikslo </w:t>
      </w:r>
      <w:r w:rsidRPr="001F2A25">
        <w:rPr>
          <w:rFonts w:ascii="Times New Roman" w:eastAsia="Times New Roman" w:hAnsi="Times New Roman" w:cs="Times New Roman"/>
          <w:sz w:val="24"/>
          <w:szCs w:val="24"/>
          <w:lang w:val="lt-LT"/>
        </w:rPr>
        <w:t xml:space="preserve">– </w:t>
      </w:r>
      <w:r w:rsidRPr="001F2A25">
        <w:rPr>
          <w:rFonts w:ascii="Times New Roman" w:hAnsi="Times New Roman" w:cs="Times New Roman"/>
          <w:sz w:val="24"/>
          <w:szCs w:val="24"/>
          <w:lang w:val="lt-LT"/>
        </w:rPr>
        <w:t xml:space="preserve">plėsti kultūros sektorių. </w:t>
      </w:r>
    </w:p>
    <w:p w:rsidR="00277CCC" w:rsidRPr="001F2A25" w:rsidRDefault="00277CCC" w:rsidP="00277CCC">
      <w:pPr>
        <w:pStyle w:val="ListParagraph"/>
        <w:numPr>
          <w:ilvl w:val="0"/>
          <w:numId w:val="18"/>
        </w:numPr>
        <w:shd w:val="clear" w:color="auto" w:fill="FFFFFF"/>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Sąjungos vykdomos politikos pagrindiniai tikslai yra valstybių plėtra ir integracija. Integraciją galima įvardinti kaip atskirų šalių bendrų planų įgyvendinimą, bendradarbiavimą, susiliejimą dėl valstybių ekonominio, politinio bei kultūrinio bendravimo. Bendradarbiavimas siekiant tikslų, susijusių su kultūra Europos Sąjungoje apima:</w:t>
      </w:r>
    </w:p>
    <w:p w:rsidR="00277CCC" w:rsidRPr="001F2A25" w:rsidRDefault="00277CCC" w:rsidP="00277CCC">
      <w:pPr>
        <w:pStyle w:val="ListParagraph"/>
        <w:numPr>
          <w:ilvl w:val="0"/>
          <w:numId w:val="19"/>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kultūrų įvairovę ir kultūrų tarpusavio dialogus;</w:t>
      </w:r>
    </w:p>
    <w:p w:rsidR="00277CCC" w:rsidRPr="001F2A25" w:rsidRDefault="00277CCC" w:rsidP="00277CCC">
      <w:pPr>
        <w:pStyle w:val="ListParagraph"/>
        <w:numPr>
          <w:ilvl w:val="0"/>
          <w:numId w:val="19"/>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kultūrą, kaip kūrybiškumo ir novatoriškumo variklį;</w:t>
      </w:r>
    </w:p>
    <w:p w:rsidR="00277CCC" w:rsidRPr="001F2A25" w:rsidRDefault="00277CCC" w:rsidP="00277CCC">
      <w:pPr>
        <w:pStyle w:val="ListParagraph"/>
        <w:numPr>
          <w:ilvl w:val="0"/>
          <w:numId w:val="19"/>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 xml:space="preserve">kultūrą, įvardinant ją kaip Europos Sąjungos tarptautinių santykių dalį. </w:t>
      </w:r>
    </w:p>
    <w:p w:rsidR="00277CCC" w:rsidRPr="001F2A25" w:rsidRDefault="00277CCC" w:rsidP="00277CCC">
      <w:pPr>
        <w:pStyle w:val="ListParagraph"/>
        <w:numPr>
          <w:ilvl w:val="0"/>
          <w:numId w:val="18"/>
        </w:numPr>
        <w:shd w:val="clear" w:color="auto" w:fill="FFFFFF"/>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 vykdomos struktūrinės paramos programos kultūros sektoriuje:</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kultūros sostinės;</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menininkams skiriamos premijos, apdovanojimai, ženklai;</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remiamas menininkų judumas Europoje;</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kultūros programa „Kūrybiška Europa 2014 – 2020“;</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„Erasmus+“;</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„COSME“;</w:t>
      </w:r>
    </w:p>
    <w:p w:rsidR="00277CCC" w:rsidRPr="001F2A25" w:rsidRDefault="00277CCC" w:rsidP="00277CCC">
      <w:pPr>
        <w:pStyle w:val="ListParagraph"/>
        <w:numPr>
          <w:ilvl w:val="0"/>
          <w:numId w:val="20"/>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„Horizontas 2020“.</w:t>
      </w:r>
    </w:p>
    <w:p w:rsidR="00277CCC" w:rsidRPr="001F2A25" w:rsidRDefault="00277CCC" w:rsidP="00277CCC">
      <w:pPr>
        <w:pStyle w:val="ListParagraph"/>
        <w:numPr>
          <w:ilvl w:val="0"/>
          <w:numId w:val="18"/>
        </w:numPr>
        <w:shd w:val="clear" w:color="auto" w:fill="FFFFFF"/>
        <w:tabs>
          <w:tab w:val="left" w:pos="360"/>
        </w:tabs>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Sąjunga programai „Kūrybiška Europa“ 2014  – 2020 metams ES skyrė 1,46 mlrd. eurų programos tikslams įgyvendinti, tai net 9% daugiau, nei iki tol buvo skiriama, iš jų:</w:t>
      </w:r>
    </w:p>
    <w:p w:rsidR="00277CCC" w:rsidRPr="001F2A25" w:rsidRDefault="00277CCC" w:rsidP="00277CCC">
      <w:pPr>
        <w:pStyle w:val="ListParagraph"/>
        <w:numPr>
          <w:ilvl w:val="0"/>
          <w:numId w:val="21"/>
        </w:numPr>
        <w:shd w:val="clear" w:color="auto" w:fill="FFFFFF"/>
        <w:tabs>
          <w:tab w:val="left" w:pos="360"/>
        </w:tabs>
        <w:spacing w:after="0" w:line="360" w:lineRule="auto"/>
        <w:ind w:left="117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15%  skirta įvairiems kultūros ir kūrybos pasektoriams;</w:t>
      </w:r>
    </w:p>
    <w:p w:rsidR="00277CCC" w:rsidRPr="001F2A25" w:rsidRDefault="00277CCC" w:rsidP="00277CCC">
      <w:pPr>
        <w:pStyle w:val="ListParagraph"/>
        <w:numPr>
          <w:ilvl w:val="0"/>
          <w:numId w:val="11"/>
        </w:numPr>
        <w:shd w:val="clear" w:color="auto" w:fill="FFFFFF"/>
        <w:tabs>
          <w:tab w:val="left" w:pos="360"/>
          <w:tab w:val="left" w:pos="1170"/>
        </w:tabs>
        <w:spacing w:after="0" w:line="360" w:lineRule="auto"/>
        <w:ind w:firstLine="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30% paprogramei „Kultūra“, skirtai kultūros ir meno sektoriams;</w:t>
      </w:r>
    </w:p>
    <w:p w:rsidR="00277CCC" w:rsidRPr="001F2A25" w:rsidRDefault="00277CCC" w:rsidP="00277CCC">
      <w:pPr>
        <w:pStyle w:val="ListParagraph"/>
        <w:numPr>
          <w:ilvl w:val="0"/>
          <w:numId w:val="11"/>
        </w:numPr>
        <w:shd w:val="clear" w:color="auto" w:fill="FFFFFF"/>
        <w:tabs>
          <w:tab w:val="left" w:pos="360"/>
          <w:tab w:val="left" w:pos="1170"/>
        </w:tabs>
        <w:spacing w:after="0" w:line="360" w:lineRule="auto"/>
        <w:ind w:firstLine="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55% paprogramei MEDIA, skirtai audiovizualiniam sektoriui.</w:t>
      </w:r>
    </w:p>
    <w:p w:rsidR="00277CCC" w:rsidRDefault="00277CCC" w:rsidP="00277CCC">
      <w:pPr>
        <w:pStyle w:val="ListParagraph"/>
        <w:numPr>
          <w:ilvl w:val="0"/>
          <w:numId w:val="18"/>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Lietuvoje buvo įgyventinta kultūros programa „Kultūra 2007 – 2013“. Kultūros organizacijoms buvo skirta 18 674 538 eurų parama. 2009 metais Vilniui buvo suteiktas Europos kultūros sostinės statusas. Kuriant Saulėtekio slėnį panaudoti 86 mln. eurų ES struktūrinės paramos lėšų, taip pat sėkmingai vykdomas projektas „Erasmus+“, kuriam 2015 m. Europos Komisija skyrė 8 mln. eurų.</w:t>
      </w:r>
    </w:p>
    <w:p w:rsidR="00277CCC" w:rsidRDefault="00277CCC" w:rsidP="00277CCC">
      <w:pPr>
        <w:pStyle w:val="ListParagraph"/>
        <w:numPr>
          <w:ilvl w:val="0"/>
          <w:numId w:val="18"/>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Lietuvos Respublikos kultūros ministerija turėtų atsižvelgti į didėjančius emigracijos srautus ir sujungti Lietuvos kultūros bendruomėnę su užsienyje gyvenančiais lietuviais. Turėtų būti skatinamo kultūros mainai, sklaida, tenkinami užsienyje gyvenančių lietuvių kultūriniai poreikiai.</w:t>
      </w:r>
    </w:p>
    <w:p w:rsidR="00277CCC" w:rsidRPr="001F2A25" w:rsidRDefault="00277CCC" w:rsidP="00277CCC">
      <w:pPr>
        <w:pStyle w:val="ListParagraph"/>
        <w:numPr>
          <w:ilvl w:val="0"/>
          <w:numId w:val="18"/>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Valstybė turėtų siekti investuoti į kultūrą ir kūrybą atitinkamai pagal šio sektoriaus sukuriamą BVP dalį. Mokslininkai turėtų sukurti formulę, kaip apskaičiuoti kultūros indėlį į ekonomiką. Tai pakeistų valstybės ir visuomenės požiūrį į kultūrą, kultūra, tai investicija.</w:t>
      </w:r>
    </w:p>
    <w:p w:rsidR="00277CCC" w:rsidRDefault="00277CCC" w:rsidP="00313760">
      <w:pPr>
        <w:spacing w:line="360" w:lineRule="auto"/>
        <w:jc w:val="center"/>
        <w:rPr>
          <w:rFonts w:ascii="Times New Roman" w:hAnsi="Times New Roman" w:cs="Times New Roman"/>
          <w:b/>
          <w:sz w:val="24"/>
          <w:szCs w:val="24"/>
          <w:lang w:val="lt-LT"/>
        </w:rPr>
      </w:pPr>
    </w:p>
    <w:p w:rsidR="00277CCC" w:rsidRDefault="00277CCC" w:rsidP="00313760">
      <w:pPr>
        <w:spacing w:line="360" w:lineRule="auto"/>
        <w:jc w:val="center"/>
        <w:rPr>
          <w:rFonts w:ascii="Times New Roman" w:hAnsi="Times New Roman" w:cs="Times New Roman"/>
          <w:b/>
          <w:sz w:val="24"/>
          <w:szCs w:val="24"/>
          <w:lang w:val="lt-LT"/>
        </w:rPr>
      </w:pPr>
    </w:p>
    <w:p w:rsidR="00277CCC" w:rsidRDefault="00277CCC" w:rsidP="00313760">
      <w:pPr>
        <w:spacing w:line="360" w:lineRule="auto"/>
        <w:jc w:val="center"/>
        <w:rPr>
          <w:rFonts w:ascii="Times New Roman" w:hAnsi="Times New Roman" w:cs="Times New Roman"/>
          <w:b/>
          <w:sz w:val="24"/>
          <w:szCs w:val="24"/>
          <w:lang w:val="lt-LT"/>
        </w:rPr>
      </w:pPr>
    </w:p>
    <w:p w:rsidR="00277CCC" w:rsidRDefault="00277CCC" w:rsidP="00313760">
      <w:pPr>
        <w:spacing w:line="360" w:lineRule="auto"/>
        <w:jc w:val="center"/>
        <w:rPr>
          <w:rFonts w:ascii="Times New Roman" w:hAnsi="Times New Roman" w:cs="Times New Roman"/>
          <w:b/>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FF1001" w:rsidRDefault="00FF1001"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FF1001" w:rsidRDefault="00FF1001"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FF1001" w:rsidRDefault="00FF1001"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FF1001" w:rsidRDefault="00FF1001"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A128AA" w:rsidRDefault="00A128AA"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A128AA" w:rsidRDefault="00A128AA"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A128AA" w:rsidRDefault="00A128AA"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A128AA" w:rsidRDefault="00A128AA"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A128AA" w:rsidRPr="00A128AA" w:rsidRDefault="00A128AA" w:rsidP="00A128AA">
      <w:pPr>
        <w:shd w:val="clear" w:color="auto" w:fill="FFFFFF"/>
        <w:tabs>
          <w:tab w:val="left" w:pos="540"/>
        </w:tabs>
        <w:spacing w:after="0" w:line="360" w:lineRule="auto"/>
        <w:rPr>
          <w:rFonts w:ascii="Times New Roman" w:eastAsia="Times New Roman" w:hAnsi="Times New Roman" w:cs="Times New Roman"/>
          <w:sz w:val="24"/>
          <w:szCs w:val="24"/>
          <w:lang w:val="lt-LT"/>
        </w:rPr>
      </w:pPr>
    </w:p>
    <w:p w:rsidR="00277CCC"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p>
    <w:p w:rsidR="00277CCC" w:rsidRPr="001F2A25" w:rsidRDefault="00277CCC" w:rsidP="00277CCC">
      <w:pPr>
        <w:pStyle w:val="ListParagraph"/>
        <w:shd w:val="clear" w:color="auto" w:fill="FFFFFF"/>
        <w:tabs>
          <w:tab w:val="left" w:pos="540"/>
        </w:tabs>
        <w:spacing w:after="0" w:line="360" w:lineRule="auto"/>
        <w:ind w:left="360"/>
        <w:jc w:val="center"/>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lastRenderedPageBreak/>
        <w:t>SUMMARY</w:t>
      </w:r>
    </w:p>
    <w:p w:rsidR="00277CCC" w:rsidRPr="001F2A25" w:rsidRDefault="00277CCC" w:rsidP="00277CCC">
      <w:pPr>
        <w:shd w:val="clear" w:color="auto" w:fill="FFFFFF"/>
        <w:spacing w:after="0" w:line="360" w:lineRule="auto"/>
        <w:jc w:val="both"/>
        <w:rPr>
          <w:rFonts w:ascii="Times New Roman" w:eastAsia="Times New Roman" w:hAnsi="Times New Roman" w:cs="Times New Roman"/>
          <w:b/>
          <w:sz w:val="24"/>
          <w:szCs w:val="24"/>
          <w:lang w:val="lt-LT"/>
        </w:rPr>
      </w:pPr>
    </w:p>
    <w:p w:rsidR="00277CCC" w:rsidRPr="001F2A25" w:rsidRDefault="00277CCC" w:rsidP="00277CCC">
      <w:pPr>
        <w:shd w:val="clear" w:color="auto" w:fill="FFFFFF"/>
        <w:spacing w:after="0" w:line="360" w:lineRule="auto"/>
        <w:jc w:val="both"/>
        <w:rPr>
          <w:rFonts w:ascii="Times New Roman" w:hAnsi="Times New Roman" w:cs="Times New Roman"/>
          <w:color w:val="373E4D"/>
          <w:sz w:val="24"/>
          <w:szCs w:val="24"/>
          <w:shd w:val="clear" w:color="auto" w:fill="FEFEFE"/>
          <w:lang w:val="lt-LT"/>
        </w:rPr>
      </w:pPr>
      <w:r w:rsidRPr="001F2A25">
        <w:rPr>
          <w:rFonts w:ascii="Times New Roman" w:eastAsia="Times New Roman" w:hAnsi="Times New Roman" w:cs="Times New Roman"/>
          <w:b/>
          <w:sz w:val="24"/>
          <w:szCs w:val="24"/>
          <w:lang w:val="lt-LT"/>
        </w:rPr>
        <w:tab/>
      </w:r>
      <w:r w:rsidRPr="001F2A25">
        <w:rPr>
          <w:rFonts w:ascii="Times New Roman" w:hAnsi="Times New Roman" w:cs="Times New Roman"/>
          <w:color w:val="373E4D"/>
          <w:sz w:val="24"/>
          <w:szCs w:val="24"/>
          <w:shd w:val="clear" w:color="auto" w:fill="FEFEFE"/>
          <w:lang w:val="lt-LT"/>
        </w:rPr>
        <w:t xml:space="preserve">In modern society, the growing importance of providing people of different cultures and artistic knowledge, this is determined by globalization and internationalization factors. The above public knowing other cultures, traveling, reading books or watching cultural shows on TV, but modern technology allows you to take an interest in foreign culture much easier way and at any time of the day. Internet on mobile phones, computers, TVs even let you explore cultures in terms of human needs. The European Union encourages the countries cultural development and integration enculturation, develop a common European platform, so it is important to examine the EU activities in the cultural and arts sector. </w:t>
      </w:r>
    </w:p>
    <w:p w:rsidR="00277CCC" w:rsidRPr="001F2A25" w:rsidRDefault="00277CCC" w:rsidP="00277CCC">
      <w:pPr>
        <w:shd w:val="clear" w:color="auto" w:fill="FFFFFF"/>
        <w:spacing w:after="0" w:line="360" w:lineRule="auto"/>
        <w:ind w:firstLine="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b/>
          <w:color w:val="373E4D"/>
          <w:sz w:val="24"/>
          <w:szCs w:val="24"/>
          <w:shd w:val="clear" w:color="auto" w:fill="FEFEFE"/>
          <w:lang w:val="lt-LT"/>
        </w:rPr>
        <w:t>Work objective</w:t>
      </w:r>
      <w:r w:rsidRPr="001F2A25">
        <w:rPr>
          <w:rFonts w:ascii="Times New Roman" w:hAnsi="Times New Roman" w:cs="Times New Roman"/>
          <w:color w:val="373E4D"/>
          <w:sz w:val="24"/>
          <w:szCs w:val="24"/>
          <w:shd w:val="clear" w:color="auto" w:fill="FEFEFE"/>
          <w:lang w:val="lt-LT"/>
        </w:rPr>
        <w:t xml:space="preserve"> - to reveal how the European Union's social and cultural environment is to promote culture and art. </w:t>
      </w:r>
    </w:p>
    <w:p w:rsidR="00277CCC" w:rsidRPr="001F2A25" w:rsidRDefault="00277CCC" w:rsidP="00277CCC">
      <w:pPr>
        <w:shd w:val="clear" w:color="auto" w:fill="FFFFFF"/>
        <w:spacing w:after="0" w:line="360" w:lineRule="auto"/>
        <w:ind w:firstLine="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b/>
          <w:color w:val="373E4D"/>
          <w:sz w:val="24"/>
          <w:szCs w:val="24"/>
          <w:shd w:val="clear" w:color="auto" w:fill="FEFEFE"/>
          <w:lang w:val="lt-LT"/>
        </w:rPr>
        <w:t>Work tasks:</w:t>
      </w:r>
      <w:r w:rsidRPr="001F2A25">
        <w:rPr>
          <w:rFonts w:ascii="Times New Roman" w:hAnsi="Times New Roman" w:cs="Times New Roman"/>
          <w:color w:val="373E4D"/>
          <w:sz w:val="24"/>
          <w:szCs w:val="24"/>
          <w:shd w:val="clear" w:color="auto" w:fill="FEFEFE"/>
          <w:lang w:val="lt-LT"/>
        </w:rPr>
        <w:t xml:space="preserve"> </w:t>
      </w:r>
    </w:p>
    <w:p w:rsidR="00277CCC" w:rsidRPr="001F2A25" w:rsidRDefault="00277CCC" w:rsidP="00277CCC">
      <w:pPr>
        <w:shd w:val="clear" w:color="auto" w:fill="FFFFFF"/>
        <w:spacing w:after="0" w:line="360" w:lineRule="auto"/>
        <w:ind w:firstLine="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color w:val="373E4D"/>
          <w:sz w:val="24"/>
          <w:szCs w:val="24"/>
          <w:shd w:val="clear" w:color="auto" w:fill="FEFEFE"/>
          <w:lang w:val="lt-LT"/>
        </w:rPr>
        <w:t xml:space="preserve">1) examination of the different authors, the cultural and artistic concepts to determine their relevance to modern society; </w:t>
      </w:r>
    </w:p>
    <w:p w:rsidR="00277CCC" w:rsidRPr="001F2A25" w:rsidRDefault="00277CCC" w:rsidP="00277CCC">
      <w:pPr>
        <w:shd w:val="clear" w:color="auto" w:fill="FFFFFF"/>
        <w:spacing w:after="0" w:line="360" w:lineRule="auto"/>
        <w:ind w:firstLine="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color w:val="373E4D"/>
          <w:sz w:val="24"/>
          <w:szCs w:val="24"/>
          <w:shd w:val="clear" w:color="auto" w:fill="FEFEFE"/>
          <w:lang w:val="lt-LT"/>
        </w:rPr>
        <w:t xml:space="preserve">2) to determine what the objectives aimed at the European Union in the cultural sector; </w:t>
      </w:r>
    </w:p>
    <w:p w:rsidR="00277CCC" w:rsidRPr="001F2A25" w:rsidRDefault="00277CCC" w:rsidP="00277CCC">
      <w:pPr>
        <w:shd w:val="clear" w:color="auto" w:fill="FFFFFF"/>
        <w:spacing w:after="0" w:line="360" w:lineRule="auto"/>
        <w:ind w:firstLine="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color w:val="373E4D"/>
          <w:sz w:val="24"/>
          <w:szCs w:val="24"/>
          <w:shd w:val="clear" w:color="auto" w:fill="FEFEFE"/>
          <w:lang w:val="lt-LT"/>
        </w:rPr>
        <w:t xml:space="preserve">3) to determine what kind of structural support programs and initiatives have been undertaken in the European Union in order to develop the arts and cultural sector; </w:t>
      </w:r>
    </w:p>
    <w:p w:rsidR="00277CCC" w:rsidRPr="001F2A25" w:rsidRDefault="00277CCC" w:rsidP="00277CCC">
      <w:pPr>
        <w:shd w:val="clear" w:color="auto" w:fill="FFFFFF"/>
        <w:tabs>
          <w:tab w:val="left" w:pos="630"/>
        </w:tabs>
        <w:spacing w:after="0" w:line="360" w:lineRule="auto"/>
        <w:ind w:left="720"/>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color w:val="373E4D"/>
          <w:sz w:val="24"/>
          <w:szCs w:val="24"/>
          <w:shd w:val="clear" w:color="auto" w:fill="FEFEFE"/>
          <w:lang w:val="lt-LT"/>
        </w:rPr>
        <w:t xml:space="preserve">4) to investigate the extent to which the European Union has artistic and cultural development; 5) determine which of the EU structural support on the basis of projects have been implemented or are being implemented in Lithuania for the arts and cultural development. </w:t>
      </w: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r w:rsidRPr="001F2A25">
        <w:rPr>
          <w:rFonts w:ascii="Times New Roman" w:hAnsi="Times New Roman" w:cs="Times New Roman"/>
          <w:b/>
          <w:color w:val="373E4D"/>
          <w:sz w:val="24"/>
          <w:szCs w:val="24"/>
          <w:shd w:val="clear" w:color="auto" w:fill="FEFEFE"/>
          <w:lang w:val="lt-LT"/>
        </w:rPr>
        <w:tab/>
        <w:t>Working methods</w:t>
      </w:r>
      <w:r w:rsidRPr="001F2A25">
        <w:rPr>
          <w:rFonts w:ascii="Times New Roman" w:hAnsi="Times New Roman" w:cs="Times New Roman"/>
          <w:color w:val="373E4D"/>
          <w:sz w:val="24"/>
          <w:szCs w:val="24"/>
          <w:shd w:val="clear" w:color="auto" w:fill="FEFEFE"/>
          <w:lang w:val="lt-LT"/>
        </w:rPr>
        <w:t xml:space="preserve"> - in order to determine the importance of the arts and cultural life of modern society analysis of scientific literature analysis and synthesis, in order to determine how the European Union has artistic and cultural development, for structural support programs in qualitative analysis.</w:t>
      </w: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both"/>
        <w:rPr>
          <w:rFonts w:ascii="Times New Roman" w:hAnsi="Times New Roman" w:cs="Times New Roman"/>
          <w:color w:val="373E4D"/>
          <w:sz w:val="24"/>
          <w:szCs w:val="24"/>
          <w:shd w:val="clear" w:color="auto" w:fill="FEFEFE"/>
          <w:lang w:val="lt-LT"/>
        </w:rPr>
      </w:pPr>
    </w:p>
    <w:p w:rsidR="00277CCC" w:rsidRPr="001F2A25" w:rsidRDefault="00277CCC" w:rsidP="00277CCC">
      <w:pPr>
        <w:shd w:val="clear" w:color="auto" w:fill="FFFFFF"/>
        <w:tabs>
          <w:tab w:val="left" w:pos="630"/>
        </w:tabs>
        <w:spacing w:after="0" w:line="360" w:lineRule="auto"/>
        <w:jc w:val="center"/>
        <w:rPr>
          <w:rFonts w:ascii="Times New Roman" w:hAnsi="Times New Roman" w:cs="Times New Roman"/>
          <w:sz w:val="24"/>
          <w:szCs w:val="24"/>
          <w:lang w:val="lt-LT"/>
        </w:rPr>
      </w:pPr>
      <w:r w:rsidRPr="001F2A25">
        <w:rPr>
          <w:rFonts w:ascii="Times New Roman" w:hAnsi="Times New Roman" w:cs="Times New Roman"/>
          <w:sz w:val="24"/>
          <w:szCs w:val="24"/>
          <w:lang w:val="lt-LT"/>
        </w:rPr>
        <w:lastRenderedPageBreak/>
        <w:t>LITERATŪROS IR ŠALTINIŲ SĄRAŠAS</w:t>
      </w:r>
    </w:p>
    <w:p w:rsidR="00277CCC" w:rsidRPr="001F2A25" w:rsidRDefault="00277CCC" w:rsidP="00277CCC">
      <w:pPr>
        <w:shd w:val="clear" w:color="auto" w:fill="FFFFFF"/>
        <w:tabs>
          <w:tab w:val="left" w:pos="630"/>
        </w:tabs>
        <w:spacing w:after="0" w:line="360" w:lineRule="auto"/>
        <w:jc w:val="center"/>
        <w:rPr>
          <w:rFonts w:ascii="Times New Roman" w:hAnsi="Times New Roman" w:cs="Times New Roman"/>
          <w:sz w:val="24"/>
          <w:szCs w:val="24"/>
          <w:lang w:val="lt-LT"/>
        </w:rPr>
      </w:pP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Černevičiūtė, J, Žilinskaitė, V. (2009). Kūrybinių industrijų raida ir meno komunikacijos samprata Lietuvoje. </w:t>
      </w:r>
      <w:r w:rsidRPr="001F2A25">
        <w:rPr>
          <w:rFonts w:ascii="Times New Roman" w:hAnsi="Times New Roman" w:cs="Times New Roman"/>
          <w:i/>
          <w:sz w:val="20"/>
          <w:szCs w:val="20"/>
          <w:lang w:val="lt-LT"/>
        </w:rPr>
        <w:t xml:space="preserve">Filosofija. Sociologija. </w:t>
      </w:r>
      <w:r w:rsidRPr="001F2A25">
        <w:rPr>
          <w:rFonts w:ascii="Times New Roman" w:hAnsi="Times New Roman" w:cs="Times New Roman"/>
          <w:sz w:val="20"/>
          <w:szCs w:val="20"/>
          <w:lang w:val="lt-LT"/>
        </w:rPr>
        <w:t xml:space="preserve">Lietuvos mokslų akademija, 2009, Nr. 3, p. 203-212. Prieiga per internetą </w:t>
      </w:r>
      <w:hyperlink r:id="rId10" w:history="1">
        <w:r w:rsidRPr="001F2A25">
          <w:rPr>
            <w:rStyle w:val="Hyperlink"/>
            <w:rFonts w:ascii="Times New Roman" w:hAnsi="Times New Roman" w:cs="Times New Roman"/>
            <w:sz w:val="20"/>
            <w:szCs w:val="20"/>
            <w:lang w:val="lt-LT"/>
          </w:rPr>
          <w:t>http://www.lmaleidykla.lt/publ/0235-7186/2009/3/203-212.pdf</w:t>
        </w:r>
      </w:hyperlink>
      <w:r w:rsidRPr="001F2A25">
        <w:rPr>
          <w:rFonts w:ascii="Times New Roman" w:hAnsi="Times New Roman" w:cs="Times New Roman"/>
          <w:sz w:val="20"/>
          <w:szCs w:val="20"/>
          <w:lang w:val="lt-LT"/>
        </w:rPr>
        <w:t xml:space="preserve"> (žiūrėta 2016 m. balandžio 25d.).</w:t>
      </w:r>
    </w:p>
    <w:p w:rsidR="00A128AA" w:rsidRPr="001F2A25" w:rsidRDefault="00A128AA"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Pr>
          <w:rFonts w:ascii="Times New Roman" w:hAnsi="Times New Roman" w:cs="Times New Roman"/>
          <w:i/>
          <w:sz w:val="20"/>
          <w:szCs w:val="20"/>
          <w:lang w:val="lt-LT"/>
        </w:rPr>
        <w:t xml:space="preserve">Didėja kultūros ir meno darbuotojų atlyginimai. </w:t>
      </w:r>
      <w:r>
        <w:rPr>
          <w:rFonts w:ascii="Times New Roman" w:hAnsi="Times New Roman" w:cs="Times New Roman"/>
          <w:sz w:val="20"/>
          <w:szCs w:val="20"/>
          <w:lang w:val="lt-LT"/>
        </w:rPr>
        <w:t xml:space="preserve">(2015) Prieiga per internetą </w:t>
      </w:r>
      <w:hyperlink r:id="rId11" w:history="1">
        <w:r w:rsidRPr="006540D2">
          <w:rPr>
            <w:rStyle w:val="Hyperlink"/>
            <w:rFonts w:ascii="Times New Roman" w:hAnsi="Times New Roman" w:cs="Times New Roman"/>
            <w:sz w:val="20"/>
            <w:szCs w:val="20"/>
            <w:lang w:val="lt-LT"/>
          </w:rPr>
          <w:t>https://ministraspirmininkas.lrv.lt/lt/naujienos/dideja-kulturos-ir-meno-darbuotoju-atlyginimai</w:t>
        </w:r>
      </w:hyperlink>
      <w:r>
        <w:rPr>
          <w:rFonts w:ascii="Times New Roman" w:hAnsi="Times New Roman" w:cs="Times New Roman"/>
          <w:sz w:val="20"/>
          <w:szCs w:val="20"/>
          <w:lang w:val="lt-LT"/>
        </w:rPr>
        <w:t xml:space="preserve"> (žiūrėta 2016m. gegužės 27d.).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Education, Audiovisual and Culture Executive Agency. Prieiga per internetą </w:t>
      </w:r>
      <w:hyperlink r:id="rId12" w:history="1">
        <w:r w:rsidRPr="001F2A25">
          <w:rPr>
            <w:rStyle w:val="Hyperlink"/>
            <w:rFonts w:ascii="Times New Roman" w:hAnsi="Times New Roman" w:cs="Times New Roman"/>
            <w:sz w:val="20"/>
            <w:szCs w:val="20"/>
            <w:lang w:val="lt-LT"/>
          </w:rPr>
          <w:t>http://eacea.ec.europa.eu/creative-europe/selection-results_enn</w:t>
        </w:r>
      </w:hyperlink>
      <w:r w:rsidRPr="001F2A25">
        <w:rPr>
          <w:rFonts w:ascii="Times New Roman" w:hAnsi="Times New Roman" w:cs="Times New Roman"/>
          <w:sz w:val="20"/>
          <w:szCs w:val="20"/>
          <w:lang w:val="lt-LT"/>
        </w:rPr>
        <w:t xml:space="preserve"> (žiūrėta 2016 m. gegužės 3d.).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Ekspertai.eu. (2015). </w:t>
      </w:r>
      <w:r w:rsidRPr="001F2A25">
        <w:rPr>
          <w:rFonts w:ascii="Times New Roman" w:hAnsi="Times New Roman" w:cs="Times New Roman"/>
          <w:i/>
          <w:sz w:val="20"/>
          <w:szCs w:val="20"/>
          <w:lang w:val="lt-LT"/>
        </w:rPr>
        <w:t xml:space="preserve">Lietuvoje antrasis VEKS‘as vyks 2022 metais. </w:t>
      </w:r>
      <w:r w:rsidRPr="001F2A25">
        <w:rPr>
          <w:rFonts w:ascii="Times New Roman" w:hAnsi="Times New Roman" w:cs="Times New Roman"/>
          <w:sz w:val="20"/>
          <w:szCs w:val="20"/>
          <w:lang w:val="lt-LT"/>
        </w:rPr>
        <w:t xml:space="preserve">Prieiga per internetą </w:t>
      </w:r>
      <w:hyperlink r:id="rId13" w:history="1">
        <w:r w:rsidRPr="001F2A25">
          <w:rPr>
            <w:rStyle w:val="Hyperlink"/>
            <w:rFonts w:ascii="Times New Roman" w:hAnsi="Times New Roman" w:cs="Times New Roman"/>
            <w:sz w:val="20"/>
            <w:szCs w:val="20"/>
            <w:lang w:val="lt-LT"/>
          </w:rPr>
          <w:t>http://ldiena.lt/straipsnis/1698/lietuvoje-antrasis-veksas-vyks-2022-metais</w:t>
        </w:r>
      </w:hyperlink>
      <w:r w:rsidRPr="001F2A25">
        <w:rPr>
          <w:rFonts w:ascii="Times New Roman" w:hAnsi="Times New Roman" w:cs="Times New Roman"/>
          <w:sz w:val="20"/>
          <w:szCs w:val="20"/>
          <w:lang w:val="lt-LT"/>
        </w:rPr>
        <w:t xml:space="preserve"> (žiūrėta 2016 m. gegužės 3d.).</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 xml:space="preserve">Employment rate by sex, age group 20-64. </w:t>
      </w:r>
      <w:r w:rsidRPr="00D07EA1">
        <w:rPr>
          <w:rFonts w:ascii="Times New Roman" w:hAnsi="Times New Roman" w:cs="Times New Roman"/>
          <w:sz w:val="20"/>
          <w:szCs w:val="20"/>
        </w:rPr>
        <w:t xml:space="preserve">Eurostat. Prieiga per internetą </w:t>
      </w:r>
      <w:hyperlink r:id="rId14" w:history="1">
        <w:r w:rsidRPr="00D07EA1">
          <w:rPr>
            <w:rStyle w:val="Hyperlink"/>
            <w:rFonts w:ascii="Times New Roman" w:hAnsi="Times New Roman" w:cs="Times New Roman"/>
            <w:sz w:val="20"/>
            <w:szCs w:val="20"/>
          </w:rPr>
          <w:t>http://ec.europa.eu/eurostat/tgm/table.do?tab=table&amp;plugin=1&amp;language=en&amp;pcode=t2020_10</w:t>
        </w:r>
      </w:hyperlink>
      <w:r w:rsidRPr="00D07EA1">
        <w:rPr>
          <w:rFonts w:ascii="Times New Roman" w:hAnsi="Times New Roman" w:cs="Times New Roman"/>
          <w:sz w:val="20"/>
          <w:szCs w:val="20"/>
        </w:rPr>
        <w:t xml:space="preserve"> (žiūrėta 2016 m. gegužės 5d.).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„Erasmus+“ rezultatai Lietuvoje: tūkstančiai dalyvių ir šimtai projektų. </w:t>
      </w:r>
      <w:r w:rsidRPr="001F2A25">
        <w:rPr>
          <w:rFonts w:ascii="Times New Roman" w:hAnsi="Times New Roman" w:cs="Times New Roman"/>
          <w:sz w:val="20"/>
          <w:szCs w:val="20"/>
          <w:lang w:val="lt-LT"/>
        </w:rPr>
        <w:t xml:space="preserve">Prieiga per internetą </w:t>
      </w:r>
      <w:hyperlink r:id="rId15" w:history="1">
        <w:r w:rsidRPr="001F2A25">
          <w:rPr>
            <w:rStyle w:val="Hyperlink"/>
            <w:rFonts w:ascii="Times New Roman" w:hAnsi="Times New Roman" w:cs="Times New Roman"/>
            <w:sz w:val="20"/>
            <w:szCs w:val="20"/>
            <w:lang w:val="lt-LT"/>
          </w:rPr>
          <w:t>http://www.smpf.lt/lt/erasmus-rezultatai-lietuvoje-tukstanciai-dalyviu-ir-simtai-projektu-1</w:t>
        </w:r>
      </w:hyperlink>
      <w:r w:rsidRPr="001F2A25">
        <w:rPr>
          <w:rFonts w:ascii="Times New Roman" w:hAnsi="Times New Roman" w:cs="Times New Roman"/>
          <w:sz w:val="20"/>
          <w:szCs w:val="20"/>
          <w:lang w:val="lt-LT"/>
        </w:rPr>
        <w:t xml:space="preserve"> (žiūrėta 2016 m. gegužės 4d.).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ES investicijų poveikis. </w:t>
      </w:r>
      <w:r w:rsidRPr="001F2A25">
        <w:rPr>
          <w:rFonts w:ascii="Times New Roman" w:hAnsi="Times New Roman" w:cs="Times New Roman"/>
          <w:sz w:val="20"/>
          <w:szCs w:val="20"/>
          <w:lang w:val="lt-LT"/>
        </w:rPr>
        <w:t xml:space="preserve">Prieiga per internetą </w:t>
      </w:r>
      <w:hyperlink r:id="rId16" w:history="1">
        <w:r w:rsidRPr="001F2A25">
          <w:rPr>
            <w:rStyle w:val="Hyperlink"/>
            <w:rFonts w:ascii="Times New Roman" w:hAnsi="Times New Roman" w:cs="Times New Roman"/>
            <w:sz w:val="20"/>
            <w:szCs w:val="20"/>
            <w:lang w:val="lt-LT"/>
          </w:rPr>
          <w:t>http://www.esinvesticijos.lt/lt/rezultatai-ir-statistika/poveikis</w:t>
        </w:r>
      </w:hyperlink>
      <w:r w:rsidRPr="001F2A25">
        <w:rPr>
          <w:rFonts w:ascii="Times New Roman" w:hAnsi="Times New Roman" w:cs="Times New Roman"/>
          <w:sz w:val="20"/>
          <w:szCs w:val="20"/>
          <w:lang w:val="lt-LT"/>
        </w:rPr>
        <w:t xml:space="preserve"> (žiūrėta 2016 m. gegužės 2d.).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ES programa „Kūrybiška Europa 2014 – 2020“. </w:t>
      </w:r>
      <w:r w:rsidRPr="001F2A25">
        <w:rPr>
          <w:rFonts w:ascii="Times New Roman" w:hAnsi="Times New Roman" w:cs="Times New Roman"/>
          <w:sz w:val="20"/>
          <w:szCs w:val="20"/>
          <w:lang w:val="lt-LT"/>
        </w:rPr>
        <w:t xml:space="preserve">Prieiga per internetą </w:t>
      </w:r>
      <w:hyperlink r:id="rId17" w:history="1">
        <w:r w:rsidRPr="001F2A25">
          <w:rPr>
            <w:rStyle w:val="Hyperlink"/>
            <w:rFonts w:ascii="Times New Roman" w:hAnsi="Times New Roman" w:cs="Times New Roman"/>
            <w:sz w:val="20"/>
            <w:szCs w:val="20"/>
            <w:lang w:val="lt-LT"/>
          </w:rPr>
          <w:t>http://kurybiskaeuropa.eu/kultura/data/files/kurybiska_europa_kultura_paprograme.pdf</w:t>
        </w:r>
      </w:hyperlink>
      <w:r w:rsidRPr="001F2A25">
        <w:rPr>
          <w:rFonts w:ascii="Times New Roman" w:hAnsi="Times New Roman" w:cs="Times New Roman"/>
          <w:sz w:val="20"/>
          <w:szCs w:val="20"/>
          <w:lang w:val="lt-LT"/>
        </w:rPr>
        <w:t xml:space="preserve"> (žiūrėta 2016 m. gegužės 2d.).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Europos Sąjungos pagrindinių teisių chartija.</w:t>
      </w:r>
      <w:r w:rsidRPr="001F2A25">
        <w:rPr>
          <w:rFonts w:ascii="Times New Roman" w:hAnsi="Times New Roman" w:cs="Times New Roman"/>
          <w:sz w:val="20"/>
          <w:szCs w:val="20"/>
          <w:lang w:val="lt-LT"/>
        </w:rPr>
        <w:t xml:space="preserve"> Prieiga per internetą </w:t>
      </w:r>
      <w:hyperlink r:id="rId18" w:history="1">
        <w:r w:rsidRPr="001F2A25">
          <w:rPr>
            <w:rStyle w:val="Hyperlink"/>
            <w:rFonts w:ascii="Times New Roman" w:hAnsi="Times New Roman" w:cs="Times New Roman"/>
            <w:sz w:val="20"/>
            <w:szCs w:val="20"/>
            <w:lang w:val="lt-LT"/>
          </w:rPr>
          <w:t>http://eur-lex.europa.eu/legal-content/LT/TXT/?uri=CELEX%3A12012P%2FTXT</w:t>
        </w:r>
      </w:hyperlink>
      <w:r w:rsidRPr="001F2A25">
        <w:rPr>
          <w:rFonts w:ascii="Times New Roman" w:hAnsi="Times New Roman" w:cs="Times New Roman"/>
          <w:sz w:val="20"/>
          <w:szCs w:val="20"/>
          <w:lang w:val="lt-LT"/>
        </w:rPr>
        <w:t xml:space="preserve">  (žiūrėta 2016 m. balandžio 30d.).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Finansų ministerija, (2016). </w:t>
      </w:r>
      <w:r w:rsidRPr="001F2A25">
        <w:rPr>
          <w:rFonts w:ascii="Times New Roman" w:hAnsi="Times New Roman" w:cs="Times New Roman"/>
          <w:i/>
          <w:sz w:val="20"/>
          <w:szCs w:val="20"/>
          <w:lang w:val="lt-LT"/>
        </w:rPr>
        <w:t xml:space="preserve">Saulėtekio slėnyje kuriama inovatyvios pramonės sistema. </w:t>
      </w:r>
      <w:r w:rsidRPr="001F2A25">
        <w:rPr>
          <w:rFonts w:ascii="Times New Roman" w:hAnsi="Times New Roman" w:cs="Times New Roman"/>
          <w:sz w:val="20"/>
          <w:szCs w:val="20"/>
          <w:lang w:val="lt-LT"/>
        </w:rPr>
        <w:t xml:space="preserve">Prieiga per internetą </w:t>
      </w:r>
      <w:hyperlink r:id="rId19" w:history="1">
        <w:r w:rsidRPr="001F2A25">
          <w:rPr>
            <w:rStyle w:val="Hyperlink"/>
            <w:rFonts w:ascii="Times New Roman" w:hAnsi="Times New Roman" w:cs="Times New Roman"/>
            <w:sz w:val="20"/>
            <w:szCs w:val="20"/>
            <w:lang w:val="lt-LT"/>
          </w:rPr>
          <w:t>http://www.esinvesticijos.lt/lt/naujienos/sauletekio-slenyje-kuriama-inovatyvios-pramones-sistema</w:t>
        </w:r>
      </w:hyperlink>
      <w:r w:rsidRPr="001F2A25">
        <w:rPr>
          <w:rFonts w:ascii="Times New Roman" w:hAnsi="Times New Roman" w:cs="Times New Roman"/>
          <w:sz w:val="20"/>
          <w:szCs w:val="20"/>
          <w:lang w:val="lt-LT"/>
        </w:rPr>
        <w:t xml:space="preserve"> (žiūrėta 2016 m. gegužės 4d.).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GDP per capita in PPS. </w:t>
      </w:r>
      <w:r w:rsidRPr="001F2A25">
        <w:rPr>
          <w:rFonts w:ascii="Times New Roman" w:hAnsi="Times New Roman" w:cs="Times New Roman"/>
          <w:sz w:val="20"/>
          <w:szCs w:val="20"/>
          <w:lang w:val="lt-LT"/>
        </w:rPr>
        <w:t xml:space="preserve">Eurostat. Prieiga per internetą </w:t>
      </w:r>
      <w:hyperlink r:id="rId20" w:history="1">
        <w:r w:rsidRPr="001F2A25">
          <w:rPr>
            <w:rStyle w:val="Hyperlink"/>
            <w:rFonts w:ascii="Times New Roman" w:hAnsi="Times New Roman" w:cs="Times New Roman"/>
            <w:sz w:val="20"/>
            <w:szCs w:val="20"/>
            <w:lang w:val="lt-LT"/>
          </w:rPr>
          <w:t>http://ec.europa.eu/eurostat/tgm/graph.do?tab=graph&amp;plugin=1&amp;language=en&amp;pcode=tec00114&amp;toolbox=type</w:t>
        </w:r>
      </w:hyperlink>
      <w:r w:rsidRPr="001F2A25">
        <w:rPr>
          <w:rFonts w:ascii="Times New Roman" w:hAnsi="Times New Roman" w:cs="Times New Roman"/>
          <w:sz w:val="20"/>
          <w:szCs w:val="20"/>
          <w:lang w:val="lt-LT"/>
        </w:rPr>
        <w:t xml:space="preserve"> (žiūrėta 2016 m. gegužės 3d.).</w:t>
      </w:r>
    </w:p>
    <w:p w:rsidR="00277CCC" w:rsidRPr="00A128AA"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 xml:space="preserve">HICP – inflation rate. </w:t>
      </w:r>
      <w:r w:rsidRPr="00D07EA1">
        <w:rPr>
          <w:rFonts w:ascii="Times New Roman" w:hAnsi="Times New Roman" w:cs="Times New Roman"/>
          <w:sz w:val="20"/>
          <w:szCs w:val="20"/>
        </w:rPr>
        <w:t xml:space="preserve">Eurostat. Prieiga per internetą </w:t>
      </w:r>
      <w:hyperlink r:id="rId21" w:history="1">
        <w:r w:rsidRPr="00D07EA1">
          <w:rPr>
            <w:rStyle w:val="Hyperlink"/>
            <w:rFonts w:ascii="Times New Roman" w:hAnsi="Times New Roman" w:cs="Times New Roman"/>
            <w:sz w:val="20"/>
            <w:szCs w:val="20"/>
          </w:rPr>
          <w:t>http://ec.europa.eu/eurostat/tgm/table.do?tab=table&amp;init=1&amp;language=en&amp;pcode=tec00118&amp;plugin=1</w:t>
        </w:r>
      </w:hyperlink>
      <w:r w:rsidRPr="00D07EA1">
        <w:rPr>
          <w:rFonts w:ascii="Times New Roman" w:hAnsi="Times New Roman" w:cs="Times New Roman"/>
          <w:sz w:val="20"/>
          <w:szCs w:val="20"/>
        </w:rPr>
        <w:t xml:space="preserve"> (žiūrėta 2016 m. gegužės 6d.).</w:t>
      </w:r>
    </w:p>
    <w:p w:rsidR="00A128AA" w:rsidRPr="00D07EA1" w:rsidRDefault="00A128AA"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Pr>
          <w:rFonts w:ascii="Times New Roman" w:hAnsi="Times New Roman" w:cs="Times New Roman"/>
          <w:i/>
          <w:sz w:val="20"/>
          <w:szCs w:val="20"/>
        </w:rPr>
        <w:t>Įsakymas dėl kultūros ir kūrybinių industrijų politicos 2015 –</w:t>
      </w:r>
      <w:r>
        <w:rPr>
          <w:rFonts w:ascii="Times New Roman" w:hAnsi="Times New Roman" w:cs="Times New Roman"/>
          <w:sz w:val="20"/>
          <w:szCs w:val="20"/>
          <w:lang w:val="lt-LT"/>
        </w:rPr>
        <w:t xml:space="preserve"> 2020 metų plėtros krypčių patvirtinimo. (2015). Prieiga per internetą </w:t>
      </w:r>
      <w:hyperlink r:id="rId22" w:history="1">
        <w:r w:rsidRPr="006540D2">
          <w:rPr>
            <w:rStyle w:val="Hyperlink"/>
            <w:rFonts w:ascii="Times New Roman" w:hAnsi="Times New Roman" w:cs="Times New Roman"/>
            <w:sz w:val="20"/>
            <w:szCs w:val="20"/>
            <w:lang w:val="lt-LT"/>
          </w:rPr>
          <w:t>https://www.e-tar.lt/portal/lt/legalAct/4a213850378411e5aee6f3ae4a9cfa2d</w:t>
        </w:r>
      </w:hyperlink>
      <w:r>
        <w:rPr>
          <w:rFonts w:ascii="Times New Roman" w:hAnsi="Times New Roman" w:cs="Times New Roman"/>
          <w:sz w:val="20"/>
          <w:szCs w:val="20"/>
          <w:lang w:val="lt-LT"/>
        </w:rPr>
        <w:t xml:space="preserve"> (žiūrėta 2016m. gegužės 30d</w:t>
      </w:r>
      <w:r w:rsidR="00277436">
        <w:rPr>
          <w:rFonts w:ascii="Times New Roman" w:hAnsi="Times New Roman" w:cs="Times New Roman"/>
          <w:sz w:val="20"/>
          <w:szCs w:val="20"/>
          <w:lang w:val="lt-LT"/>
        </w:rPr>
        <w:t>.).</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Kultūra Europos Sąjungoje. </w:t>
      </w:r>
      <w:r w:rsidRPr="001F2A25">
        <w:rPr>
          <w:rFonts w:ascii="Times New Roman" w:hAnsi="Times New Roman" w:cs="Times New Roman"/>
          <w:sz w:val="20"/>
          <w:szCs w:val="20"/>
          <w:lang w:val="lt-LT"/>
        </w:rPr>
        <w:t xml:space="preserve">Prieiga per internetą </w:t>
      </w:r>
      <w:hyperlink r:id="rId23" w:history="1">
        <w:r w:rsidRPr="001F2A25">
          <w:rPr>
            <w:rStyle w:val="Hyperlink"/>
            <w:rFonts w:ascii="Times New Roman" w:hAnsi="Times New Roman" w:cs="Times New Roman"/>
            <w:sz w:val="20"/>
            <w:szCs w:val="20"/>
            <w:lang w:val="lt-LT"/>
          </w:rPr>
          <w:t>http://europa.eu/pol/cult/index_lt.htm</w:t>
        </w:r>
      </w:hyperlink>
      <w:r w:rsidRPr="001F2A25">
        <w:rPr>
          <w:rFonts w:ascii="Times New Roman" w:hAnsi="Times New Roman" w:cs="Times New Roman"/>
          <w:sz w:val="20"/>
          <w:szCs w:val="20"/>
          <w:lang w:val="lt-LT"/>
        </w:rPr>
        <w:t xml:space="preserve"> (žiūrėta 2016 m. balandžio 25d.).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Kultūra ir audiovizualinė politika. </w:t>
      </w:r>
      <w:r w:rsidRPr="001F2A25">
        <w:rPr>
          <w:rFonts w:ascii="Times New Roman" w:hAnsi="Times New Roman" w:cs="Times New Roman"/>
          <w:sz w:val="20"/>
          <w:szCs w:val="20"/>
          <w:lang w:val="lt-LT"/>
        </w:rPr>
        <w:t xml:space="preserve">(2014). Prieiga per internetą </w:t>
      </w:r>
      <w:hyperlink r:id="rId24" w:history="1">
        <w:r w:rsidRPr="001F2A25">
          <w:rPr>
            <w:rStyle w:val="Hyperlink"/>
            <w:rFonts w:ascii="Times New Roman" w:hAnsi="Times New Roman" w:cs="Times New Roman"/>
            <w:sz w:val="20"/>
            <w:szCs w:val="20"/>
            <w:lang w:val="lt-LT"/>
          </w:rPr>
          <w:t>http://europa.eu/pol/pdf/flipbook/lt/culture_audiovisual_lt.pdf</w:t>
        </w:r>
      </w:hyperlink>
      <w:r w:rsidRPr="001F2A25">
        <w:rPr>
          <w:rFonts w:ascii="Times New Roman" w:hAnsi="Times New Roman" w:cs="Times New Roman"/>
          <w:sz w:val="20"/>
          <w:szCs w:val="20"/>
          <w:lang w:val="lt-LT"/>
        </w:rPr>
        <w:t xml:space="preserve"> (žiūrėta 2016 m. balandžio 25d.).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lastRenderedPageBreak/>
        <w:t xml:space="preserve">Kultūra 2014 (2015). Vilnius: Lietuvos statistikos departamentas. Prieiga per internetą </w:t>
      </w:r>
      <w:hyperlink r:id="rId25" w:history="1">
        <w:r w:rsidRPr="001F2A25">
          <w:rPr>
            <w:rStyle w:val="Hyperlink"/>
            <w:rFonts w:ascii="Times New Roman" w:hAnsi="Times New Roman" w:cs="Times New Roman"/>
            <w:sz w:val="20"/>
            <w:szCs w:val="20"/>
            <w:lang w:val="lt-LT"/>
          </w:rPr>
          <w:t>http://osp.stat.gov.lt/services-portlet/pub-edition-file?id=19818</w:t>
        </w:r>
      </w:hyperlink>
      <w:r w:rsidRPr="001F2A25">
        <w:rPr>
          <w:rFonts w:ascii="Times New Roman" w:hAnsi="Times New Roman" w:cs="Times New Roman"/>
          <w:sz w:val="20"/>
          <w:szCs w:val="20"/>
          <w:lang w:val="lt-LT"/>
        </w:rPr>
        <w:t xml:space="preserve"> (žiūrėta 2016 m. gegužės 2d.).</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Kultūros rėmimo fondo lėšomis finansuojamų projektų teikimo gairės</w:t>
      </w:r>
      <w:r w:rsidRPr="00D07EA1">
        <w:rPr>
          <w:rFonts w:ascii="Times New Roman" w:hAnsi="Times New Roman" w:cs="Times New Roman"/>
          <w:sz w:val="20"/>
          <w:szCs w:val="20"/>
        </w:rPr>
        <w:t xml:space="preserve">. (2015). Prieiga per internetą </w:t>
      </w:r>
      <w:hyperlink r:id="rId26" w:history="1">
        <w:r w:rsidRPr="00D07EA1">
          <w:rPr>
            <w:rStyle w:val="Hyperlink"/>
            <w:rFonts w:ascii="Times New Roman" w:hAnsi="Times New Roman" w:cs="Times New Roman"/>
            <w:sz w:val="20"/>
            <w:szCs w:val="20"/>
          </w:rPr>
          <w:t>http://www.ltkt.lt/projektu-finansavimas/2016-m-gaires</w:t>
        </w:r>
      </w:hyperlink>
      <w:r w:rsidRPr="00D07EA1">
        <w:rPr>
          <w:rFonts w:ascii="Times New Roman" w:hAnsi="Times New Roman" w:cs="Times New Roman"/>
          <w:sz w:val="20"/>
          <w:szCs w:val="20"/>
        </w:rPr>
        <w:t xml:space="preserve"> (žiūrėta 2016 m. gegužės 6d.).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Kuprytė, K. (2009). Kultūrinių, etninių renginių vadybos internacionalizavimo aspektas (magistro darbas). Prieiga internetu </w:t>
      </w:r>
      <w:hyperlink r:id="rId27" w:history="1">
        <w:r w:rsidRPr="001F2A25">
          <w:rPr>
            <w:rStyle w:val="Hyperlink"/>
            <w:rFonts w:ascii="Times New Roman" w:hAnsi="Times New Roman" w:cs="Times New Roman"/>
            <w:sz w:val="20"/>
            <w:szCs w:val="20"/>
            <w:lang w:val="lt-LT"/>
          </w:rPr>
          <w:t>http://vddb.library.lt/fedora/get/LT-eLABa-0001:E.02~2009~D_20090828_130456-02491/DS.005.0.01.ETD</w:t>
        </w:r>
      </w:hyperlink>
      <w:r w:rsidRPr="001F2A25">
        <w:rPr>
          <w:rFonts w:ascii="Times New Roman" w:hAnsi="Times New Roman" w:cs="Times New Roman"/>
          <w:sz w:val="20"/>
          <w:szCs w:val="20"/>
          <w:lang w:val="lt-LT"/>
        </w:rPr>
        <w:t xml:space="preserve"> (žiūrėta 2016 m. balandžio 25d.).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Lietuvos dalyvavimas ES programoje „Kultūra 2007 - 2013“. </w:t>
      </w:r>
      <w:r w:rsidRPr="001F2A25">
        <w:rPr>
          <w:rFonts w:ascii="Times New Roman" w:hAnsi="Times New Roman" w:cs="Times New Roman"/>
          <w:sz w:val="20"/>
          <w:szCs w:val="20"/>
          <w:lang w:val="lt-LT"/>
        </w:rPr>
        <w:t xml:space="preserve">Prieiga per internetą </w:t>
      </w:r>
      <w:hyperlink r:id="rId28" w:history="1">
        <w:r w:rsidRPr="001F2A25">
          <w:rPr>
            <w:rStyle w:val="Hyperlink"/>
            <w:rFonts w:ascii="Times New Roman" w:hAnsi="Times New Roman" w:cs="Times New Roman"/>
            <w:sz w:val="20"/>
            <w:szCs w:val="20"/>
            <w:lang w:val="lt-LT"/>
          </w:rPr>
          <w:t>http://kurybiskaeuropa.eu/kultura/data/files/kultura_2007_2013_lt.pdf</w:t>
        </w:r>
      </w:hyperlink>
      <w:r w:rsidRPr="001F2A25">
        <w:rPr>
          <w:rFonts w:ascii="Times New Roman" w:hAnsi="Times New Roman" w:cs="Times New Roman"/>
          <w:sz w:val="20"/>
          <w:szCs w:val="20"/>
          <w:lang w:val="lt-LT"/>
        </w:rPr>
        <w:t xml:space="preserve"> (žiūrėta 2016 m. balandžio 29d.).</w:t>
      </w:r>
    </w:p>
    <w:p w:rsidR="00277CCC" w:rsidRPr="00370C60"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0E3EE4">
        <w:rPr>
          <w:rFonts w:ascii="Times New Roman" w:hAnsi="Times New Roman" w:cs="Times New Roman"/>
          <w:i/>
          <w:sz w:val="20"/>
          <w:szCs w:val="20"/>
          <w:lang w:val="lt-LT"/>
        </w:rPr>
        <w:t>Lietuvos kultūros politikos kaitos gairių projektas.</w:t>
      </w:r>
      <w:r w:rsidRPr="000E3EE4">
        <w:rPr>
          <w:rFonts w:ascii="Times New Roman" w:hAnsi="Times New Roman" w:cs="Times New Roman"/>
          <w:sz w:val="20"/>
          <w:szCs w:val="20"/>
          <w:lang w:val="lt-LT"/>
        </w:rPr>
        <w:t xml:space="preserve"> Prieiga per internetą </w:t>
      </w:r>
      <w:hyperlink r:id="rId29" w:history="1">
        <w:r w:rsidRPr="000E3EE4">
          <w:rPr>
            <w:rStyle w:val="Hyperlink"/>
            <w:rFonts w:ascii="Times New Roman" w:hAnsi="Times New Roman" w:cs="Times New Roman"/>
            <w:sz w:val="20"/>
            <w:szCs w:val="20"/>
          </w:rPr>
          <w:t>https://www.google.lt/url?sa=t&amp;rct=j&amp;q=&amp;esrc=s&amp;source=web&amp;cd=9&amp;cad=rja&amp;uact=8&amp;ved=0ahUKEwiZrLDHysXMAhXBESwKHQTvAb8QFghIMAg&amp;url=http%3A%2F%2Fwww.kinosajunga.lt%2FUserFiles%2FFile%2FLietuvos%2520kulturos%2520politikos%2520kaitos%2520gairiu%2520projektas.doc&amp;usg=AFQjCNHkeTozyHzJfk6APBOjZWpgOMG2og&amp;sig2=XEnPvJ0C5XOKvQkO7g5pgA&amp;bvm=bv.121421273,d.bGg</w:t>
        </w:r>
      </w:hyperlink>
      <w:r w:rsidRPr="000E3EE4">
        <w:rPr>
          <w:rFonts w:ascii="Times New Roman" w:hAnsi="Times New Roman" w:cs="Times New Roman"/>
          <w:sz w:val="20"/>
          <w:szCs w:val="20"/>
        </w:rPr>
        <w:t xml:space="preserve">  (žiūrėta 2016 m. gegužės 7d.).</w:t>
      </w:r>
    </w:p>
    <w:p w:rsidR="00370C60" w:rsidRPr="00D07EA1" w:rsidRDefault="00370C60"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Lietuvos Respublikos valstybės kontrolė. (2009). </w:t>
      </w:r>
      <w:r>
        <w:rPr>
          <w:rFonts w:ascii="Times New Roman" w:hAnsi="Times New Roman" w:cs="Times New Roman"/>
          <w:i/>
          <w:sz w:val="20"/>
          <w:szCs w:val="20"/>
          <w:lang w:val="lt-LT"/>
        </w:rPr>
        <w:t>Valstybinio audito ataskaita kultūros politikos įgyvendinimas dalinai finansuojant programas ir projektus.</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Melnikas, B. (2007). Šiuolaikinė visuomenė ir kultūra: nauji iššūkiai globalizacijos ir internalizavimo procesų aplinkoje. </w:t>
      </w:r>
      <w:r w:rsidRPr="001F2A25">
        <w:rPr>
          <w:rFonts w:ascii="Times New Roman" w:hAnsi="Times New Roman" w:cs="Times New Roman"/>
          <w:i/>
          <w:sz w:val="20"/>
          <w:szCs w:val="20"/>
          <w:lang w:val="lt-LT"/>
        </w:rPr>
        <w:t>Viešasis administravimas (Public Administration).</w:t>
      </w:r>
      <w:r w:rsidRPr="001F2A25">
        <w:rPr>
          <w:rFonts w:ascii="Times New Roman" w:hAnsi="Times New Roman" w:cs="Times New Roman"/>
          <w:sz w:val="20"/>
          <w:szCs w:val="20"/>
          <w:lang w:val="lt-LT"/>
        </w:rPr>
        <w:t xml:space="preserve"> Lietuvos Viešojo administravimo lavinimo institucijų asociacija, 2007, Vilnius, Nr. 4 (16), p. 77-87.</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Melnikas, B. (2011). </w:t>
      </w:r>
      <w:r>
        <w:rPr>
          <w:rFonts w:ascii="Times New Roman" w:hAnsi="Times New Roman" w:cs="Times New Roman"/>
          <w:i/>
          <w:sz w:val="20"/>
          <w:szCs w:val="20"/>
          <w:lang w:val="lt-LT"/>
        </w:rPr>
        <w:t xml:space="preserve">Transformacijų visuomenė: ekonomika, kultūra, inovacijos, internacionalizavimo procesai. </w:t>
      </w:r>
      <w:r>
        <w:rPr>
          <w:rFonts w:ascii="Times New Roman" w:hAnsi="Times New Roman" w:cs="Times New Roman"/>
          <w:sz w:val="20"/>
          <w:szCs w:val="20"/>
          <w:lang w:val="lt-LT"/>
        </w:rPr>
        <w:t>Vilnius: Technika.</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 xml:space="preserve">Minimum wages. </w:t>
      </w:r>
      <w:r w:rsidRPr="00D07EA1">
        <w:rPr>
          <w:rFonts w:ascii="Times New Roman" w:hAnsi="Times New Roman" w:cs="Times New Roman"/>
          <w:sz w:val="20"/>
          <w:szCs w:val="20"/>
        </w:rPr>
        <w:t xml:space="preserve">Eurostat. Prieiga per internetą </w:t>
      </w:r>
      <w:hyperlink r:id="rId30" w:history="1">
        <w:r w:rsidRPr="00D07EA1">
          <w:rPr>
            <w:rStyle w:val="Hyperlink"/>
            <w:rFonts w:ascii="Times New Roman" w:hAnsi="Times New Roman" w:cs="Times New Roman"/>
            <w:sz w:val="20"/>
            <w:szCs w:val="20"/>
          </w:rPr>
          <w:t>http://ec.europa.eu/eurostat/tgm/table.do?tab=table&amp;init=1&amp;language=en&amp;pcode=tps00155&amp;plugin=1</w:t>
        </w:r>
      </w:hyperlink>
      <w:r w:rsidRPr="00D07EA1">
        <w:rPr>
          <w:rFonts w:ascii="Times New Roman" w:hAnsi="Times New Roman" w:cs="Times New Roman"/>
          <w:sz w:val="20"/>
          <w:szCs w:val="20"/>
        </w:rPr>
        <w:t xml:space="preserve"> (žiūrėta 2016 m. gegužės 5d.).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Nogueira, A.M., Prutsch, M.J, (2015), </w:t>
      </w:r>
      <w:r w:rsidRPr="001F2A25">
        <w:rPr>
          <w:rFonts w:ascii="Times New Roman" w:hAnsi="Times New Roman" w:cs="Times New Roman"/>
          <w:i/>
          <w:sz w:val="20"/>
          <w:szCs w:val="20"/>
          <w:lang w:val="lt-LT"/>
        </w:rPr>
        <w:t xml:space="preserve">Faktų apie Europos Sąjunga suvestinės. </w:t>
      </w:r>
      <w:r w:rsidRPr="001F2A25">
        <w:rPr>
          <w:rFonts w:ascii="Times New Roman" w:hAnsi="Times New Roman" w:cs="Times New Roman"/>
          <w:sz w:val="20"/>
          <w:szCs w:val="20"/>
          <w:lang w:val="lt-LT"/>
        </w:rPr>
        <w:t xml:space="preserve">Prieiga per internetą </w:t>
      </w:r>
      <w:hyperlink r:id="rId31" w:history="1">
        <w:r w:rsidRPr="001F2A25">
          <w:rPr>
            <w:rStyle w:val="Hyperlink"/>
            <w:rFonts w:ascii="Times New Roman" w:hAnsi="Times New Roman" w:cs="Times New Roman"/>
            <w:sz w:val="20"/>
            <w:szCs w:val="20"/>
            <w:lang w:val="lt-LT"/>
          </w:rPr>
          <w:t>http://www.europarl.europa.eu/atyourservice/lt/displayFtu.html?ftuId=FTU_5.13.1.html</w:t>
        </w:r>
      </w:hyperlink>
      <w:r w:rsidRPr="001F2A25">
        <w:rPr>
          <w:rFonts w:ascii="Times New Roman" w:hAnsi="Times New Roman" w:cs="Times New Roman"/>
          <w:sz w:val="20"/>
          <w:szCs w:val="20"/>
          <w:lang w:val="lt-LT"/>
        </w:rPr>
        <w:t xml:space="preserve"> (žiūrėta 2016 m. balandžio 30d.).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Platform 2015.</w:t>
      </w:r>
      <w:r w:rsidRPr="001F2A25">
        <w:rPr>
          <w:rFonts w:ascii="Times New Roman" w:hAnsi="Times New Roman" w:cs="Times New Roman"/>
          <w:sz w:val="20"/>
          <w:szCs w:val="20"/>
          <w:lang w:val="lt-LT"/>
        </w:rPr>
        <w:t xml:space="preserve"> Prieiga per internetą </w:t>
      </w:r>
      <w:hyperlink r:id="rId32" w:history="1">
        <w:r w:rsidRPr="001F2A25">
          <w:rPr>
            <w:rStyle w:val="Hyperlink"/>
            <w:rFonts w:ascii="Times New Roman" w:hAnsi="Times New Roman" w:cs="Times New Roman"/>
            <w:sz w:val="20"/>
            <w:szCs w:val="20"/>
            <w:lang w:val="lt-LT"/>
          </w:rPr>
          <w:t>https://eacea.ec.europa.eu/sites/eacea-site/files/ce_selection_results_2015_en.pdf</w:t>
        </w:r>
      </w:hyperlink>
      <w:r w:rsidRPr="001F2A25">
        <w:rPr>
          <w:rFonts w:ascii="Times New Roman" w:hAnsi="Times New Roman" w:cs="Times New Roman"/>
          <w:sz w:val="20"/>
          <w:szCs w:val="20"/>
          <w:lang w:val="lt-LT"/>
        </w:rPr>
        <w:t xml:space="preserve"> (žiūrėta 2016 m. gegužės 2d.).</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 xml:space="preserve">Population on 1 January. </w:t>
      </w:r>
      <w:r w:rsidRPr="00D07EA1">
        <w:rPr>
          <w:rFonts w:ascii="Times New Roman" w:hAnsi="Times New Roman" w:cs="Times New Roman"/>
          <w:sz w:val="20"/>
          <w:szCs w:val="20"/>
        </w:rPr>
        <w:t xml:space="preserve">Eurostat. Prieiga per internetą </w:t>
      </w:r>
      <w:hyperlink r:id="rId33" w:history="1">
        <w:r w:rsidRPr="00D07EA1">
          <w:rPr>
            <w:rStyle w:val="Hyperlink"/>
            <w:rFonts w:ascii="Times New Roman" w:hAnsi="Times New Roman" w:cs="Times New Roman"/>
            <w:sz w:val="20"/>
            <w:szCs w:val="20"/>
          </w:rPr>
          <w:t>http://ec.europa.eu/eurostat/tgm/table.do?tab=table&amp;init=1&amp;language=en&amp;pcode=tps00001&amp;plugin=1</w:t>
        </w:r>
      </w:hyperlink>
      <w:r w:rsidRPr="00D07EA1">
        <w:rPr>
          <w:rFonts w:ascii="Times New Roman" w:hAnsi="Times New Roman" w:cs="Times New Roman"/>
          <w:sz w:val="20"/>
          <w:szCs w:val="20"/>
        </w:rPr>
        <w:t xml:space="preserve"> (žiūrėta 2016 m. gegužės 5d.).</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 xml:space="preserve">Pruskus, V. (2013). Kultūros samprata ir inkultūrizacijos procesas tarpkultūrinės komunikacijos kontekste. </w:t>
      </w:r>
      <w:r w:rsidRPr="001F2A25">
        <w:rPr>
          <w:rFonts w:ascii="Times New Roman" w:hAnsi="Times New Roman" w:cs="Times New Roman"/>
          <w:i/>
          <w:sz w:val="20"/>
          <w:szCs w:val="20"/>
          <w:lang w:val="lt-LT"/>
        </w:rPr>
        <w:t xml:space="preserve">Filosofija. Sociologija. </w:t>
      </w:r>
      <w:r w:rsidRPr="001F2A25">
        <w:rPr>
          <w:rFonts w:ascii="Times New Roman" w:hAnsi="Times New Roman" w:cs="Times New Roman"/>
          <w:sz w:val="20"/>
          <w:szCs w:val="20"/>
          <w:lang w:val="lt-LT"/>
        </w:rPr>
        <w:t xml:space="preserve">Lietuvos mokslų akademija, 2013, Nr. 3, p. 121-130. Prieiga per internetą </w:t>
      </w:r>
      <w:hyperlink r:id="rId34" w:history="1">
        <w:r w:rsidRPr="001F2A25">
          <w:rPr>
            <w:rStyle w:val="Hyperlink"/>
            <w:rFonts w:ascii="Times New Roman" w:hAnsi="Times New Roman" w:cs="Times New Roman"/>
            <w:sz w:val="20"/>
            <w:szCs w:val="20"/>
            <w:lang w:val="lt-LT"/>
          </w:rPr>
          <w:t>http://www.lmaleidykla.lt/publ/0235-7186/2013/3/121-130.pdf</w:t>
        </w:r>
      </w:hyperlink>
      <w:r w:rsidRPr="001F2A25">
        <w:rPr>
          <w:rFonts w:ascii="Times New Roman" w:hAnsi="Times New Roman" w:cs="Times New Roman"/>
          <w:sz w:val="20"/>
          <w:szCs w:val="20"/>
          <w:lang w:val="lt-LT"/>
        </w:rPr>
        <w:t xml:space="preserve"> (žiūrėta 2016 m. balandžio 25d.).</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i/>
          <w:sz w:val="20"/>
          <w:szCs w:val="20"/>
        </w:rPr>
        <w:t xml:space="preserve">Regionų kultūros plėtros 2011 – 2020 metų programa. </w:t>
      </w:r>
      <w:r w:rsidRPr="00D07EA1">
        <w:rPr>
          <w:rFonts w:ascii="Times New Roman" w:hAnsi="Times New Roman" w:cs="Times New Roman"/>
          <w:sz w:val="20"/>
          <w:szCs w:val="20"/>
        </w:rPr>
        <w:t xml:space="preserve">Prieiga per internetą </w:t>
      </w:r>
      <w:hyperlink r:id="rId35" w:history="1">
        <w:r w:rsidRPr="00D07EA1">
          <w:rPr>
            <w:rStyle w:val="Hyperlink"/>
            <w:rFonts w:ascii="Times New Roman" w:hAnsi="Times New Roman" w:cs="Times New Roman"/>
            <w:sz w:val="20"/>
            <w:szCs w:val="20"/>
          </w:rPr>
          <w:t>http://alkas.lt/wp-content/uploads/2011/06/Regionu-programa1.pdf</w:t>
        </w:r>
      </w:hyperlink>
      <w:r w:rsidRPr="00D07EA1">
        <w:rPr>
          <w:rFonts w:ascii="Times New Roman" w:hAnsi="Times New Roman" w:cs="Times New Roman"/>
          <w:sz w:val="20"/>
          <w:szCs w:val="20"/>
        </w:rPr>
        <w:t xml:space="preserve"> (žiūrėta 2016 m. gegužės 7d.).</w:t>
      </w:r>
    </w:p>
    <w:p w:rsidR="00277CCC" w:rsidRPr="00D07EA1"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D07EA1">
        <w:rPr>
          <w:rFonts w:ascii="Times New Roman" w:hAnsi="Times New Roman" w:cs="Times New Roman"/>
          <w:sz w:val="20"/>
          <w:szCs w:val="20"/>
        </w:rPr>
        <w:t>S</w:t>
      </w:r>
      <w:r w:rsidRPr="00D07EA1">
        <w:rPr>
          <w:rFonts w:ascii="Times New Roman" w:hAnsi="Times New Roman" w:cs="Times New Roman"/>
          <w:i/>
          <w:sz w:val="20"/>
          <w:szCs w:val="20"/>
        </w:rPr>
        <w:t xml:space="preserve">tatistika. </w:t>
      </w:r>
      <w:r w:rsidRPr="00D07EA1">
        <w:rPr>
          <w:rFonts w:ascii="Times New Roman" w:hAnsi="Times New Roman" w:cs="Times New Roman"/>
          <w:sz w:val="20"/>
          <w:szCs w:val="20"/>
        </w:rPr>
        <w:t>Lietuvos kultūros taryba</w:t>
      </w:r>
      <w:r w:rsidRPr="00D07EA1">
        <w:rPr>
          <w:rFonts w:ascii="Times New Roman" w:hAnsi="Times New Roman" w:cs="Times New Roman"/>
          <w:i/>
          <w:sz w:val="20"/>
          <w:szCs w:val="20"/>
        </w:rPr>
        <w:t xml:space="preserve">. </w:t>
      </w:r>
      <w:r w:rsidRPr="00D07EA1">
        <w:rPr>
          <w:rFonts w:ascii="Times New Roman" w:hAnsi="Times New Roman" w:cs="Times New Roman"/>
          <w:sz w:val="20"/>
          <w:szCs w:val="20"/>
        </w:rPr>
        <w:t xml:space="preserve">Prieiga per internetą </w:t>
      </w:r>
      <w:hyperlink r:id="rId36" w:history="1">
        <w:r w:rsidRPr="00D07EA1">
          <w:rPr>
            <w:rStyle w:val="Hyperlink"/>
            <w:rFonts w:ascii="Times New Roman" w:hAnsi="Times New Roman" w:cs="Times New Roman"/>
            <w:sz w:val="20"/>
            <w:szCs w:val="20"/>
          </w:rPr>
          <w:t>http://www.ltkt.lt/projektu-finansavimas/statistika</w:t>
        </w:r>
      </w:hyperlink>
      <w:r w:rsidRPr="00D07EA1">
        <w:rPr>
          <w:rFonts w:ascii="Times New Roman" w:hAnsi="Times New Roman" w:cs="Times New Roman"/>
          <w:sz w:val="20"/>
          <w:szCs w:val="20"/>
        </w:rPr>
        <w:t xml:space="preserve"> (žiūrėta 2016 m. gegužės 6d.).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sz w:val="20"/>
          <w:szCs w:val="20"/>
          <w:lang w:val="lt-LT"/>
        </w:rPr>
        <w:t>Tarptautinių žodžių žodynas. (2008). Vilnius. 400 p.</w:t>
      </w:r>
    </w:p>
    <w:p w:rsidR="00277CCC"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lastRenderedPageBreak/>
        <w:t>The EU in brief.</w:t>
      </w:r>
      <w:r w:rsidRPr="001F2A25">
        <w:rPr>
          <w:rFonts w:ascii="Times New Roman" w:hAnsi="Times New Roman" w:cs="Times New Roman"/>
          <w:sz w:val="20"/>
          <w:szCs w:val="20"/>
          <w:lang w:val="lt-LT"/>
        </w:rPr>
        <w:t xml:space="preserve"> Prieiga per internetą </w:t>
      </w:r>
      <w:hyperlink r:id="rId37" w:history="1">
        <w:r w:rsidRPr="001F2A25">
          <w:rPr>
            <w:rStyle w:val="Hyperlink"/>
            <w:rFonts w:ascii="Times New Roman" w:hAnsi="Times New Roman" w:cs="Times New Roman"/>
            <w:sz w:val="20"/>
            <w:szCs w:val="20"/>
            <w:lang w:val="lt-LT"/>
          </w:rPr>
          <w:t>http://europa.eu/about-eu/basic-information/about/index_en.htm</w:t>
        </w:r>
      </w:hyperlink>
      <w:r w:rsidRPr="001F2A25">
        <w:rPr>
          <w:rFonts w:ascii="Times New Roman" w:hAnsi="Times New Roman" w:cs="Times New Roman"/>
          <w:sz w:val="20"/>
          <w:szCs w:val="20"/>
          <w:lang w:val="lt-LT"/>
        </w:rPr>
        <w:t xml:space="preserve"> (žiūrėta 2016 m. balandžio 30d.).</w:t>
      </w:r>
    </w:p>
    <w:p w:rsidR="00A128AA" w:rsidRPr="001F2A25" w:rsidRDefault="00A128AA"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Pr>
          <w:rFonts w:ascii="Times New Roman" w:hAnsi="Times New Roman" w:cs="Times New Roman"/>
          <w:i/>
          <w:sz w:val="20"/>
          <w:szCs w:val="20"/>
          <w:lang w:val="lt-LT"/>
        </w:rPr>
        <w:t>Vyriausybė pritarė kultūros ministro siūlymui didinti atlyginimus kultūros darbuotojams.</w:t>
      </w:r>
      <w:r>
        <w:rPr>
          <w:rFonts w:ascii="Times New Roman" w:hAnsi="Times New Roman" w:cs="Times New Roman"/>
          <w:sz w:val="20"/>
          <w:szCs w:val="20"/>
          <w:lang w:val="lt-LT"/>
        </w:rPr>
        <w:t xml:space="preserve"> (2015). Prieiga per internetą </w:t>
      </w:r>
      <w:hyperlink r:id="rId38" w:history="1">
        <w:r w:rsidRPr="006540D2">
          <w:rPr>
            <w:rStyle w:val="Hyperlink"/>
            <w:rFonts w:ascii="Times New Roman" w:hAnsi="Times New Roman" w:cs="Times New Roman"/>
            <w:sz w:val="20"/>
            <w:szCs w:val="20"/>
            <w:lang w:val="lt-LT"/>
          </w:rPr>
          <w:t>http://alkas.lt/2015/09/30/vyriausybe-pritare-kulturos-ministro-siulymui-didinti-atlyginimus-kulturos-darbuotojams/</w:t>
        </w:r>
      </w:hyperlink>
      <w:r>
        <w:rPr>
          <w:rFonts w:ascii="Times New Roman" w:hAnsi="Times New Roman" w:cs="Times New Roman"/>
          <w:sz w:val="20"/>
          <w:szCs w:val="20"/>
          <w:lang w:val="lt-LT"/>
        </w:rPr>
        <w:t xml:space="preserve"> (žiūrėta 2016 m. gegužės 29d.).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2014 – 2020 metų Europos Sąjungos fondų investicijų programa. </w:t>
      </w:r>
      <w:r w:rsidRPr="001F2A25">
        <w:rPr>
          <w:rFonts w:ascii="Times New Roman" w:hAnsi="Times New Roman" w:cs="Times New Roman"/>
          <w:sz w:val="20"/>
          <w:szCs w:val="20"/>
          <w:lang w:val="lt-LT"/>
        </w:rPr>
        <w:t xml:space="preserve">Prieiga per internetą </w:t>
      </w:r>
      <w:hyperlink r:id="rId39" w:history="1">
        <w:r w:rsidRPr="001F2A25">
          <w:rPr>
            <w:rStyle w:val="Hyperlink"/>
            <w:rFonts w:ascii="Times New Roman" w:hAnsi="Times New Roman" w:cs="Times New Roman"/>
            <w:sz w:val="20"/>
            <w:szCs w:val="20"/>
            <w:lang w:val="lt-LT"/>
          </w:rPr>
          <w:t>http://old.lrkm.lt/go.php/lit/IMG/2</w:t>
        </w:r>
      </w:hyperlink>
      <w:r w:rsidRPr="001F2A25">
        <w:rPr>
          <w:rFonts w:ascii="Times New Roman" w:hAnsi="Times New Roman" w:cs="Times New Roman"/>
          <w:sz w:val="20"/>
          <w:szCs w:val="20"/>
          <w:lang w:val="lt-LT"/>
        </w:rPr>
        <w:t xml:space="preserve"> (žiūrėta 2016 m. balandžio 29d.).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2015 – Support for Literary Translation ( year projects) Success rate by country. </w:t>
      </w:r>
      <w:r w:rsidRPr="001F2A25">
        <w:rPr>
          <w:rFonts w:ascii="Times New Roman" w:hAnsi="Times New Roman" w:cs="Times New Roman"/>
          <w:sz w:val="20"/>
          <w:szCs w:val="20"/>
          <w:lang w:val="lt-LT"/>
        </w:rPr>
        <w:t xml:space="preserve">Prieiga per internetą </w:t>
      </w:r>
      <w:hyperlink r:id="rId40" w:history="1">
        <w:r w:rsidRPr="001F2A25">
          <w:rPr>
            <w:rStyle w:val="Hyperlink"/>
            <w:rFonts w:ascii="Times New Roman" w:hAnsi="Times New Roman" w:cs="Times New Roman"/>
            <w:sz w:val="20"/>
            <w:szCs w:val="20"/>
            <w:lang w:val="lt-LT"/>
          </w:rPr>
          <w:t>https://eacea.ec.europa.eu/sites/eacea-site/files/2.application_by_country.pdf</w:t>
        </w:r>
      </w:hyperlink>
      <w:r w:rsidRPr="001F2A25">
        <w:rPr>
          <w:rFonts w:ascii="Times New Roman" w:hAnsi="Times New Roman" w:cs="Times New Roman"/>
          <w:sz w:val="20"/>
          <w:szCs w:val="20"/>
          <w:lang w:val="lt-LT"/>
        </w:rPr>
        <w:t xml:space="preserve"> (žiūrėta 2016 m. gegužės 3d.).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2016 – Larger scale cooperation projects (Cat 2) – Demand by Country (project leader) – Submitted/Selected projects. </w:t>
      </w:r>
      <w:r w:rsidRPr="001F2A25">
        <w:rPr>
          <w:rFonts w:ascii="Times New Roman" w:hAnsi="Times New Roman" w:cs="Times New Roman"/>
          <w:sz w:val="20"/>
          <w:szCs w:val="20"/>
          <w:lang w:val="lt-LT"/>
        </w:rPr>
        <w:t xml:space="preserve">Prieiga per internetą </w:t>
      </w:r>
      <w:hyperlink r:id="rId41" w:history="1">
        <w:r w:rsidRPr="001F2A25">
          <w:rPr>
            <w:rStyle w:val="Hyperlink"/>
            <w:rFonts w:ascii="Times New Roman" w:hAnsi="Times New Roman" w:cs="Times New Roman"/>
            <w:sz w:val="20"/>
            <w:szCs w:val="20"/>
            <w:lang w:val="lt-LT"/>
          </w:rPr>
          <w:t>https://eacea.ec.europa.eu/sites/eacea-site/files/4._coop_2_demand_by_country_applications_1.pdf</w:t>
        </w:r>
      </w:hyperlink>
      <w:r w:rsidRPr="001F2A25">
        <w:rPr>
          <w:rFonts w:ascii="Times New Roman" w:hAnsi="Times New Roman" w:cs="Times New Roman"/>
          <w:sz w:val="20"/>
          <w:szCs w:val="20"/>
          <w:lang w:val="lt-LT"/>
        </w:rPr>
        <w:t xml:space="preserve"> (žiūrėta 2016 m. gegužės 2d.).</w:t>
      </w:r>
    </w:p>
    <w:p w:rsidR="00277CCC" w:rsidRPr="001F2A25" w:rsidRDefault="00277CCC" w:rsidP="00277CCC">
      <w:pPr>
        <w:pStyle w:val="ListParagraph"/>
        <w:numPr>
          <w:ilvl w:val="0"/>
          <w:numId w:val="22"/>
        </w:numPr>
        <w:shd w:val="clear" w:color="auto" w:fill="FFFFFF"/>
        <w:tabs>
          <w:tab w:val="left" w:pos="450"/>
          <w:tab w:val="left" w:pos="630"/>
        </w:tabs>
        <w:spacing w:after="0" w:line="360" w:lineRule="auto"/>
        <w:ind w:left="90" w:hanging="90"/>
        <w:jc w:val="both"/>
        <w:rPr>
          <w:rFonts w:ascii="Times New Roman" w:hAnsi="Times New Roman" w:cs="Times New Roman"/>
          <w:sz w:val="20"/>
          <w:szCs w:val="20"/>
          <w:lang w:val="lt-LT"/>
        </w:rPr>
      </w:pPr>
      <w:r w:rsidRPr="001F2A25">
        <w:rPr>
          <w:rFonts w:ascii="Times New Roman" w:hAnsi="Times New Roman" w:cs="Times New Roman"/>
          <w:i/>
          <w:sz w:val="20"/>
          <w:szCs w:val="20"/>
          <w:lang w:val="lt-LT"/>
        </w:rPr>
        <w:t xml:space="preserve">2016 – Smaller scale cooperation projects (Cat 1) – Demand by Country (project leader) – Submitted/Selected projects. </w:t>
      </w:r>
      <w:r w:rsidRPr="001F2A25">
        <w:rPr>
          <w:rFonts w:ascii="Times New Roman" w:hAnsi="Times New Roman" w:cs="Times New Roman"/>
          <w:sz w:val="20"/>
          <w:szCs w:val="20"/>
          <w:lang w:val="lt-LT"/>
        </w:rPr>
        <w:t xml:space="preserve">Prieiga per internetą </w:t>
      </w:r>
      <w:hyperlink r:id="rId42" w:history="1">
        <w:r w:rsidRPr="001F2A25">
          <w:rPr>
            <w:rStyle w:val="Hyperlink"/>
            <w:rFonts w:ascii="Times New Roman" w:hAnsi="Times New Roman" w:cs="Times New Roman"/>
            <w:sz w:val="20"/>
            <w:szCs w:val="20"/>
            <w:lang w:val="lt-LT"/>
          </w:rPr>
          <w:t>https://eacea.ec.europa.eu/sites/eacea-site/files/4._coop_1_demand_by_country_applications_0.pdf</w:t>
        </w:r>
      </w:hyperlink>
      <w:r w:rsidRPr="001F2A25">
        <w:rPr>
          <w:rFonts w:ascii="Times New Roman" w:hAnsi="Times New Roman" w:cs="Times New Roman"/>
          <w:sz w:val="20"/>
          <w:szCs w:val="20"/>
          <w:lang w:val="lt-LT"/>
        </w:rPr>
        <w:t xml:space="preserve"> (žiūrėta 2016 m. gegužės 2d.).</w:t>
      </w:r>
    </w:p>
    <w:p w:rsidR="00277CCC" w:rsidRPr="001F2A25" w:rsidRDefault="00277CCC" w:rsidP="00277CCC">
      <w:pPr>
        <w:rPr>
          <w:lang w:val="lt-LT"/>
        </w:rPr>
      </w:pPr>
    </w:p>
    <w:p w:rsidR="00277CCC" w:rsidRPr="001F2A25" w:rsidRDefault="00277CCC" w:rsidP="00277CCC">
      <w:pPr>
        <w:pStyle w:val="ListParagraph"/>
        <w:shd w:val="clear" w:color="auto" w:fill="FFFFFF"/>
        <w:tabs>
          <w:tab w:val="left" w:pos="450"/>
          <w:tab w:val="left" w:pos="630"/>
        </w:tabs>
        <w:spacing w:after="0" w:line="360" w:lineRule="auto"/>
        <w:ind w:left="0" w:firstLine="360"/>
        <w:jc w:val="both"/>
        <w:rPr>
          <w:rFonts w:ascii="Times New Roman" w:hAnsi="Times New Roman" w:cs="Times New Roman"/>
          <w:sz w:val="20"/>
          <w:szCs w:val="20"/>
          <w:lang w:val="lt-LT"/>
        </w:rPr>
      </w:pPr>
    </w:p>
    <w:p w:rsidR="00277CCC" w:rsidRPr="00313760" w:rsidRDefault="00277CCC" w:rsidP="00313760">
      <w:pPr>
        <w:spacing w:line="360" w:lineRule="auto"/>
        <w:jc w:val="center"/>
        <w:rPr>
          <w:rFonts w:ascii="Times New Roman" w:hAnsi="Times New Roman" w:cs="Times New Roman"/>
          <w:b/>
          <w:sz w:val="24"/>
          <w:szCs w:val="24"/>
          <w:lang w:val="lt-LT"/>
        </w:rPr>
      </w:pPr>
    </w:p>
    <w:sectPr w:rsidR="00277CCC" w:rsidRPr="00313760" w:rsidSect="002F5B2E">
      <w:footerReference w:type="default" r:id="rId43"/>
      <w:pgSz w:w="12240" w:h="15840"/>
      <w:pgMar w:top="1134" w:right="851"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361" w:rsidRDefault="00151361" w:rsidP="002F5B2E">
      <w:pPr>
        <w:spacing w:after="0" w:line="240" w:lineRule="auto"/>
      </w:pPr>
      <w:r>
        <w:separator/>
      </w:r>
    </w:p>
  </w:endnote>
  <w:endnote w:type="continuationSeparator" w:id="1">
    <w:p w:rsidR="00151361" w:rsidRDefault="00151361" w:rsidP="002F5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213638"/>
      <w:docPartObj>
        <w:docPartGallery w:val="Page Numbers (Bottom of Page)"/>
        <w:docPartUnique/>
      </w:docPartObj>
    </w:sdtPr>
    <w:sdtContent>
      <w:p w:rsidR="009E7409" w:rsidRDefault="009E7409">
        <w:pPr>
          <w:pStyle w:val="Footer"/>
          <w:jc w:val="right"/>
        </w:pPr>
        <w:fldSimple w:instr=" PAGE   \* MERGEFORMAT ">
          <w:r w:rsidR="00B8490A">
            <w:rPr>
              <w:noProof/>
            </w:rPr>
            <w:t>2</w:t>
          </w:r>
        </w:fldSimple>
      </w:p>
    </w:sdtContent>
  </w:sdt>
  <w:p w:rsidR="009E7409" w:rsidRDefault="009E7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361" w:rsidRDefault="00151361" w:rsidP="002F5B2E">
      <w:pPr>
        <w:spacing w:after="0" w:line="240" w:lineRule="auto"/>
      </w:pPr>
      <w:r>
        <w:separator/>
      </w:r>
    </w:p>
  </w:footnote>
  <w:footnote w:type="continuationSeparator" w:id="1">
    <w:p w:rsidR="00151361" w:rsidRDefault="00151361" w:rsidP="002F5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807"/>
    <w:multiLevelType w:val="hybridMultilevel"/>
    <w:tmpl w:val="3F5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221B1"/>
    <w:multiLevelType w:val="hybridMultilevel"/>
    <w:tmpl w:val="7482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B100C"/>
    <w:multiLevelType w:val="hybridMultilevel"/>
    <w:tmpl w:val="AE5A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C763A"/>
    <w:multiLevelType w:val="hybridMultilevel"/>
    <w:tmpl w:val="4772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438E2"/>
    <w:multiLevelType w:val="hybridMultilevel"/>
    <w:tmpl w:val="A9E2D26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E6249E"/>
    <w:multiLevelType w:val="hybridMultilevel"/>
    <w:tmpl w:val="E87A18A8"/>
    <w:lvl w:ilvl="0" w:tplc="5AAAB6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27194"/>
    <w:multiLevelType w:val="hybridMultilevel"/>
    <w:tmpl w:val="0DC82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923497"/>
    <w:multiLevelType w:val="hybridMultilevel"/>
    <w:tmpl w:val="605E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30732"/>
    <w:multiLevelType w:val="hybridMultilevel"/>
    <w:tmpl w:val="61962F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607DC3"/>
    <w:multiLevelType w:val="hybridMultilevel"/>
    <w:tmpl w:val="DB945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2B4004"/>
    <w:multiLevelType w:val="multilevel"/>
    <w:tmpl w:val="2A1A9542"/>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90" w:hanging="1800"/>
      </w:pPr>
      <w:rPr>
        <w:rFonts w:hint="default"/>
      </w:rPr>
    </w:lvl>
  </w:abstractNum>
  <w:abstractNum w:abstractNumId="11">
    <w:nsid w:val="3ABF7895"/>
    <w:multiLevelType w:val="hybridMultilevel"/>
    <w:tmpl w:val="1E3C60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C7A22"/>
    <w:multiLevelType w:val="hybridMultilevel"/>
    <w:tmpl w:val="7464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B3A24"/>
    <w:multiLevelType w:val="hybridMultilevel"/>
    <w:tmpl w:val="DB166F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03902"/>
    <w:multiLevelType w:val="hybridMultilevel"/>
    <w:tmpl w:val="7BF02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610109"/>
    <w:multiLevelType w:val="hybridMultilevel"/>
    <w:tmpl w:val="B896F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9735D"/>
    <w:multiLevelType w:val="hybridMultilevel"/>
    <w:tmpl w:val="27F0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843B9"/>
    <w:multiLevelType w:val="multilevel"/>
    <w:tmpl w:val="C70006D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2E53EE8"/>
    <w:multiLevelType w:val="hybridMultilevel"/>
    <w:tmpl w:val="3508E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90D19"/>
    <w:multiLevelType w:val="hybridMultilevel"/>
    <w:tmpl w:val="850A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837F6"/>
    <w:multiLevelType w:val="hybridMultilevel"/>
    <w:tmpl w:val="6DD8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81323"/>
    <w:multiLevelType w:val="hybridMultilevel"/>
    <w:tmpl w:val="6BC61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A4A36"/>
    <w:multiLevelType w:val="hybridMultilevel"/>
    <w:tmpl w:val="8F645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0809C7"/>
    <w:multiLevelType w:val="hybridMultilevel"/>
    <w:tmpl w:val="8E0CE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4192ECA"/>
    <w:multiLevelType w:val="multilevel"/>
    <w:tmpl w:val="5EEAAB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24"/>
  </w:num>
  <w:num w:numId="3">
    <w:abstractNumId w:val="18"/>
  </w:num>
  <w:num w:numId="4">
    <w:abstractNumId w:val="10"/>
  </w:num>
  <w:num w:numId="5">
    <w:abstractNumId w:val="23"/>
  </w:num>
  <w:num w:numId="6">
    <w:abstractNumId w:val="22"/>
  </w:num>
  <w:num w:numId="7">
    <w:abstractNumId w:val="20"/>
  </w:num>
  <w:num w:numId="8">
    <w:abstractNumId w:val="0"/>
  </w:num>
  <w:num w:numId="9">
    <w:abstractNumId w:val="16"/>
  </w:num>
  <w:num w:numId="10">
    <w:abstractNumId w:val="12"/>
  </w:num>
  <w:num w:numId="11">
    <w:abstractNumId w:val="1"/>
  </w:num>
  <w:num w:numId="12">
    <w:abstractNumId w:val="11"/>
  </w:num>
  <w:num w:numId="13">
    <w:abstractNumId w:val="7"/>
  </w:num>
  <w:num w:numId="14">
    <w:abstractNumId w:val="9"/>
  </w:num>
  <w:num w:numId="15">
    <w:abstractNumId w:val="13"/>
  </w:num>
  <w:num w:numId="16">
    <w:abstractNumId w:val="19"/>
  </w:num>
  <w:num w:numId="17">
    <w:abstractNumId w:val="3"/>
  </w:num>
  <w:num w:numId="18">
    <w:abstractNumId w:val="5"/>
  </w:num>
  <w:num w:numId="19">
    <w:abstractNumId w:val="4"/>
  </w:num>
  <w:num w:numId="20">
    <w:abstractNumId w:val="8"/>
  </w:num>
  <w:num w:numId="21">
    <w:abstractNumId w:val="14"/>
  </w:num>
  <w:num w:numId="22">
    <w:abstractNumId w:val="15"/>
  </w:num>
  <w:num w:numId="23">
    <w:abstractNumId w:val="17"/>
  </w:num>
  <w:num w:numId="24">
    <w:abstractNumId w:val="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4A24"/>
    <w:rsid w:val="00151361"/>
    <w:rsid w:val="00252246"/>
    <w:rsid w:val="00277436"/>
    <w:rsid w:val="00277CCC"/>
    <w:rsid w:val="002B2775"/>
    <w:rsid w:val="002F4CA1"/>
    <w:rsid w:val="002F5B2E"/>
    <w:rsid w:val="00313760"/>
    <w:rsid w:val="00370C60"/>
    <w:rsid w:val="00460437"/>
    <w:rsid w:val="00462090"/>
    <w:rsid w:val="004D26C8"/>
    <w:rsid w:val="00525893"/>
    <w:rsid w:val="005312AA"/>
    <w:rsid w:val="00536323"/>
    <w:rsid w:val="005722F8"/>
    <w:rsid w:val="005734C7"/>
    <w:rsid w:val="005A38FD"/>
    <w:rsid w:val="005C0D04"/>
    <w:rsid w:val="00844A24"/>
    <w:rsid w:val="009902D9"/>
    <w:rsid w:val="009E7409"/>
    <w:rsid w:val="00A128AA"/>
    <w:rsid w:val="00A1296C"/>
    <w:rsid w:val="00A9634E"/>
    <w:rsid w:val="00B8490A"/>
    <w:rsid w:val="00B85ECC"/>
    <w:rsid w:val="00BB0E83"/>
    <w:rsid w:val="00BC1D09"/>
    <w:rsid w:val="00BF6344"/>
    <w:rsid w:val="00CE0673"/>
    <w:rsid w:val="00D54D22"/>
    <w:rsid w:val="00E87007"/>
    <w:rsid w:val="00F0763A"/>
    <w:rsid w:val="00F63F84"/>
    <w:rsid w:val="00FF1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A24"/>
    <w:pPr>
      <w:ind w:left="720"/>
      <w:contextualSpacing/>
    </w:pPr>
  </w:style>
  <w:style w:type="table" w:styleId="TableGrid">
    <w:name w:val="Table Grid"/>
    <w:basedOn w:val="TableNormal"/>
    <w:uiPriority w:val="59"/>
    <w:rsid w:val="00844A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2090"/>
    <w:rPr>
      <w:color w:val="0000FF" w:themeColor="hyperlink"/>
      <w:u w:val="single"/>
    </w:rPr>
  </w:style>
  <w:style w:type="paragraph" w:styleId="Header">
    <w:name w:val="header"/>
    <w:basedOn w:val="Normal"/>
    <w:link w:val="HeaderChar"/>
    <w:uiPriority w:val="99"/>
    <w:semiHidden/>
    <w:unhideWhenUsed/>
    <w:rsid w:val="002F5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5B2E"/>
  </w:style>
  <w:style w:type="paragraph" w:styleId="Footer">
    <w:name w:val="footer"/>
    <w:basedOn w:val="Normal"/>
    <w:link w:val="FooterChar"/>
    <w:uiPriority w:val="99"/>
    <w:unhideWhenUsed/>
    <w:rsid w:val="002F5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2E"/>
  </w:style>
  <w:style w:type="paragraph" w:styleId="NormalWeb">
    <w:name w:val="Normal (Web)"/>
    <w:basedOn w:val="Normal"/>
    <w:uiPriority w:val="99"/>
    <w:unhideWhenUsed/>
    <w:rsid w:val="00313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6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km.lt" TargetMode="External"/><Relationship Id="rId13" Type="http://schemas.openxmlformats.org/officeDocument/2006/relationships/hyperlink" Target="http://ldiena.lt/straipsnis/1698/lietuvoje-antrasis-veksas-vyks-2022-metais" TargetMode="External"/><Relationship Id="rId18" Type="http://schemas.openxmlformats.org/officeDocument/2006/relationships/hyperlink" Target="http://eur-lex.europa.eu/legal-content/LT/TXT/?uri=CELEX%3A12012P%2FTXT" TargetMode="External"/><Relationship Id="rId26" Type="http://schemas.openxmlformats.org/officeDocument/2006/relationships/hyperlink" Target="http://www.ltkt.lt/projektu-finansavimas/2016-m-gaires" TargetMode="External"/><Relationship Id="rId39" Type="http://schemas.openxmlformats.org/officeDocument/2006/relationships/hyperlink" Target="http://old.lrkm.lt/go.php/lit/IMG/2" TargetMode="External"/><Relationship Id="rId3" Type="http://schemas.openxmlformats.org/officeDocument/2006/relationships/settings" Target="settings.xml"/><Relationship Id="rId21" Type="http://schemas.openxmlformats.org/officeDocument/2006/relationships/hyperlink" Target="http://ec.europa.eu/eurostat/tgm/table.do?tab=table&amp;init=1&amp;language=en&amp;pcode=tec00118&amp;plugin=1" TargetMode="External"/><Relationship Id="rId34" Type="http://schemas.openxmlformats.org/officeDocument/2006/relationships/hyperlink" Target="http://www.lmaleidykla.lt/publ/0235-7186/2013/3/121-130.pdf" TargetMode="External"/><Relationship Id="rId42" Type="http://schemas.openxmlformats.org/officeDocument/2006/relationships/hyperlink" Target="https://eacea.ec.europa.eu/sites/eacea-site/files/4._coop_1_demand_by_country_applications_0.pdf" TargetMode="External"/><Relationship Id="rId7" Type="http://schemas.openxmlformats.org/officeDocument/2006/relationships/hyperlink" Target="http://europa.eu/pol/cult/index_lt.htm" TargetMode="External"/><Relationship Id="rId12" Type="http://schemas.openxmlformats.org/officeDocument/2006/relationships/hyperlink" Target="http://eacea.ec.europa.eu/creative-europe/selection-results_enn" TargetMode="External"/><Relationship Id="rId17" Type="http://schemas.openxmlformats.org/officeDocument/2006/relationships/hyperlink" Target="http://kurybiskaeuropa.eu/kultura/data/files/kurybiska_europa_kultura_paprograme.pdf" TargetMode="External"/><Relationship Id="rId25" Type="http://schemas.openxmlformats.org/officeDocument/2006/relationships/hyperlink" Target="http://osp.stat.gov.lt/services-portlet/pub-edition-file?id=19818" TargetMode="External"/><Relationship Id="rId33" Type="http://schemas.openxmlformats.org/officeDocument/2006/relationships/hyperlink" Target="http://ec.europa.eu/eurostat/tgm/table.do?tab=table&amp;init=1&amp;language=en&amp;pcode=tps00001&amp;plugin=1" TargetMode="External"/><Relationship Id="rId38" Type="http://schemas.openxmlformats.org/officeDocument/2006/relationships/hyperlink" Target="http://alkas.lt/2015/09/30/vyriausybe-pritare-kulturos-ministro-siulymui-didinti-atlyginimus-kulturos-darbuotojams/" TargetMode="External"/><Relationship Id="rId2" Type="http://schemas.openxmlformats.org/officeDocument/2006/relationships/styles" Target="styles.xml"/><Relationship Id="rId16" Type="http://schemas.openxmlformats.org/officeDocument/2006/relationships/hyperlink" Target="http://www.esinvesticijos.lt/lt/rezultatai-ir-statistika/poveikis" TargetMode="External"/><Relationship Id="rId20" Type="http://schemas.openxmlformats.org/officeDocument/2006/relationships/hyperlink" Target="http://ec.europa.eu/eurostat/tgm/graph.do?tab=graph&amp;plugin=1&amp;language=en&amp;pcode=tec00114&amp;toolbox=type" TargetMode="External"/><Relationship Id="rId29" Type="http://schemas.openxmlformats.org/officeDocument/2006/relationships/hyperlink" Target="https://www.google.lt/url?sa=t&amp;rct=j&amp;q=&amp;esrc=s&amp;source=web&amp;cd=9&amp;cad=rja&amp;uact=8&amp;ved=0ahUKEwiZrLDHysXMAhXBESwKHQTvAb8QFghIMAg&amp;url=http%3A%2F%2Fwww.kinosajunga.lt%2FUserFiles%2FFile%2FLietuvos%2520kulturos%2520politikos%2520kaitos%2520gairiu%2520projektas.doc&amp;usg=AFQjCNHkeTozyHzJfk6APBOjZWpgOMG2og&amp;sig2=XEnPvJ0C5XOKvQkO7g5pgA&amp;bvm=bv.121421273,d.bGg" TargetMode="External"/><Relationship Id="rId41" Type="http://schemas.openxmlformats.org/officeDocument/2006/relationships/hyperlink" Target="https://eacea.ec.europa.eu/sites/eacea-site/files/4._coop_2_demand_by_country_applications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straspirmininkas.lrv.lt/lt/naujienos/dideja-kulturos-ir-meno-darbuotoju-atlyginimai" TargetMode="External"/><Relationship Id="rId24" Type="http://schemas.openxmlformats.org/officeDocument/2006/relationships/hyperlink" Target="http://europa.eu/pol/pdf/flipbook/lt/culture_audiovisual_lt.pdf" TargetMode="External"/><Relationship Id="rId32" Type="http://schemas.openxmlformats.org/officeDocument/2006/relationships/hyperlink" Target="https://eacea.ec.europa.eu/sites/eacea-site/files/ce_selection_results_2015_en.pdf" TargetMode="External"/><Relationship Id="rId37" Type="http://schemas.openxmlformats.org/officeDocument/2006/relationships/hyperlink" Target="http://europa.eu/about-eu/basic-information/about/index_en.htm" TargetMode="External"/><Relationship Id="rId40" Type="http://schemas.openxmlformats.org/officeDocument/2006/relationships/hyperlink" Target="https://eacea.ec.europa.eu/sites/eacea-site/files/2.application_by_country.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mpf.lt/lt/erasmus-rezultatai-lietuvoje-tukstanciai-dalyviu-ir-simtai-projektu-1" TargetMode="External"/><Relationship Id="rId23" Type="http://schemas.openxmlformats.org/officeDocument/2006/relationships/hyperlink" Target="http://europa.eu/pol/cult/index_lt.htm" TargetMode="External"/><Relationship Id="rId28" Type="http://schemas.openxmlformats.org/officeDocument/2006/relationships/hyperlink" Target="http://kurybiskaeuropa.eu/kultura/data/files/kultura_2007_2013_lt.pdf" TargetMode="External"/><Relationship Id="rId36" Type="http://schemas.openxmlformats.org/officeDocument/2006/relationships/hyperlink" Target="http://www.ltkt.lt/projektu-finansavimas/statistika" TargetMode="External"/><Relationship Id="rId10" Type="http://schemas.openxmlformats.org/officeDocument/2006/relationships/hyperlink" Target="http://www.lmaleidykla.lt/publ/0235-7186/2009/3/203-212.pdf" TargetMode="External"/><Relationship Id="rId19" Type="http://schemas.openxmlformats.org/officeDocument/2006/relationships/hyperlink" Target="http://www.esinvesticijos.lt/lt/naujienos/sauletekio-slenyje-kuriama-inovatyvios-pramones-sistema" TargetMode="External"/><Relationship Id="rId31" Type="http://schemas.openxmlformats.org/officeDocument/2006/relationships/hyperlink" Target="http://www.europarl.europa.eu/atyourservice/lt/displayFtu.html?ftuId=FTU_5.13.1.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c.europa.eu/eurostat/tgm/table.do?tab=table&amp;plugin=1&amp;language=en&amp;pcode=t2020_10" TargetMode="External"/><Relationship Id="rId22" Type="http://schemas.openxmlformats.org/officeDocument/2006/relationships/hyperlink" Target="https://www.e-tar.lt/portal/lt/legalAct/4a213850378411e5aee6f3ae4a9cfa2d" TargetMode="External"/><Relationship Id="rId27" Type="http://schemas.openxmlformats.org/officeDocument/2006/relationships/hyperlink" Target="http://vddb.library.lt/fedora/get/LT-eLABa-0001:E.02~2009~D_20090828_130456-02491/DS.005.0.01.ETD" TargetMode="External"/><Relationship Id="rId30" Type="http://schemas.openxmlformats.org/officeDocument/2006/relationships/hyperlink" Target="http://ec.europa.eu/eurostat/tgm/table.do?tab=table&amp;init=1&amp;language=en&amp;pcode=tps00155&amp;plugin=1" TargetMode="External"/><Relationship Id="rId35" Type="http://schemas.openxmlformats.org/officeDocument/2006/relationships/hyperlink" Target="http://alkas.lt/wp-content/uploads/2011/06/Regionu-programa1.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31</Pages>
  <Words>10322</Words>
  <Characters>58839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Greta</cp:lastModifiedBy>
  <cp:revision>3</cp:revision>
  <dcterms:created xsi:type="dcterms:W3CDTF">2016-06-05T21:52:00Z</dcterms:created>
  <dcterms:modified xsi:type="dcterms:W3CDTF">2016-06-07T20:38:00Z</dcterms:modified>
</cp:coreProperties>
</file>