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9" w:rsidRPr="006B7649" w:rsidRDefault="002E039A" w:rsidP="004E4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2020-2022 m. Finansų ministerijos įgyvendinamoje </w:t>
      </w:r>
      <w:r w:rsidR="006B7649">
        <w:rPr>
          <w:rFonts w:asciiTheme="minorHAnsi" w:hAnsiTheme="minorHAnsi" w:cstheme="minorHAnsi"/>
        </w:rPr>
        <w:t>K</w:t>
      </w:r>
      <w:r w:rsidR="006B7649" w:rsidRPr="00A03955">
        <w:rPr>
          <w:rFonts w:asciiTheme="minorHAnsi" w:hAnsiTheme="minorHAnsi" w:cstheme="minorHAnsi"/>
        </w:rPr>
        <w:t xml:space="preserve">omunikacijos </w:t>
      </w:r>
      <w:r w:rsidR="006B7649">
        <w:rPr>
          <w:rFonts w:asciiTheme="minorHAnsi" w:hAnsiTheme="minorHAnsi" w:cstheme="minorHAnsi"/>
        </w:rPr>
        <w:t xml:space="preserve">kampanijoje </w:t>
      </w:r>
      <w:r w:rsidR="006B7649" w:rsidRPr="006B7649">
        <w:rPr>
          <w:rFonts w:asciiTheme="minorHAnsi" w:hAnsiTheme="minorHAnsi" w:cstheme="minorHAnsi"/>
          <w:b/>
        </w:rPr>
        <w:t>„Visuomenės pasitikėjimo ES 2014-2020 m. fondų investicijomis didinimas“</w:t>
      </w:r>
      <w:r w:rsidR="006B7649">
        <w:rPr>
          <w:rFonts w:asciiTheme="minorHAnsi" w:hAnsiTheme="minorHAnsi" w:cstheme="minorHAnsi"/>
          <w:b/>
        </w:rPr>
        <w:t xml:space="preserve"> </w:t>
      </w:r>
      <w:r w:rsidR="006B7649" w:rsidRPr="006B7649">
        <w:rPr>
          <w:rFonts w:asciiTheme="minorHAnsi" w:hAnsiTheme="minorHAnsi" w:cstheme="minorHAnsi"/>
        </w:rPr>
        <w:t xml:space="preserve">ypatingas dėmesys bus skiriamas  </w:t>
      </w:r>
      <w:r>
        <w:rPr>
          <w:rFonts w:asciiTheme="minorHAnsi" w:hAnsiTheme="minorHAnsi" w:cstheme="minorHAnsi"/>
          <w:b/>
        </w:rPr>
        <w:t>ES Investicijų skaidrumui, nes:</w:t>
      </w:r>
    </w:p>
    <w:p w:rsidR="004E40DC" w:rsidRPr="004E40DC" w:rsidRDefault="004E40DC" w:rsidP="002E039A">
      <w:pPr>
        <w:spacing w:after="0"/>
        <w:jc w:val="both"/>
        <w:rPr>
          <w:rFonts w:asciiTheme="minorHAnsi" w:hAnsiTheme="minorHAnsi" w:cstheme="minorHAnsi"/>
        </w:rPr>
      </w:pPr>
      <w:r w:rsidRPr="004E40DC">
        <w:rPr>
          <w:rFonts w:asciiTheme="minorHAnsi" w:hAnsiTheme="minorHAnsi" w:cstheme="minorHAnsi"/>
        </w:rPr>
        <w:t xml:space="preserve">• 64 proc. gyventojų mano, kad ES investicijų skyrimas yra </w:t>
      </w:r>
      <w:r w:rsidRPr="006D42C9">
        <w:rPr>
          <w:rFonts w:asciiTheme="minorHAnsi" w:hAnsiTheme="minorHAnsi" w:cstheme="minorHAnsi"/>
          <w:b/>
        </w:rPr>
        <w:t>neskaidrus</w:t>
      </w:r>
      <w:r w:rsidRPr="004E40DC">
        <w:rPr>
          <w:rFonts w:asciiTheme="minorHAnsi" w:hAnsiTheme="minorHAnsi" w:cstheme="minorHAnsi"/>
        </w:rPr>
        <w:t>, (tik 23% gyventojų linkę manyti, kad ES investicijos yra skiriamos skaidriai).</w:t>
      </w:r>
    </w:p>
    <w:p w:rsidR="004E40DC" w:rsidRPr="004E40DC" w:rsidRDefault="004E40DC" w:rsidP="002E039A">
      <w:pPr>
        <w:spacing w:after="0"/>
        <w:jc w:val="both"/>
        <w:rPr>
          <w:rFonts w:asciiTheme="minorHAnsi" w:hAnsiTheme="minorHAnsi" w:cstheme="minorHAnsi"/>
        </w:rPr>
      </w:pPr>
      <w:r w:rsidRPr="004E40DC">
        <w:rPr>
          <w:rFonts w:asciiTheme="minorHAnsi" w:hAnsiTheme="minorHAnsi" w:cstheme="minorHAnsi"/>
        </w:rPr>
        <w:t xml:space="preserve">• Dauguma gyventojų – 69 proc. nurodo, kad informacijos apie ES investicijų skyrimo </w:t>
      </w:r>
      <w:r w:rsidRPr="006D42C9">
        <w:rPr>
          <w:rFonts w:asciiTheme="minorHAnsi" w:hAnsiTheme="minorHAnsi" w:cstheme="minorHAnsi"/>
          <w:b/>
        </w:rPr>
        <w:t>skaidrumą</w:t>
      </w:r>
      <w:r w:rsidRPr="004E40DC">
        <w:rPr>
          <w:rFonts w:asciiTheme="minorHAnsi" w:hAnsiTheme="minorHAnsi" w:cstheme="minorHAnsi"/>
        </w:rPr>
        <w:t xml:space="preserve"> jiems nepakanka.</w:t>
      </w:r>
    </w:p>
    <w:p w:rsidR="004E40DC" w:rsidRPr="004E40DC" w:rsidRDefault="004E40DC" w:rsidP="002E039A">
      <w:pPr>
        <w:spacing w:after="0"/>
        <w:jc w:val="both"/>
        <w:rPr>
          <w:rFonts w:asciiTheme="minorHAnsi" w:hAnsiTheme="minorHAnsi" w:cstheme="minorHAnsi"/>
        </w:rPr>
      </w:pPr>
      <w:r w:rsidRPr="004E40DC">
        <w:rPr>
          <w:rFonts w:asciiTheme="minorHAnsi" w:hAnsiTheme="minorHAnsi" w:cstheme="minorHAnsi"/>
        </w:rPr>
        <w:t>• Vertinant ES investicijų valdymo profesionalumą, didesnė dalis gyventojų – 58 proc. linkusi manyti, kad ES investicijos valdomos neprofesionaliai. (Taip manančių gyventojų dalis nuo 2016 m. išaugo dvigubai (30%)).</w:t>
      </w:r>
    </w:p>
    <w:p w:rsidR="002C17AB" w:rsidRPr="002E039A" w:rsidRDefault="004E40DC" w:rsidP="004E40DC">
      <w:pPr>
        <w:jc w:val="both"/>
        <w:rPr>
          <w:rFonts w:asciiTheme="minorHAnsi" w:hAnsiTheme="minorHAnsi" w:cstheme="minorHAnsi"/>
          <w:i/>
          <w:sz w:val="22"/>
        </w:rPr>
      </w:pPr>
      <w:r w:rsidRPr="002E039A">
        <w:rPr>
          <w:rFonts w:asciiTheme="minorHAnsi" w:hAnsiTheme="minorHAnsi" w:cstheme="minorHAnsi"/>
          <w:i/>
          <w:sz w:val="22"/>
        </w:rPr>
        <w:t>*SIC 2018 m. gyventojų apklaus</w:t>
      </w:r>
      <w:r w:rsidR="002E039A">
        <w:rPr>
          <w:rFonts w:asciiTheme="minorHAnsi" w:hAnsiTheme="minorHAnsi" w:cstheme="minorHAnsi"/>
          <w:i/>
          <w:sz w:val="22"/>
        </w:rPr>
        <w:t>a apie ES investicijų rezultatu.</w:t>
      </w:r>
    </w:p>
    <w:p w:rsidR="002E039A" w:rsidRDefault="002C17AB" w:rsidP="00A039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Problema:</w:t>
      </w:r>
      <w:r w:rsidR="002E039A">
        <w:rPr>
          <w:rFonts w:asciiTheme="minorHAnsi" w:eastAsiaTheme="minorEastAsia" w:hAnsi="Calibri"/>
          <w:color w:val="000000" w:themeColor="text1"/>
          <w:kern w:val="24"/>
          <w:sz w:val="64"/>
          <w:szCs w:val="64"/>
          <w:lang w:eastAsia="lt-LT"/>
        </w:rPr>
        <w:t xml:space="preserve"> </w:t>
      </w:r>
      <w:r w:rsidRPr="002E039A">
        <w:rPr>
          <w:rFonts w:asciiTheme="minorHAnsi" w:hAnsiTheme="minorHAnsi" w:cstheme="minorHAnsi"/>
        </w:rPr>
        <w:t>Apklausa</w:t>
      </w:r>
      <w:r w:rsidR="002E039A">
        <w:rPr>
          <w:rFonts w:asciiTheme="minorHAnsi" w:hAnsiTheme="minorHAnsi" w:cstheme="minorHAnsi"/>
        </w:rPr>
        <w:t>*</w:t>
      </w:r>
      <w:r w:rsidRPr="002E039A">
        <w:rPr>
          <w:rFonts w:asciiTheme="minorHAnsi" w:hAnsiTheme="minorHAnsi" w:cstheme="minorHAnsi"/>
        </w:rPr>
        <w:t xml:space="preserve"> rodo, kad mes mažai pasitikime savo valstybe ir taip svarbiomis mums ES investicijomis. Viešoje erdvėje trūksta informacijos apie ES investicijas, jų administravimą, naudą. Taigi, trūkstant skaidrumo įgyvendinant projektus ir objektyvios informacijos j</w:t>
      </w:r>
      <w:r w:rsidR="002E039A">
        <w:rPr>
          <w:rFonts w:asciiTheme="minorHAnsi" w:hAnsiTheme="minorHAnsi" w:cstheme="minorHAnsi"/>
        </w:rPr>
        <w:t xml:space="preserve">uos administruojant, atsiranda </w:t>
      </w:r>
      <w:r w:rsidRPr="002E039A">
        <w:rPr>
          <w:rFonts w:asciiTheme="minorHAnsi" w:hAnsiTheme="minorHAnsi" w:cstheme="minorHAnsi"/>
        </w:rPr>
        <w:t xml:space="preserve">rezonansinė mitologija ir neigiamos </w:t>
      </w:r>
      <w:r w:rsidR="002E039A">
        <w:rPr>
          <w:rFonts w:asciiTheme="minorHAnsi" w:hAnsiTheme="minorHAnsi" w:cstheme="minorHAnsi"/>
        </w:rPr>
        <w:t xml:space="preserve">su tuo susijusios asociacijos. </w:t>
      </w:r>
    </w:p>
    <w:p w:rsidR="002E039A" w:rsidRDefault="002E039A" w:rsidP="00A039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Pavyzdžiui,</w:t>
      </w:r>
      <w:r w:rsidR="002C17AB" w:rsidRPr="002E039A">
        <w:rPr>
          <w:rFonts w:asciiTheme="minorHAnsi" w:hAnsiTheme="minorHAnsi" w:cstheme="minorHAnsi"/>
        </w:rPr>
        <w:t xml:space="preserve"> beveik pusė (43 procentai) gyventojų mano, kad ES investicijų administravimui išleidžiama daugiau nei pusė gaunamų pinigų. Iš tiesų, pinigų administravimui vidutiniškai yra skiriama tarp 6 ir 15 procentų visų lėšų, taigi tai tėra mitas. </w:t>
      </w:r>
    </w:p>
    <w:p w:rsidR="00D11091" w:rsidRPr="002E039A" w:rsidRDefault="002C17AB" w:rsidP="00A03955">
      <w:pPr>
        <w:jc w:val="both"/>
        <w:rPr>
          <w:rFonts w:asciiTheme="minorHAnsi" w:hAnsiTheme="minorHAnsi" w:cstheme="minorHAnsi"/>
        </w:rPr>
      </w:pPr>
      <w:r w:rsidRPr="002E039A">
        <w:rPr>
          <w:rFonts w:asciiTheme="minorHAnsi" w:hAnsiTheme="minorHAnsi" w:cstheme="minorHAnsi"/>
        </w:rPr>
        <w:t xml:space="preserve">ES investicijos siejamos su korupcija, neefektyviu ir netinkamu pinigų panaudojimu, o gal net plovimu. Taigi trūksta informacijos, trūksta skaidrumo. </w:t>
      </w:r>
      <w:r w:rsidR="00D11091" w:rsidRPr="002E039A">
        <w:rPr>
          <w:rFonts w:asciiTheme="minorHAnsi" w:hAnsiTheme="minorHAnsi" w:cstheme="minorHAnsi"/>
        </w:rPr>
        <w:t xml:space="preserve">ES investicijų reputacija priklauso ne tik nuo profesionalaus investicijų administravimo, bet ir nuo gyventojų nuomonės, jų įsitraukimo. </w:t>
      </w:r>
    </w:p>
    <w:p w:rsidR="006B7649" w:rsidRPr="006B7649" w:rsidRDefault="006B7649" w:rsidP="006B76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4E40DC">
        <w:rPr>
          <w:rFonts w:asciiTheme="minorHAnsi" w:hAnsiTheme="minorHAnsi" w:cstheme="minorHAnsi"/>
          <w:b/>
        </w:rPr>
        <w:t xml:space="preserve">Komunikacijos kampanijos </w:t>
      </w:r>
      <w:r>
        <w:rPr>
          <w:rFonts w:ascii="Calibri" w:eastAsia="Times New Roman" w:hAnsi="Calibri" w:cs="Calibri"/>
          <w:b/>
          <w:color w:val="000000"/>
          <w:szCs w:val="24"/>
        </w:rPr>
        <w:t>t</w:t>
      </w:r>
      <w:r w:rsidRPr="006B7649">
        <w:rPr>
          <w:rFonts w:ascii="Calibri" w:eastAsia="Times New Roman" w:hAnsi="Calibri" w:cs="Calibri"/>
          <w:b/>
          <w:color w:val="000000"/>
          <w:szCs w:val="24"/>
        </w:rPr>
        <w:t>ikslas</w:t>
      </w:r>
      <w:r w:rsidRPr="006B7649">
        <w:rPr>
          <w:rFonts w:ascii="Calibri" w:eastAsia="Times New Roman" w:hAnsi="Calibri" w:cs="Calibri"/>
          <w:color w:val="000000"/>
          <w:szCs w:val="24"/>
        </w:rPr>
        <w:t xml:space="preserve"> – ES investicijų skaidrumo svarbos/ viešumo didinimas visuose investicijų panaudojimo etapuose: lėšų administravime, projektų vykdyme, visuomenės įsitraukime.  </w:t>
      </w:r>
    </w:p>
    <w:p w:rsidR="007334B6" w:rsidRDefault="007334B6" w:rsidP="007334B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7334B6" w:rsidRDefault="007334B6" w:rsidP="007334B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E40DC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>omunikacijos kampanijos uždaviniai</w:t>
      </w:r>
      <w:r w:rsidRPr="004E40DC">
        <w:rPr>
          <w:rFonts w:asciiTheme="minorHAnsi" w:hAnsiTheme="minorHAnsi" w:cstheme="minorHAnsi"/>
          <w:b/>
        </w:rPr>
        <w:t xml:space="preserve">: </w:t>
      </w:r>
    </w:p>
    <w:p w:rsidR="007334B6" w:rsidRPr="004E40DC" w:rsidRDefault="007334B6" w:rsidP="007334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P</w:t>
      </w:r>
      <w:r w:rsidRPr="004E40DC">
        <w:rPr>
          <w:rFonts w:ascii="Calibri" w:eastAsia="Times New Roman" w:hAnsi="Calibri" w:cs="Calibri"/>
          <w:color w:val="000000"/>
          <w:szCs w:val="24"/>
        </w:rPr>
        <w:t xml:space="preserve">arodyti per dvidešimt metų sukauptą gerąją ES investicijų patirtį, skaidrumo svarbą, požiūrio į skaidrumą pokyčius šalyje.  </w:t>
      </w:r>
    </w:p>
    <w:p w:rsidR="007334B6" w:rsidRPr="007334B6" w:rsidRDefault="007334B6" w:rsidP="007334B6">
      <w:pPr>
        <w:pStyle w:val="Sraopastraip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7334B6">
        <w:rPr>
          <w:rFonts w:asciiTheme="minorHAnsi" w:hAnsiTheme="minorHAnsi" w:cstheme="minorHAnsi"/>
        </w:rPr>
        <w:t>Edukuoti</w:t>
      </w:r>
      <w:proofErr w:type="spellEnd"/>
      <w:r w:rsidRPr="007334B6">
        <w:rPr>
          <w:rFonts w:asciiTheme="minorHAnsi" w:hAnsiTheme="minorHAnsi" w:cstheme="minorHAnsi"/>
        </w:rPr>
        <w:t xml:space="preserve"> visuomenę</w:t>
      </w:r>
      <w:bookmarkStart w:id="0" w:name="_GoBack"/>
      <w:bookmarkEnd w:id="0"/>
      <w:r w:rsidRPr="007334B6">
        <w:rPr>
          <w:rFonts w:asciiTheme="minorHAnsi" w:hAnsiTheme="minorHAnsi" w:cstheme="minorHAnsi"/>
        </w:rPr>
        <w:t xml:space="preserve"> apie skaidrumą ir taip mažinti galimą sukčiavimą ateityje, (ypač tai aktualu Lietuvos savivaldybėse, nutolusiose nuo didžiųjų miestų</w:t>
      </w:r>
      <w:r>
        <w:rPr>
          <w:rFonts w:asciiTheme="minorHAnsi" w:hAnsiTheme="minorHAnsi" w:cstheme="minorHAnsi"/>
        </w:rPr>
        <w:t>).</w:t>
      </w:r>
    </w:p>
    <w:p w:rsidR="004E40DC" w:rsidRPr="007334B6" w:rsidRDefault="006B7649" w:rsidP="007334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</w:t>
      </w:r>
      <w:r w:rsidR="002E039A">
        <w:rPr>
          <w:rFonts w:asciiTheme="minorHAnsi" w:hAnsiTheme="minorHAnsi" w:cstheme="minorHAnsi"/>
          <w:b/>
        </w:rPr>
        <w:t>ikslinės grupės</w:t>
      </w:r>
      <w:r w:rsidR="004E40DC" w:rsidRPr="004E40DC">
        <w:rPr>
          <w:rFonts w:asciiTheme="minorHAnsi" w:hAnsiTheme="minorHAnsi" w:cstheme="minorHAnsi"/>
          <w:b/>
        </w:rPr>
        <w:t>:</w:t>
      </w:r>
      <w:r w:rsidR="002E039A">
        <w:rPr>
          <w:rFonts w:asciiTheme="minorHAnsi" w:hAnsiTheme="minorHAnsi" w:cstheme="minorHAnsi"/>
        </w:rPr>
        <w:t xml:space="preserve"> plačioji visuomenė 18 – 75 m., </w:t>
      </w:r>
      <w:r w:rsidR="004E40DC">
        <w:rPr>
          <w:rFonts w:asciiTheme="minorHAnsi" w:hAnsiTheme="minorHAnsi" w:cstheme="minorHAnsi"/>
        </w:rPr>
        <w:t xml:space="preserve">potencialūs pareiškėjai ir projektų vykdytojai. </w:t>
      </w:r>
    </w:p>
    <w:p w:rsidR="00D11091" w:rsidRPr="00A03955" w:rsidRDefault="005D0FCE" w:rsidP="002A2655">
      <w:pPr>
        <w:spacing w:after="0"/>
        <w:jc w:val="both"/>
        <w:rPr>
          <w:rFonts w:asciiTheme="minorHAnsi" w:hAnsiTheme="minorHAnsi" w:cstheme="minorHAnsi"/>
          <w:b/>
        </w:rPr>
      </w:pPr>
      <w:r w:rsidRPr="00A03955">
        <w:rPr>
          <w:rFonts w:asciiTheme="minorHAnsi" w:hAnsiTheme="minorHAnsi" w:cstheme="minorHAnsi"/>
          <w:b/>
        </w:rPr>
        <w:t xml:space="preserve">Komunikacijos kampanija turi būti prisidėti prie šių rodiklių gerinimo: </w:t>
      </w:r>
    </w:p>
    <w:p w:rsidR="005D0FCE" w:rsidRPr="007334B6" w:rsidRDefault="005D0FCE" w:rsidP="002A2655">
      <w:pPr>
        <w:spacing w:after="0"/>
        <w:jc w:val="both"/>
        <w:rPr>
          <w:rFonts w:asciiTheme="minorHAnsi" w:hAnsiTheme="minorHAnsi" w:cstheme="minorHAnsi"/>
        </w:rPr>
      </w:pPr>
      <w:r w:rsidRPr="007334B6">
        <w:rPr>
          <w:rFonts w:asciiTheme="minorHAnsi" w:hAnsiTheme="minorHAnsi" w:cstheme="minorHAnsi"/>
        </w:rPr>
        <w:t xml:space="preserve">1. </w:t>
      </w:r>
      <w:r w:rsidR="00D11091" w:rsidRPr="007334B6">
        <w:rPr>
          <w:rFonts w:asciiTheme="minorHAnsi" w:hAnsiTheme="minorHAnsi" w:cstheme="minorHAnsi"/>
        </w:rPr>
        <w:t>ES investicijos padeda siekti teigiamų ekonominių ir socialinių pokyčių šalyje.</w:t>
      </w:r>
      <w:r w:rsidR="00D11091" w:rsidRPr="007334B6">
        <w:rPr>
          <w:rFonts w:asciiTheme="minorHAnsi" w:hAnsiTheme="minorHAnsi" w:cstheme="minorHAnsi"/>
        </w:rPr>
        <w:tab/>
      </w:r>
      <w:r w:rsidR="00D11091" w:rsidRPr="007334B6">
        <w:rPr>
          <w:rFonts w:asciiTheme="minorHAnsi" w:hAnsiTheme="minorHAnsi" w:cstheme="minorHAnsi"/>
        </w:rPr>
        <w:tab/>
      </w:r>
    </w:p>
    <w:p w:rsidR="005D0FCE" w:rsidRPr="007334B6" w:rsidRDefault="005D0FCE" w:rsidP="002A2655">
      <w:pPr>
        <w:spacing w:after="0"/>
        <w:jc w:val="both"/>
        <w:rPr>
          <w:rFonts w:asciiTheme="minorHAnsi" w:hAnsiTheme="minorHAnsi" w:cstheme="minorHAnsi"/>
        </w:rPr>
      </w:pPr>
      <w:r w:rsidRPr="007334B6">
        <w:rPr>
          <w:rFonts w:asciiTheme="minorHAnsi" w:hAnsiTheme="minorHAnsi" w:cstheme="minorHAnsi"/>
        </w:rPr>
        <w:t xml:space="preserve">2. </w:t>
      </w:r>
      <w:r w:rsidR="00D11091" w:rsidRPr="007334B6">
        <w:rPr>
          <w:rFonts w:asciiTheme="minorHAnsi" w:hAnsiTheme="minorHAnsi" w:cstheme="minorHAnsi"/>
        </w:rPr>
        <w:t>ES investicijos prisideda prie teigiamų gyvenimo kokybės pokyčių.</w:t>
      </w:r>
      <w:r w:rsidR="00D11091" w:rsidRPr="007334B6">
        <w:rPr>
          <w:rFonts w:asciiTheme="minorHAnsi" w:hAnsiTheme="minorHAnsi" w:cstheme="minorHAnsi"/>
        </w:rPr>
        <w:tab/>
      </w:r>
      <w:r w:rsidR="00D11091" w:rsidRPr="007334B6">
        <w:rPr>
          <w:rFonts w:asciiTheme="minorHAnsi" w:hAnsiTheme="minorHAnsi" w:cstheme="minorHAnsi"/>
        </w:rPr>
        <w:tab/>
      </w:r>
    </w:p>
    <w:p w:rsidR="00D11091" w:rsidRPr="007334B6" w:rsidRDefault="005D0FCE" w:rsidP="002A2655">
      <w:pPr>
        <w:spacing w:after="0"/>
        <w:jc w:val="both"/>
        <w:rPr>
          <w:rFonts w:asciiTheme="minorHAnsi" w:hAnsiTheme="minorHAnsi" w:cstheme="minorHAnsi"/>
        </w:rPr>
      </w:pPr>
      <w:r w:rsidRPr="007334B6">
        <w:rPr>
          <w:rFonts w:asciiTheme="minorHAnsi" w:hAnsiTheme="minorHAnsi" w:cstheme="minorHAnsi"/>
        </w:rPr>
        <w:t xml:space="preserve">3. </w:t>
      </w:r>
      <w:r w:rsidR="00D11091" w:rsidRPr="007334B6">
        <w:rPr>
          <w:rFonts w:asciiTheme="minorHAnsi" w:hAnsiTheme="minorHAnsi" w:cstheme="minorHAnsi"/>
        </w:rPr>
        <w:t>Gyventojai teigia pajutę asmeninę ES investicijų naudą.</w:t>
      </w:r>
      <w:r w:rsidR="00D11091" w:rsidRPr="007334B6">
        <w:rPr>
          <w:rFonts w:asciiTheme="minorHAnsi" w:hAnsiTheme="minorHAnsi" w:cstheme="minorHAnsi"/>
        </w:rPr>
        <w:tab/>
      </w:r>
      <w:r w:rsidR="00D11091" w:rsidRPr="007334B6">
        <w:rPr>
          <w:rFonts w:asciiTheme="minorHAnsi" w:hAnsiTheme="minorHAnsi" w:cstheme="minorHAnsi"/>
        </w:rPr>
        <w:tab/>
      </w:r>
      <w:r w:rsidR="00D11091" w:rsidRPr="007334B6">
        <w:rPr>
          <w:rFonts w:asciiTheme="minorHAnsi" w:hAnsiTheme="minorHAnsi" w:cstheme="minorHAnsi"/>
        </w:rPr>
        <w:tab/>
      </w:r>
    </w:p>
    <w:p w:rsidR="005D0FCE" w:rsidRPr="007334B6" w:rsidRDefault="005D0FCE" w:rsidP="002A2655">
      <w:pPr>
        <w:spacing w:after="0"/>
        <w:jc w:val="both"/>
        <w:rPr>
          <w:rFonts w:asciiTheme="minorHAnsi" w:hAnsiTheme="minorHAnsi" w:cstheme="minorHAnsi"/>
        </w:rPr>
      </w:pPr>
      <w:r w:rsidRPr="007334B6">
        <w:rPr>
          <w:rFonts w:asciiTheme="minorHAnsi" w:hAnsiTheme="minorHAnsi" w:cstheme="minorHAnsi"/>
        </w:rPr>
        <w:t xml:space="preserve">4. </w:t>
      </w:r>
      <w:r w:rsidR="00D11091" w:rsidRPr="007334B6">
        <w:rPr>
          <w:rFonts w:asciiTheme="minorHAnsi" w:hAnsiTheme="minorHAnsi" w:cstheme="minorHAnsi"/>
        </w:rPr>
        <w:t xml:space="preserve">Gyventojai sutinka kad ES investicijas administruoja patyrę savo srities specialistai </w:t>
      </w:r>
      <w:r w:rsidR="00D11091" w:rsidRPr="007334B6">
        <w:rPr>
          <w:rFonts w:asciiTheme="minorHAnsi" w:hAnsiTheme="minorHAnsi" w:cstheme="minorHAnsi"/>
        </w:rPr>
        <w:tab/>
      </w:r>
    </w:p>
    <w:p w:rsidR="00F47D8D" w:rsidRPr="00A03955" w:rsidRDefault="005D0FCE" w:rsidP="002A2655">
      <w:pPr>
        <w:spacing w:after="0"/>
        <w:jc w:val="both"/>
        <w:rPr>
          <w:rFonts w:asciiTheme="minorHAnsi" w:hAnsiTheme="minorHAnsi" w:cstheme="minorHAnsi"/>
        </w:rPr>
      </w:pPr>
      <w:r w:rsidRPr="007334B6">
        <w:rPr>
          <w:rFonts w:asciiTheme="minorHAnsi" w:hAnsiTheme="minorHAnsi" w:cstheme="minorHAnsi"/>
        </w:rPr>
        <w:t xml:space="preserve">5. </w:t>
      </w:r>
      <w:r w:rsidR="00D11091" w:rsidRPr="007334B6">
        <w:rPr>
          <w:rFonts w:asciiTheme="minorHAnsi" w:hAnsiTheme="minorHAnsi" w:cstheme="minorHAnsi"/>
        </w:rPr>
        <w:t>Gyventojai sutinka su tuo, kad ES investicijos valdomos skaidriai</w:t>
      </w:r>
      <w:r w:rsidR="00D11091" w:rsidRPr="00A03955">
        <w:rPr>
          <w:rFonts w:asciiTheme="minorHAnsi" w:hAnsiTheme="minorHAnsi" w:cstheme="minorHAnsi"/>
          <w:i/>
        </w:rPr>
        <w:t>.</w:t>
      </w:r>
      <w:r w:rsidR="00D11091" w:rsidRPr="00A03955">
        <w:rPr>
          <w:rFonts w:asciiTheme="minorHAnsi" w:hAnsiTheme="minorHAnsi" w:cstheme="minorHAnsi"/>
          <w:i/>
        </w:rPr>
        <w:tab/>
      </w:r>
      <w:r w:rsidR="00D11091" w:rsidRPr="00A03955">
        <w:rPr>
          <w:rFonts w:asciiTheme="minorHAnsi" w:hAnsiTheme="minorHAnsi" w:cstheme="minorHAnsi"/>
        </w:rPr>
        <w:tab/>
      </w:r>
    </w:p>
    <w:p w:rsidR="00641176" w:rsidRPr="00A03955" w:rsidRDefault="00D11091" w:rsidP="00A03955">
      <w:pPr>
        <w:jc w:val="both"/>
        <w:rPr>
          <w:rFonts w:asciiTheme="minorHAnsi" w:hAnsiTheme="minorHAnsi" w:cstheme="minorHAnsi"/>
        </w:rPr>
      </w:pPr>
      <w:r w:rsidRPr="00A03955">
        <w:rPr>
          <w:rFonts w:asciiTheme="minorHAnsi" w:hAnsiTheme="minorHAnsi" w:cstheme="minorHAnsi"/>
        </w:rPr>
        <w:tab/>
      </w:r>
      <w:r w:rsidRPr="00A03955">
        <w:rPr>
          <w:rFonts w:asciiTheme="minorHAnsi" w:hAnsiTheme="minorHAnsi" w:cstheme="minorHAnsi"/>
        </w:rPr>
        <w:tab/>
      </w:r>
      <w:r w:rsidRPr="00A03955">
        <w:rPr>
          <w:rFonts w:asciiTheme="minorHAnsi" w:hAnsiTheme="minorHAnsi" w:cstheme="minorHAnsi"/>
        </w:rPr>
        <w:tab/>
      </w:r>
      <w:r w:rsidRPr="00A03955">
        <w:rPr>
          <w:rFonts w:asciiTheme="minorHAnsi" w:hAnsiTheme="minorHAnsi" w:cstheme="minorHAnsi"/>
        </w:rPr>
        <w:tab/>
      </w:r>
    </w:p>
    <w:sectPr w:rsidR="00641176" w:rsidRPr="00A039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AF6"/>
    <w:multiLevelType w:val="hybridMultilevel"/>
    <w:tmpl w:val="ACCEC9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D633A"/>
    <w:multiLevelType w:val="hybridMultilevel"/>
    <w:tmpl w:val="CAC8E01C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253248CA">
      <w:start w:val="4"/>
      <w:numFmt w:val="upperRoman"/>
      <w:lvlText w:val="%2.I"/>
      <w:lvlJc w:val="left"/>
      <w:pPr>
        <w:ind w:left="1440" w:hanging="360"/>
      </w:pPr>
      <w:rPr>
        <w:rFonts w:hint="default"/>
        <w:b/>
        <w:color w:val="1F497D" w:themeColor="text2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32206"/>
    <w:multiLevelType w:val="hybridMultilevel"/>
    <w:tmpl w:val="EAA8EB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63BF4"/>
    <w:multiLevelType w:val="hybridMultilevel"/>
    <w:tmpl w:val="81562AF6"/>
    <w:lvl w:ilvl="0" w:tplc="631A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0B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0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45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6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C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2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9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91"/>
    <w:rsid w:val="00272D53"/>
    <w:rsid w:val="00282B51"/>
    <w:rsid w:val="002A2655"/>
    <w:rsid w:val="002C17AB"/>
    <w:rsid w:val="002E039A"/>
    <w:rsid w:val="004E40DC"/>
    <w:rsid w:val="005D0FCE"/>
    <w:rsid w:val="00641176"/>
    <w:rsid w:val="006B7649"/>
    <w:rsid w:val="006D42C9"/>
    <w:rsid w:val="007334B6"/>
    <w:rsid w:val="00A03955"/>
    <w:rsid w:val="00D11091"/>
    <w:rsid w:val="00F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C17AB"/>
    <w:rPr>
      <w:rFonts w:cs="Times New Roman"/>
      <w:szCs w:val="24"/>
    </w:rPr>
  </w:style>
  <w:style w:type="paragraph" w:styleId="Sraopastraipa">
    <w:name w:val="List Paragraph"/>
    <w:basedOn w:val="prastasis"/>
    <w:uiPriority w:val="34"/>
    <w:qFormat/>
    <w:rsid w:val="002C1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C17AB"/>
    <w:rPr>
      <w:rFonts w:cs="Times New Roman"/>
      <w:szCs w:val="24"/>
    </w:rPr>
  </w:style>
  <w:style w:type="paragraph" w:styleId="Sraopastraipa">
    <w:name w:val="List Paragraph"/>
    <w:basedOn w:val="prastasis"/>
    <w:uiPriority w:val="34"/>
    <w:qFormat/>
    <w:rsid w:val="002C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Valeikaitė</dc:creator>
  <cp:lastModifiedBy>Kristina Malevskienė</cp:lastModifiedBy>
  <cp:revision>5</cp:revision>
  <dcterms:created xsi:type="dcterms:W3CDTF">2019-09-30T13:29:00Z</dcterms:created>
  <dcterms:modified xsi:type="dcterms:W3CDTF">2019-10-01T11:38:00Z</dcterms:modified>
</cp:coreProperties>
</file>